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1F0F33" w14:textId="77777777" w:rsidR="00D469A3" w:rsidRDefault="00635536" w:rsidP="004F18B6">
      <w:bookmarkStart w:id="0" w:name="_GoBack"/>
      <w:bookmarkEnd w:id="0"/>
      <w:r>
        <w:rPr>
          <w:noProof/>
        </w:rPr>
        <w:drawing>
          <wp:anchor distT="0" distB="0" distL="114300" distR="114300" simplePos="0" relativeHeight="251660288" behindDoc="1" locked="0" layoutInCell="1" allowOverlap="1" wp14:anchorId="273A0D13" wp14:editId="79144740">
            <wp:simplePos x="0" y="0"/>
            <wp:positionH relativeFrom="page">
              <wp:align>left</wp:align>
            </wp:positionH>
            <wp:positionV relativeFrom="paragraph">
              <wp:posOffset>-876300</wp:posOffset>
            </wp:positionV>
            <wp:extent cx="7595996" cy="10744660"/>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xa_Word_Docs__Template_cover_1.jpg"/>
                    <pic:cNvPicPr/>
                  </pic:nvPicPr>
                  <pic:blipFill>
                    <a:blip r:embed="rId8">
                      <a:extLst>
                        <a:ext uri="{28A0092B-C50C-407E-A947-70E740481C1C}">
                          <a14:useLocalDpi xmlns:a14="http://schemas.microsoft.com/office/drawing/2010/main" val="0"/>
                        </a:ext>
                      </a:extLst>
                    </a:blip>
                    <a:stretch>
                      <a:fillRect/>
                    </a:stretch>
                  </pic:blipFill>
                  <pic:spPr>
                    <a:xfrm>
                      <a:off x="0" y="0"/>
                      <a:ext cx="7595996" cy="10744660"/>
                    </a:xfrm>
                    <a:prstGeom prst="rect">
                      <a:avLst/>
                    </a:prstGeom>
                  </pic:spPr>
                </pic:pic>
              </a:graphicData>
            </a:graphic>
            <wp14:sizeRelH relativeFrom="page">
              <wp14:pctWidth>0</wp14:pctWidth>
            </wp14:sizeRelH>
            <wp14:sizeRelV relativeFrom="page">
              <wp14:pctHeight>0</wp14:pctHeight>
            </wp14:sizeRelV>
          </wp:anchor>
        </w:drawing>
      </w:r>
    </w:p>
    <w:p w14:paraId="1296CD41" w14:textId="77777777" w:rsidR="00740CC5" w:rsidRDefault="00740CC5" w:rsidP="00F43E61"/>
    <w:p w14:paraId="3E4CF328" w14:textId="77777777" w:rsidR="00740CC5" w:rsidRDefault="00740CC5"/>
    <w:p w14:paraId="29191661" w14:textId="77777777" w:rsidR="00740CC5" w:rsidRDefault="00740CC5"/>
    <w:p w14:paraId="427C60B4" w14:textId="77777777" w:rsidR="00740CC5" w:rsidRDefault="00740CC5"/>
    <w:p w14:paraId="3896AE96" w14:textId="77777777" w:rsidR="00740CC5" w:rsidRPr="00740CC5" w:rsidRDefault="00740CC5"/>
    <w:p w14:paraId="07B47821" w14:textId="77777777" w:rsidR="00740CC5" w:rsidRDefault="00740CC5"/>
    <w:p w14:paraId="31712FFA" w14:textId="77777777" w:rsidR="00740CC5" w:rsidRDefault="00740CC5"/>
    <w:p w14:paraId="5E4A672E" w14:textId="77777777" w:rsidR="00635536" w:rsidRPr="007F2A32" w:rsidRDefault="00635536" w:rsidP="00F43E61">
      <w:pPr>
        <w:pStyle w:val="Title"/>
        <w:pBdr>
          <w:bottom w:val="single" w:sz="4" w:space="1" w:color="4A8195"/>
        </w:pBdr>
      </w:pPr>
      <w:bookmarkStart w:id="1" w:name="_Hlk8800617"/>
      <w:r w:rsidRPr="007F2A32">
        <w:t xml:space="preserve">Disability </w:t>
      </w:r>
      <w:r w:rsidR="00472D32">
        <w:t>A</w:t>
      </w:r>
      <w:r w:rsidRPr="007F2A32">
        <w:t xml:space="preserve">ccess and </w:t>
      </w:r>
      <w:r w:rsidR="00472D32">
        <w:t>I</w:t>
      </w:r>
      <w:r w:rsidRPr="007F2A32">
        <w:t xml:space="preserve">nclusion </w:t>
      </w:r>
      <w:r w:rsidR="00472D32">
        <w:t>P</w:t>
      </w:r>
      <w:r w:rsidRPr="007F2A32">
        <w:t xml:space="preserve">lan </w:t>
      </w:r>
      <w:r>
        <w:t>2019-2024</w:t>
      </w:r>
      <w:bookmarkStart w:id="2" w:name="_Hlk8801101"/>
    </w:p>
    <w:bookmarkEnd w:id="1"/>
    <w:p w14:paraId="676535FC" w14:textId="77777777" w:rsidR="00635536" w:rsidRDefault="00635536" w:rsidP="00635536">
      <w:pPr>
        <w:ind w:firstLine="720"/>
      </w:pPr>
    </w:p>
    <w:bookmarkEnd w:id="2"/>
    <w:p w14:paraId="30D5026D" w14:textId="77777777" w:rsidR="00635536" w:rsidRDefault="00635536" w:rsidP="00635536">
      <w:pPr>
        <w:ind w:firstLine="720"/>
      </w:pPr>
    </w:p>
    <w:p w14:paraId="76CAEF6E" w14:textId="77777777" w:rsidR="00D633A8" w:rsidRDefault="00D633A8"/>
    <w:p w14:paraId="62503503" w14:textId="77777777" w:rsidR="00635536" w:rsidRDefault="00635536" w:rsidP="00635536"/>
    <w:p w14:paraId="3A0E9D37" w14:textId="77777777" w:rsidR="00AF69E1" w:rsidRDefault="00AF69E1" w:rsidP="00F43E61"/>
    <w:p w14:paraId="5DB21AC0" w14:textId="77777777" w:rsidR="00AF69E1" w:rsidRDefault="00AF69E1" w:rsidP="00F43E61"/>
    <w:p w14:paraId="14B91470" w14:textId="77777777" w:rsidR="00F43E61" w:rsidRDefault="00F43E61" w:rsidP="0007446F">
      <w:pPr>
        <w:tabs>
          <w:tab w:val="left" w:pos="5892"/>
        </w:tabs>
        <w:spacing w:before="0" w:after="160" w:line="259" w:lineRule="auto"/>
      </w:pPr>
      <w:r>
        <w:tab/>
      </w:r>
    </w:p>
    <w:p w14:paraId="1B51DA9E" w14:textId="77777777" w:rsidR="00F43E61" w:rsidRDefault="00F43E61" w:rsidP="00F43E61"/>
    <w:p w14:paraId="2E3C8F47" w14:textId="77777777" w:rsidR="00CA4D02" w:rsidRDefault="00CA4D02" w:rsidP="0007446F">
      <w:pPr>
        <w:sectPr w:rsidR="00CA4D02" w:rsidSect="00E348A7">
          <w:headerReference w:type="even" r:id="rId9"/>
          <w:headerReference w:type="default" r:id="rId10"/>
          <w:footerReference w:type="even" r:id="rId11"/>
          <w:footerReference w:type="default" r:id="rId12"/>
          <w:headerReference w:type="first" r:id="rId13"/>
          <w:footerReference w:type="first" r:id="rId14"/>
          <w:pgSz w:w="11906" w:h="16838"/>
          <w:pgMar w:top="1135" w:right="1841" w:bottom="1418" w:left="1080" w:header="708" w:footer="250" w:gutter="0"/>
          <w:cols w:space="708"/>
          <w:docGrid w:linePitch="360"/>
        </w:sectPr>
      </w:pPr>
    </w:p>
    <w:p w14:paraId="64517341" w14:textId="77777777" w:rsidR="00AF69E1" w:rsidRDefault="00AF69E1">
      <w:pPr>
        <w:spacing w:before="0" w:after="160" w:line="259" w:lineRule="auto"/>
      </w:pPr>
    </w:p>
    <w:p w14:paraId="23BF6400" w14:textId="77777777" w:rsidR="00AF69E1" w:rsidRDefault="00AF69E1" w:rsidP="00F43E61"/>
    <w:p w14:paraId="006C103F" w14:textId="77777777" w:rsidR="00AF69E1" w:rsidRDefault="00AF69E1" w:rsidP="00F43E61"/>
    <w:p w14:paraId="4CB7F5DC" w14:textId="77777777" w:rsidR="00AF69E1" w:rsidRDefault="00AF69E1" w:rsidP="00F43E61"/>
    <w:p w14:paraId="485FE2DF" w14:textId="77777777" w:rsidR="00AF69E1" w:rsidRDefault="00AF69E1" w:rsidP="00F43E61"/>
    <w:p w14:paraId="218F642C" w14:textId="77777777" w:rsidR="00AF69E1" w:rsidRDefault="00AF69E1" w:rsidP="00F43E61"/>
    <w:p w14:paraId="1502B9B0" w14:textId="77777777" w:rsidR="00AF69E1" w:rsidRDefault="00AF69E1" w:rsidP="00F43E61"/>
    <w:p w14:paraId="249A5647" w14:textId="77777777" w:rsidR="00AF69E1" w:rsidRDefault="00AF69E1" w:rsidP="00F43E61"/>
    <w:p w14:paraId="4FECA441" w14:textId="77777777" w:rsidR="00AF69E1" w:rsidRDefault="00AF69E1" w:rsidP="00F43E61"/>
    <w:p w14:paraId="44662FE0" w14:textId="77777777" w:rsidR="00AF69E1" w:rsidRDefault="00AF69E1" w:rsidP="00F43E61"/>
    <w:p w14:paraId="1F476B2F" w14:textId="77777777" w:rsidR="00AF69E1" w:rsidRDefault="00AF69E1" w:rsidP="00F43E61"/>
    <w:p w14:paraId="11E7B681" w14:textId="77777777" w:rsidR="00AF69E1" w:rsidRDefault="00AF69E1" w:rsidP="00F43E61"/>
    <w:p w14:paraId="015130D5" w14:textId="77777777" w:rsidR="00AF69E1" w:rsidRDefault="00AF69E1" w:rsidP="00F43E61"/>
    <w:p w14:paraId="22CB172C" w14:textId="77777777" w:rsidR="00AF69E1" w:rsidRDefault="00AF69E1" w:rsidP="00F43E61"/>
    <w:p w14:paraId="6444CAE0" w14:textId="77777777" w:rsidR="00AF69E1" w:rsidRDefault="00AF69E1" w:rsidP="00F43E61"/>
    <w:p w14:paraId="3E27DB30" w14:textId="77777777" w:rsidR="00AF69E1" w:rsidRDefault="00AF69E1" w:rsidP="00F43E61"/>
    <w:p w14:paraId="1A10A080" w14:textId="77777777" w:rsidR="00AF69E1" w:rsidRDefault="00AF69E1" w:rsidP="00F43E61"/>
    <w:p w14:paraId="0AE9FCBC" w14:textId="77777777" w:rsidR="00AF69E1" w:rsidRDefault="00AF69E1" w:rsidP="00F43E61"/>
    <w:p w14:paraId="4D916E8B" w14:textId="77777777" w:rsidR="00AF69E1" w:rsidRDefault="00AF69E1" w:rsidP="00F43E61"/>
    <w:p w14:paraId="5F4AB7D1" w14:textId="77777777" w:rsidR="00AF69E1" w:rsidRDefault="00AF69E1" w:rsidP="00F43E61"/>
    <w:p w14:paraId="507AA74A" w14:textId="77777777" w:rsidR="00AF69E1" w:rsidRDefault="00AF69E1" w:rsidP="00F43E61"/>
    <w:p w14:paraId="0C709DF9" w14:textId="77777777" w:rsidR="00AF69E1" w:rsidRDefault="00AF69E1" w:rsidP="00F43E61"/>
    <w:p w14:paraId="576915FF" w14:textId="77777777" w:rsidR="00AF69E1" w:rsidRDefault="00AF69E1" w:rsidP="00F43E61"/>
    <w:p w14:paraId="757DCED8" w14:textId="77777777" w:rsidR="00740CC5" w:rsidRDefault="00AF69E1" w:rsidP="00F43E61">
      <w:r w:rsidRPr="00424EF7">
        <w:t xml:space="preserve">This Disability Access and Inclusion Plan is available in alternative formats upon request including </w:t>
      </w:r>
      <w:r w:rsidRPr="00CD621F">
        <w:rPr>
          <w:color w:val="221E1F"/>
        </w:rPr>
        <w:t xml:space="preserve">electronic format, </w:t>
      </w:r>
      <w:r w:rsidR="008E3030">
        <w:rPr>
          <w:color w:val="221E1F"/>
        </w:rPr>
        <w:t xml:space="preserve">in standard and </w:t>
      </w:r>
      <w:r w:rsidRPr="00CD621F">
        <w:rPr>
          <w:color w:val="221E1F"/>
        </w:rPr>
        <w:t xml:space="preserve">large print, audio </w:t>
      </w:r>
      <w:r>
        <w:rPr>
          <w:color w:val="221E1F"/>
        </w:rPr>
        <w:t xml:space="preserve">disc </w:t>
      </w:r>
      <w:r w:rsidRPr="00424EF7">
        <w:t>and on the website at www.dlgsc.wa.gov.au.</w:t>
      </w:r>
    </w:p>
    <w:bookmarkStart w:id="3" w:name="_Toc8802713" w:displacedByCustomXml="next"/>
    <w:sdt>
      <w:sdtPr>
        <w:rPr>
          <w:rFonts w:eastAsiaTheme="minorHAnsi"/>
          <w:b/>
          <w:color w:val="auto"/>
          <w:lang w:eastAsia="en-US"/>
        </w:rPr>
        <w:id w:val="-1804614753"/>
        <w:docPartObj>
          <w:docPartGallery w:val="Table of Contents"/>
          <w:docPartUnique/>
        </w:docPartObj>
      </w:sdtPr>
      <w:sdtEndPr>
        <w:rPr>
          <w:rFonts w:eastAsia="Times New Roman"/>
          <w:b w:val="0"/>
          <w:noProof/>
          <w:color w:val="2D2E2F"/>
          <w:lang w:eastAsia="en-AU"/>
        </w:rPr>
      </w:sdtEndPr>
      <w:sdtContent>
        <w:p w14:paraId="7675344B" w14:textId="77777777" w:rsidR="00740CC5" w:rsidRPr="00F43E61" w:rsidRDefault="00740CC5" w:rsidP="00F43E61">
          <w:r w:rsidRPr="00F43E61">
            <w:rPr>
              <w:color w:val="4A8195"/>
              <w:sz w:val="36"/>
              <w:szCs w:val="36"/>
            </w:rPr>
            <w:t>Contents</w:t>
          </w:r>
          <w:bookmarkEnd w:id="3"/>
        </w:p>
        <w:p w14:paraId="09641CF5" w14:textId="77777777" w:rsidR="00AF55E8" w:rsidRDefault="00AF69E1">
          <w:pPr>
            <w:pStyle w:val="TOC1"/>
            <w:rPr>
              <w:rFonts w:asciiTheme="minorHAnsi" w:hAnsiTheme="minorHAnsi" w:cstheme="minorBidi"/>
              <w:noProof/>
              <w:color w:val="auto"/>
              <w:sz w:val="22"/>
              <w:szCs w:val="22"/>
              <w:lang w:val="en-AU" w:eastAsia="en-AU"/>
            </w:rPr>
          </w:pPr>
          <w:r>
            <w:rPr>
              <w:rFonts w:cs="Arial"/>
              <w:b/>
              <w:bCs/>
              <w:noProof/>
              <w:sz w:val="22"/>
              <w:szCs w:val="22"/>
            </w:rPr>
            <w:fldChar w:fldCharType="begin"/>
          </w:r>
          <w:r>
            <w:rPr>
              <w:rFonts w:cs="Arial"/>
              <w:b/>
              <w:bCs/>
              <w:noProof/>
              <w:sz w:val="22"/>
              <w:szCs w:val="22"/>
            </w:rPr>
            <w:instrText xml:space="preserve"> TOC \o "1-2" \h \z \u </w:instrText>
          </w:r>
          <w:r>
            <w:rPr>
              <w:rFonts w:cs="Arial"/>
              <w:b/>
              <w:bCs/>
              <w:noProof/>
              <w:sz w:val="22"/>
              <w:szCs w:val="22"/>
            </w:rPr>
            <w:fldChar w:fldCharType="separate"/>
          </w:r>
          <w:hyperlink w:anchor="_Toc9443084" w:history="1">
            <w:r w:rsidR="00AF55E8" w:rsidRPr="006B55B6">
              <w:rPr>
                <w:rStyle w:val="Hyperlink"/>
                <w:noProof/>
              </w:rPr>
              <w:t>Foreword</w:t>
            </w:r>
            <w:r w:rsidR="00AF55E8">
              <w:rPr>
                <w:noProof/>
                <w:webHidden/>
              </w:rPr>
              <w:tab/>
            </w:r>
            <w:r w:rsidR="00AF55E8">
              <w:rPr>
                <w:noProof/>
                <w:webHidden/>
              </w:rPr>
              <w:fldChar w:fldCharType="begin"/>
            </w:r>
            <w:r w:rsidR="00AF55E8">
              <w:rPr>
                <w:noProof/>
                <w:webHidden/>
              </w:rPr>
              <w:instrText xml:space="preserve"> PAGEREF _Toc9443084 \h </w:instrText>
            </w:r>
            <w:r w:rsidR="00AF55E8">
              <w:rPr>
                <w:noProof/>
                <w:webHidden/>
              </w:rPr>
            </w:r>
            <w:r w:rsidR="00AF55E8">
              <w:rPr>
                <w:noProof/>
                <w:webHidden/>
              </w:rPr>
              <w:fldChar w:fldCharType="separate"/>
            </w:r>
            <w:r w:rsidR="00250A2F">
              <w:rPr>
                <w:noProof/>
                <w:webHidden/>
              </w:rPr>
              <w:t>1</w:t>
            </w:r>
            <w:r w:rsidR="00AF55E8">
              <w:rPr>
                <w:noProof/>
                <w:webHidden/>
              </w:rPr>
              <w:fldChar w:fldCharType="end"/>
            </w:r>
          </w:hyperlink>
        </w:p>
        <w:p w14:paraId="60B79248" w14:textId="77777777" w:rsidR="00AF55E8" w:rsidRDefault="00AD4C95">
          <w:pPr>
            <w:pStyle w:val="TOC1"/>
            <w:rPr>
              <w:rFonts w:asciiTheme="minorHAnsi" w:hAnsiTheme="minorHAnsi" w:cstheme="minorBidi"/>
              <w:noProof/>
              <w:color w:val="auto"/>
              <w:sz w:val="22"/>
              <w:szCs w:val="22"/>
              <w:lang w:val="en-AU" w:eastAsia="en-AU"/>
            </w:rPr>
          </w:pPr>
          <w:hyperlink w:anchor="_Toc9443085" w:history="1">
            <w:r w:rsidR="00AF55E8" w:rsidRPr="006B55B6">
              <w:rPr>
                <w:rStyle w:val="Hyperlink"/>
                <w:noProof/>
              </w:rPr>
              <w:t>Departmental functions</w:t>
            </w:r>
            <w:r w:rsidR="00AF55E8">
              <w:rPr>
                <w:noProof/>
                <w:webHidden/>
              </w:rPr>
              <w:tab/>
            </w:r>
            <w:r w:rsidR="00AF55E8">
              <w:rPr>
                <w:noProof/>
                <w:webHidden/>
              </w:rPr>
              <w:fldChar w:fldCharType="begin"/>
            </w:r>
            <w:r w:rsidR="00AF55E8">
              <w:rPr>
                <w:noProof/>
                <w:webHidden/>
              </w:rPr>
              <w:instrText xml:space="preserve"> PAGEREF _Toc9443085 \h </w:instrText>
            </w:r>
            <w:r w:rsidR="00AF55E8">
              <w:rPr>
                <w:noProof/>
                <w:webHidden/>
              </w:rPr>
            </w:r>
            <w:r w:rsidR="00AF55E8">
              <w:rPr>
                <w:noProof/>
                <w:webHidden/>
              </w:rPr>
              <w:fldChar w:fldCharType="separate"/>
            </w:r>
            <w:r w:rsidR="00250A2F">
              <w:rPr>
                <w:noProof/>
                <w:webHidden/>
              </w:rPr>
              <w:t>2</w:t>
            </w:r>
            <w:r w:rsidR="00AF55E8">
              <w:rPr>
                <w:noProof/>
                <w:webHidden/>
              </w:rPr>
              <w:fldChar w:fldCharType="end"/>
            </w:r>
          </w:hyperlink>
        </w:p>
        <w:p w14:paraId="7D73C598" w14:textId="77777777" w:rsidR="00AF55E8" w:rsidRDefault="00AD4C95">
          <w:pPr>
            <w:pStyle w:val="TOC1"/>
            <w:rPr>
              <w:rFonts w:asciiTheme="minorHAnsi" w:hAnsiTheme="minorHAnsi" w:cstheme="minorBidi"/>
              <w:noProof/>
              <w:color w:val="auto"/>
              <w:sz w:val="22"/>
              <w:szCs w:val="22"/>
              <w:lang w:val="en-AU" w:eastAsia="en-AU"/>
            </w:rPr>
          </w:pPr>
          <w:hyperlink w:anchor="_Toc9443086" w:history="1">
            <w:r w:rsidR="00AF55E8" w:rsidRPr="006B55B6">
              <w:rPr>
                <w:rStyle w:val="Hyperlink"/>
                <w:noProof/>
              </w:rPr>
              <w:t>DAIP outcomes</w:t>
            </w:r>
            <w:r w:rsidR="00AF55E8">
              <w:rPr>
                <w:noProof/>
                <w:webHidden/>
              </w:rPr>
              <w:tab/>
            </w:r>
            <w:r w:rsidR="00AF55E8">
              <w:rPr>
                <w:noProof/>
                <w:webHidden/>
              </w:rPr>
              <w:fldChar w:fldCharType="begin"/>
            </w:r>
            <w:r w:rsidR="00AF55E8">
              <w:rPr>
                <w:noProof/>
                <w:webHidden/>
              </w:rPr>
              <w:instrText xml:space="preserve"> PAGEREF _Toc9443086 \h </w:instrText>
            </w:r>
            <w:r w:rsidR="00AF55E8">
              <w:rPr>
                <w:noProof/>
                <w:webHidden/>
              </w:rPr>
            </w:r>
            <w:r w:rsidR="00AF55E8">
              <w:rPr>
                <w:noProof/>
                <w:webHidden/>
              </w:rPr>
              <w:fldChar w:fldCharType="separate"/>
            </w:r>
            <w:r w:rsidR="00250A2F">
              <w:rPr>
                <w:noProof/>
                <w:webHidden/>
              </w:rPr>
              <w:t>2</w:t>
            </w:r>
            <w:r w:rsidR="00AF55E8">
              <w:rPr>
                <w:noProof/>
                <w:webHidden/>
              </w:rPr>
              <w:fldChar w:fldCharType="end"/>
            </w:r>
          </w:hyperlink>
        </w:p>
        <w:p w14:paraId="5D705892" w14:textId="77777777" w:rsidR="00AF55E8" w:rsidRDefault="00AD4C95">
          <w:pPr>
            <w:pStyle w:val="TOC1"/>
            <w:rPr>
              <w:rFonts w:asciiTheme="minorHAnsi" w:hAnsiTheme="minorHAnsi" w:cstheme="minorBidi"/>
              <w:noProof/>
              <w:color w:val="auto"/>
              <w:sz w:val="22"/>
              <w:szCs w:val="22"/>
              <w:lang w:val="en-AU" w:eastAsia="en-AU"/>
            </w:rPr>
          </w:pPr>
          <w:hyperlink w:anchor="_Toc9443087" w:history="1">
            <w:r w:rsidR="00AF55E8" w:rsidRPr="006B55B6">
              <w:rPr>
                <w:rStyle w:val="Hyperlink"/>
                <w:noProof/>
              </w:rPr>
              <w:t>Consultation</w:t>
            </w:r>
            <w:r w:rsidR="00AF55E8">
              <w:rPr>
                <w:noProof/>
                <w:webHidden/>
              </w:rPr>
              <w:tab/>
            </w:r>
            <w:r w:rsidR="00AF55E8">
              <w:rPr>
                <w:noProof/>
                <w:webHidden/>
              </w:rPr>
              <w:fldChar w:fldCharType="begin"/>
            </w:r>
            <w:r w:rsidR="00AF55E8">
              <w:rPr>
                <w:noProof/>
                <w:webHidden/>
              </w:rPr>
              <w:instrText xml:space="preserve"> PAGEREF _Toc9443087 \h </w:instrText>
            </w:r>
            <w:r w:rsidR="00AF55E8">
              <w:rPr>
                <w:noProof/>
                <w:webHidden/>
              </w:rPr>
            </w:r>
            <w:r w:rsidR="00AF55E8">
              <w:rPr>
                <w:noProof/>
                <w:webHidden/>
              </w:rPr>
              <w:fldChar w:fldCharType="separate"/>
            </w:r>
            <w:r w:rsidR="00250A2F">
              <w:rPr>
                <w:noProof/>
                <w:webHidden/>
              </w:rPr>
              <w:t>3</w:t>
            </w:r>
            <w:r w:rsidR="00AF55E8">
              <w:rPr>
                <w:noProof/>
                <w:webHidden/>
              </w:rPr>
              <w:fldChar w:fldCharType="end"/>
            </w:r>
          </w:hyperlink>
        </w:p>
        <w:p w14:paraId="3A02B8B9" w14:textId="77777777" w:rsidR="00AF55E8" w:rsidRDefault="00AD4C95">
          <w:pPr>
            <w:pStyle w:val="TOC1"/>
            <w:rPr>
              <w:rFonts w:asciiTheme="minorHAnsi" w:hAnsiTheme="minorHAnsi" w:cstheme="minorBidi"/>
              <w:noProof/>
              <w:color w:val="auto"/>
              <w:sz w:val="22"/>
              <w:szCs w:val="22"/>
              <w:lang w:val="en-AU" w:eastAsia="en-AU"/>
            </w:rPr>
          </w:pPr>
          <w:hyperlink w:anchor="_Toc9443088" w:history="1">
            <w:r w:rsidR="00AF55E8" w:rsidRPr="006B55B6">
              <w:rPr>
                <w:rStyle w:val="Hyperlink"/>
                <w:noProof/>
              </w:rPr>
              <w:t>Identified barriers</w:t>
            </w:r>
            <w:r w:rsidR="00AF55E8">
              <w:rPr>
                <w:noProof/>
                <w:webHidden/>
              </w:rPr>
              <w:tab/>
            </w:r>
            <w:r w:rsidR="00AF55E8">
              <w:rPr>
                <w:noProof/>
                <w:webHidden/>
              </w:rPr>
              <w:fldChar w:fldCharType="begin"/>
            </w:r>
            <w:r w:rsidR="00AF55E8">
              <w:rPr>
                <w:noProof/>
                <w:webHidden/>
              </w:rPr>
              <w:instrText xml:space="preserve"> PAGEREF _Toc9443088 \h </w:instrText>
            </w:r>
            <w:r w:rsidR="00AF55E8">
              <w:rPr>
                <w:noProof/>
                <w:webHidden/>
              </w:rPr>
            </w:r>
            <w:r w:rsidR="00AF55E8">
              <w:rPr>
                <w:noProof/>
                <w:webHidden/>
              </w:rPr>
              <w:fldChar w:fldCharType="separate"/>
            </w:r>
            <w:r w:rsidR="00250A2F">
              <w:rPr>
                <w:noProof/>
                <w:webHidden/>
              </w:rPr>
              <w:t>3</w:t>
            </w:r>
            <w:r w:rsidR="00AF55E8">
              <w:rPr>
                <w:noProof/>
                <w:webHidden/>
              </w:rPr>
              <w:fldChar w:fldCharType="end"/>
            </w:r>
          </w:hyperlink>
        </w:p>
        <w:p w14:paraId="15756953" w14:textId="77777777" w:rsidR="00AF55E8" w:rsidRDefault="00AD4C95">
          <w:pPr>
            <w:pStyle w:val="TOC1"/>
            <w:rPr>
              <w:rFonts w:asciiTheme="minorHAnsi" w:hAnsiTheme="minorHAnsi" w:cstheme="minorBidi"/>
              <w:noProof/>
              <w:color w:val="auto"/>
              <w:sz w:val="22"/>
              <w:szCs w:val="22"/>
              <w:lang w:val="en-AU" w:eastAsia="en-AU"/>
            </w:rPr>
          </w:pPr>
          <w:hyperlink w:anchor="_Toc9443089" w:history="1">
            <w:r w:rsidR="00AF55E8" w:rsidRPr="006B55B6">
              <w:rPr>
                <w:rStyle w:val="Hyperlink"/>
                <w:noProof/>
              </w:rPr>
              <w:t>Strategies to improve access and inclusion</w:t>
            </w:r>
            <w:r w:rsidR="00AF55E8">
              <w:rPr>
                <w:noProof/>
                <w:webHidden/>
              </w:rPr>
              <w:tab/>
            </w:r>
            <w:r w:rsidR="00AF55E8">
              <w:rPr>
                <w:noProof/>
                <w:webHidden/>
              </w:rPr>
              <w:fldChar w:fldCharType="begin"/>
            </w:r>
            <w:r w:rsidR="00AF55E8">
              <w:rPr>
                <w:noProof/>
                <w:webHidden/>
              </w:rPr>
              <w:instrText xml:space="preserve"> PAGEREF _Toc9443089 \h </w:instrText>
            </w:r>
            <w:r w:rsidR="00AF55E8">
              <w:rPr>
                <w:noProof/>
                <w:webHidden/>
              </w:rPr>
            </w:r>
            <w:r w:rsidR="00AF55E8">
              <w:rPr>
                <w:noProof/>
                <w:webHidden/>
              </w:rPr>
              <w:fldChar w:fldCharType="separate"/>
            </w:r>
            <w:r w:rsidR="00250A2F">
              <w:rPr>
                <w:noProof/>
                <w:webHidden/>
              </w:rPr>
              <w:t>4</w:t>
            </w:r>
            <w:r w:rsidR="00AF55E8">
              <w:rPr>
                <w:noProof/>
                <w:webHidden/>
              </w:rPr>
              <w:fldChar w:fldCharType="end"/>
            </w:r>
          </w:hyperlink>
        </w:p>
        <w:p w14:paraId="54566001" w14:textId="77777777" w:rsidR="00AF55E8" w:rsidRDefault="00AD4C95">
          <w:pPr>
            <w:pStyle w:val="TOC2"/>
            <w:tabs>
              <w:tab w:val="right" w:leader="dot" w:pos="8975"/>
            </w:tabs>
            <w:rPr>
              <w:rFonts w:asciiTheme="minorHAnsi" w:hAnsiTheme="minorHAnsi" w:cstheme="minorBidi"/>
              <w:noProof/>
              <w:color w:val="auto"/>
              <w:sz w:val="22"/>
              <w:szCs w:val="22"/>
              <w:lang w:val="en-AU" w:eastAsia="en-AU"/>
            </w:rPr>
          </w:pPr>
          <w:hyperlink w:anchor="_Toc9443090" w:history="1">
            <w:r w:rsidR="00AF55E8" w:rsidRPr="006B55B6">
              <w:rPr>
                <w:rStyle w:val="Hyperlink"/>
                <w:noProof/>
              </w:rPr>
              <w:t>Outcome 1: Services and events</w:t>
            </w:r>
            <w:r w:rsidR="00AF55E8">
              <w:rPr>
                <w:noProof/>
                <w:webHidden/>
              </w:rPr>
              <w:tab/>
            </w:r>
            <w:r w:rsidR="00AF55E8">
              <w:rPr>
                <w:noProof/>
                <w:webHidden/>
              </w:rPr>
              <w:fldChar w:fldCharType="begin"/>
            </w:r>
            <w:r w:rsidR="00AF55E8">
              <w:rPr>
                <w:noProof/>
                <w:webHidden/>
              </w:rPr>
              <w:instrText xml:space="preserve"> PAGEREF _Toc9443090 \h </w:instrText>
            </w:r>
            <w:r w:rsidR="00AF55E8">
              <w:rPr>
                <w:noProof/>
                <w:webHidden/>
              </w:rPr>
            </w:r>
            <w:r w:rsidR="00AF55E8">
              <w:rPr>
                <w:noProof/>
                <w:webHidden/>
              </w:rPr>
              <w:fldChar w:fldCharType="separate"/>
            </w:r>
            <w:r w:rsidR="00250A2F">
              <w:rPr>
                <w:noProof/>
                <w:webHidden/>
              </w:rPr>
              <w:t>4</w:t>
            </w:r>
            <w:r w:rsidR="00AF55E8">
              <w:rPr>
                <w:noProof/>
                <w:webHidden/>
              </w:rPr>
              <w:fldChar w:fldCharType="end"/>
            </w:r>
          </w:hyperlink>
        </w:p>
        <w:p w14:paraId="10ADF1D0" w14:textId="77777777" w:rsidR="00AF55E8" w:rsidRDefault="00AD4C95">
          <w:pPr>
            <w:pStyle w:val="TOC2"/>
            <w:tabs>
              <w:tab w:val="right" w:leader="dot" w:pos="8975"/>
            </w:tabs>
            <w:rPr>
              <w:rFonts w:asciiTheme="minorHAnsi" w:hAnsiTheme="minorHAnsi" w:cstheme="minorBidi"/>
              <w:noProof/>
              <w:color w:val="auto"/>
              <w:sz w:val="22"/>
              <w:szCs w:val="22"/>
              <w:lang w:val="en-AU" w:eastAsia="en-AU"/>
            </w:rPr>
          </w:pPr>
          <w:hyperlink w:anchor="_Toc9443091" w:history="1">
            <w:r w:rsidR="00AF55E8" w:rsidRPr="006B55B6">
              <w:rPr>
                <w:rStyle w:val="Hyperlink"/>
                <w:noProof/>
              </w:rPr>
              <w:t>Outcome 2: Buildings and facilities</w:t>
            </w:r>
            <w:r w:rsidR="00AF55E8">
              <w:rPr>
                <w:noProof/>
                <w:webHidden/>
              </w:rPr>
              <w:tab/>
            </w:r>
            <w:r w:rsidR="00AF55E8">
              <w:rPr>
                <w:noProof/>
                <w:webHidden/>
              </w:rPr>
              <w:fldChar w:fldCharType="begin"/>
            </w:r>
            <w:r w:rsidR="00AF55E8">
              <w:rPr>
                <w:noProof/>
                <w:webHidden/>
              </w:rPr>
              <w:instrText xml:space="preserve"> PAGEREF _Toc9443091 \h </w:instrText>
            </w:r>
            <w:r w:rsidR="00AF55E8">
              <w:rPr>
                <w:noProof/>
                <w:webHidden/>
              </w:rPr>
            </w:r>
            <w:r w:rsidR="00AF55E8">
              <w:rPr>
                <w:noProof/>
                <w:webHidden/>
              </w:rPr>
              <w:fldChar w:fldCharType="separate"/>
            </w:r>
            <w:r w:rsidR="00250A2F">
              <w:rPr>
                <w:noProof/>
                <w:webHidden/>
              </w:rPr>
              <w:t>4</w:t>
            </w:r>
            <w:r w:rsidR="00AF55E8">
              <w:rPr>
                <w:noProof/>
                <w:webHidden/>
              </w:rPr>
              <w:fldChar w:fldCharType="end"/>
            </w:r>
          </w:hyperlink>
        </w:p>
        <w:p w14:paraId="7C227E2B" w14:textId="77777777" w:rsidR="00AF55E8" w:rsidRDefault="00AD4C95">
          <w:pPr>
            <w:pStyle w:val="TOC2"/>
            <w:tabs>
              <w:tab w:val="right" w:leader="dot" w:pos="8975"/>
            </w:tabs>
            <w:rPr>
              <w:rFonts w:asciiTheme="minorHAnsi" w:hAnsiTheme="minorHAnsi" w:cstheme="minorBidi"/>
              <w:noProof/>
              <w:color w:val="auto"/>
              <w:sz w:val="22"/>
              <w:szCs w:val="22"/>
              <w:lang w:val="en-AU" w:eastAsia="en-AU"/>
            </w:rPr>
          </w:pPr>
          <w:hyperlink w:anchor="_Toc9443092" w:history="1">
            <w:r w:rsidR="00AF55E8" w:rsidRPr="006B55B6">
              <w:rPr>
                <w:rStyle w:val="Hyperlink"/>
                <w:noProof/>
              </w:rPr>
              <w:t>Outcome 3: Accessible information</w:t>
            </w:r>
            <w:r w:rsidR="00AF55E8">
              <w:rPr>
                <w:noProof/>
                <w:webHidden/>
              </w:rPr>
              <w:tab/>
            </w:r>
            <w:r w:rsidR="00AF55E8">
              <w:rPr>
                <w:noProof/>
                <w:webHidden/>
              </w:rPr>
              <w:fldChar w:fldCharType="begin"/>
            </w:r>
            <w:r w:rsidR="00AF55E8">
              <w:rPr>
                <w:noProof/>
                <w:webHidden/>
              </w:rPr>
              <w:instrText xml:space="preserve"> PAGEREF _Toc9443092 \h </w:instrText>
            </w:r>
            <w:r w:rsidR="00AF55E8">
              <w:rPr>
                <w:noProof/>
                <w:webHidden/>
              </w:rPr>
            </w:r>
            <w:r w:rsidR="00AF55E8">
              <w:rPr>
                <w:noProof/>
                <w:webHidden/>
              </w:rPr>
              <w:fldChar w:fldCharType="separate"/>
            </w:r>
            <w:r w:rsidR="00250A2F">
              <w:rPr>
                <w:noProof/>
                <w:webHidden/>
              </w:rPr>
              <w:t>5</w:t>
            </w:r>
            <w:r w:rsidR="00AF55E8">
              <w:rPr>
                <w:noProof/>
                <w:webHidden/>
              </w:rPr>
              <w:fldChar w:fldCharType="end"/>
            </w:r>
          </w:hyperlink>
        </w:p>
        <w:p w14:paraId="524F2E02" w14:textId="77777777" w:rsidR="00AF55E8" w:rsidRDefault="00AD4C95">
          <w:pPr>
            <w:pStyle w:val="TOC2"/>
            <w:tabs>
              <w:tab w:val="right" w:leader="dot" w:pos="8975"/>
            </w:tabs>
            <w:rPr>
              <w:rFonts w:asciiTheme="minorHAnsi" w:hAnsiTheme="minorHAnsi" w:cstheme="minorBidi"/>
              <w:noProof/>
              <w:color w:val="auto"/>
              <w:sz w:val="22"/>
              <w:szCs w:val="22"/>
              <w:lang w:val="en-AU" w:eastAsia="en-AU"/>
            </w:rPr>
          </w:pPr>
          <w:hyperlink w:anchor="_Toc9443093" w:history="1">
            <w:r w:rsidR="00AF55E8" w:rsidRPr="006B55B6">
              <w:rPr>
                <w:rStyle w:val="Hyperlink"/>
                <w:noProof/>
              </w:rPr>
              <w:t>Outcome 4: Service</w:t>
            </w:r>
            <w:r w:rsidR="00AF55E8">
              <w:rPr>
                <w:noProof/>
                <w:webHidden/>
              </w:rPr>
              <w:tab/>
            </w:r>
            <w:r w:rsidR="00AF55E8">
              <w:rPr>
                <w:noProof/>
                <w:webHidden/>
              </w:rPr>
              <w:fldChar w:fldCharType="begin"/>
            </w:r>
            <w:r w:rsidR="00AF55E8">
              <w:rPr>
                <w:noProof/>
                <w:webHidden/>
              </w:rPr>
              <w:instrText xml:space="preserve"> PAGEREF _Toc9443093 \h </w:instrText>
            </w:r>
            <w:r w:rsidR="00AF55E8">
              <w:rPr>
                <w:noProof/>
                <w:webHidden/>
              </w:rPr>
            </w:r>
            <w:r w:rsidR="00AF55E8">
              <w:rPr>
                <w:noProof/>
                <w:webHidden/>
              </w:rPr>
              <w:fldChar w:fldCharType="separate"/>
            </w:r>
            <w:r w:rsidR="00250A2F">
              <w:rPr>
                <w:noProof/>
                <w:webHidden/>
              </w:rPr>
              <w:t>5</w:t>
            </w:r>
            <w:r w:rsidR="00AF55E8">
              <w:rPr>
                <w:noProof/>
                <w:webHidden/>
              </w:rPr>
              <w:fldChar w:fldCharType="end"/>
            </w:r>
          </w:hyperlink>
        </w:p>
        <w:p w14:paraId="42A4DC44" w14:textId="77777777" w:rsidR="00AF55E8" w:rsidRDefault="00AD4C95">
          <w:pPr>
            <w:pStyle w:val="TOC2"/>
            <w:tabs>
              <w:tab w:val="right" w:leader="dot" w:pos="8975"/>
            </w:tabs>
            <w:rPr>
              <w:rFonts w:asciiTheme="minorHAnsi" w:hAnsiTheme="minorHAnsi" w:cstheme="minorBidi"/>
              <w:noProof/>
              <w:color w:val="auto"/>
              <w:sz w:val="22"/>
              <w:szCs w:val="22"/>
              <w:lang w:val="en-AU" w:eastAsia="en-AU"/>
            </w:rPr>
          </w:pPr>
          <w:hyperlink w:anchor="_Toc9443094" w:history="1">
            <w:r w:rsidR="00AF55E8" w:rsidRPr="006B55B6">
              <w:rPr>
                <w:rStyle w:val="Hyperlink"/>
                <w:noProof/>
              </w:rPr>
              <w:t>Outcome 5: Complaints</w:t>
            </w:r>
            <w:r w:rsidR="00AF55E8">
              <w:rPr>
                <w:noProof/>
                <w:webHidden/>
              </w:rPr>
              <w:tab/>
            </w:r>
            <w:r w:rsidR="00AF55E8">
              <w:rPr>
                <w:noProof/>
                <w:webHidden/>
              </w:rPr>
              <w:fldChar w:fldCharType="begin"/>
            </w:r>
            <w:r w:rsidR="00AF55E8">
              <w:rPr>
                <w:noProof/>
                <w:webHidden/>
              </w:rPr>
              <w:instrText xml:space="preserve"> PAGEREF _Toc9443094 \h </w:instrText>
            </w:r>
            <w:r w:rsidR="00AF55E8">
              <w:rPr>
                <w:noProof/>
                <w:webHidden/>
              </w:rPr>
            </w:r>
            <w:r w:rsidR="00AF55E8">
              <w:rPr>
                <w:noProof/>
                <w:webHidden/>
              </w:rPr>
              <w:fldChar w:fldCharType="separate"/>
            </w:r>
            <w:r w:rsidR="00250A2F">
              <w:rPr>
                <w:noProof/>
                <w:webHidden/>
              </w:rPr>
              <w:t>6</w:t>
            </w:r>
            <w:r w:rsidR="00AF55E8">
              <w:rPr>
                <w:noProof/>
                <w:webHidden/>
              </w:rPr>
              <w:fldChar w:fldCharType="end"/>
            </w:r>
          </w:hyperlink>
        </w:p>
        <w:p w14:paraId="49A2F8DD" w14:textId="77777777" w:rsidR="00AF55E8" w:rsidRDefault="00AD4C95">
          <w:pPr>
            <w:pStyle w:val="TOC2"/>
            <w:tabs>
              <w:tab w:val="right" w:leader="dot" w:pos="8975"/>
            </w:tabs>
            <w:rPr>
              <w:rFonts w:asciiTheme="minorHAnsi" w:hAnsiTheme="minorHAnsi" w:cstheme="minorBidi"/>
              <w:noProof/>
              <w:color w:val="auto"/>
              <w:sz w:val="22"/>
              <w:szCs w:val="22"/>
              <w:lang w:val="en-AU" w:eastAsia="en-AU"/>
            </w:rPr>
          </w:pPr>
          <w:hyperlink w:anchor="_Toc9443095" w:history="1">
            <w:r w:rsidR="00AF55E8" w:rsidRPr="006B55B6">
              <w:rPr>
                <w:rStyle w:val="Hyperlink"/>
                <w:noProof/>
              </w:rPr>
              <w:t>Outcome 6: Consultation</w:t>
            </w:r>
            <w:r w:rsidR="00AF55E8">
              <w:rPr>
                <w:noProof/>
                <w:webHidden/>
              </w:rPr>
              <w:tab/>
            </w:r>
            <w:r w:rsidR="00AF55E8">
              <w:rPr>
                <w:noProof/>
                <w:webHidden/>
              </w:rPr>
              <w:fldChar w:fldCharType="begin"/>
            </w:r>
            <w:r w:rsidR="00AF55E8">
              <w:rPr>
                <w:noProof/>
                <w:webHidden/>
              </w:rPr>
              <w:instrText xml:space="preserve"> PAGEREF _Toc9443095 \h </w:instrText>
            </w:r>
            <w:r w:rsidR="00AF55E8">
              <w:rPr>
                <w:noProof/>
                <w:webHidden/>
              </w:rPr>
            </w:r>
            <w:r w:rsidR="00AF55E8">
              <w:rPr>
                <w:noProof/>
                <w:webHidden/>
              </w:rPr>
              <w:fldChar w:fldCharType="separate"/>
            </w:r>
            <w:r w:rsidR="00250A2F">
              <w:rPr>
                <w:noProof/>
                <w:webHidden/>
              </w:rPr>
              <w:t>6</w:t>
            </w:r>
            <w:r w:rsidR="00AF55E8">
              <w:rPr>
                <w:noProof/>
                <w:webHidden/>
              </w:rPr>
              <w:fldChar w:fldCharType="end"/>
            </w:r>
          </w:hyperlink>
        </w:p>
        <w:p w14:paraId="0C32202A" w14:textId="77777777" w:rsidR="00AF55E8" w:rsidRDefault="00AD4C95">
          <w:pPr>
            <w:pStyle w:val="TOC2"/>
            <w:tabs>
              <w:tab w:val="right" w:leader="dot" w:pos="8975"/>
            </w:tabs>
            <w:rPr>
              <w:rFonts w:asciiTheme="minorHAnsi" w:hAnsiTheme="minorHAnsi" w:cstheme="minorBidi"/>
              <w:noProof/>
              <w:color w:val="auto"/>
              <w:sz w:val="22"/>
              <w:szCs w:val="22"/>
              <w:lang w:val="en-AU" w:eastAsia="en-AU"/>
            </w:rPr>
          </w:pPr>
          <w:hyperlink w:anchor="_Toc9443096" w:history="1">
            <w:r w:rsidR="00AF55E8" w:rsidRPr="006B55B6">
              <w:rPr>
                <w:rStyle w:val="Hyperlink"/>
                <w:noProof/>
              </w:rPr>
              <w:t>Outcome 7: Employment</w:t>
            </w:r>
            <w:r w:rsidR="00AF55E8">
              <w:rPr>
                <w:noProof/>
                <w:webHidden/>
              </w:rPr>
              <w:tab/>
            </w:r>
            <w:r w:rsidR="00AF55E8">
              <w:rPr>
                <w:noProof/>
                <w:webHidden/>
              </w:rPr>
              <w:fldChar w:fldCharType="begin"/>
            </w:r>
            <w:r w:rsidR="00AF55E8">
              <w:rPr>
                <w:noProof/>
                <w:webHidden/>
              </w:rPr>
              <w:instrText xml:space="preserve"> PAGEREF _Toc9443096 \h </w:instrText>
            </w:r>
            <w:r w:rsidR="00AF55E8">
              <w:rPr>
                <w:noProof/>
                <w:webHidden/>
              </w:rPr>
            </w:r>
            <w:r w:rsidR="00AF55E8">
              <w:rPr>
                <w:noProof/>
                <w:webHidden/>
              </w:rPr>
              <w:fldChar w:fldCharType="separate"/>
            </w:r>
            <w:r w:rsidR="00250A2F">
              <w:rPr>
                <w:noProof/>
                <w:webHidden/>
              </w:rPr>
              <w:t>6</w:t>
            </w:r>
            <w:r w:rsidR="00AF55E8">
              <w:rPr>
                <w:noProof/>
                <w:webHidden/>
              </w:rPr>
              <w:fldChar w:fldCharType="end"/>
            </w:r>
          </w:hyperlink>
        </w:p>
        <w:p w14:paraId="7A08919E" w14:textId="77777777" w:rsidR="00AF55E8" w:rsidRDefault="00AD4C95">
          <w:pPr>
            <w:pStyle w:val="TOC1"/>
            <w:rPr>
              <w:rFonts w:asciiTheme="minorHAnsi" w:hAnsiTheme="minorHAnsi" w:cstheme="minorBidi"/>
              <w:noProof/>
              <w:color w:val="auto"/>
              <w:sz w:val="22"/>
              <w:szCs w:val="22"/>
              <w:lang w:val="en-AU" w:eastAsia="en-AU"/>
            </w:rPr>
          </w:pPr>
          <w:hyperlink w:anchor="_Toc9443097" w:history="1">
            <w:r w:rsidR="00AF55E8" w:rsidRPr="006B55B6">
              <w:rPr>
                <w:rStyle w:val="Hyperlink"/>
                <w:noProof/>
              </w:rPr>
              <w:t>Promotion and communication</w:t>
            </w:r>
            <w:r w:rsidR="00AF55E8">
              <w:rPr>
                <w:noProof/>
                <w:webHidden/>
              </w:rPr>
              <w:tab/>
            </w:r>
            <w:r w:rsidR="00AF55E8">
              <w:rPr>
                <w:noProof/>
                <w:webHidden/>
              </w:rPr>
              <w:fldChar w:fldCharType="begin"/>
            </w:r>
            <w:r w:rsidR="00AF55E8">
              <w:rPr>
                <w:noProof/>
                <w:webHidden/>
              </w:rPr>
              <w:instrText xml:space="preserve"> PAGEREF _Toc9443097 \h </w:instrText>
            </w:r>
            <w:r w:rsidR="00AF55E8">
              <w:rPr>
                <w:noProof/>
                <w:webHidden/>
              </w:rPr>
            </w:r>
            <w:r w:rsidR="00AF55E8">
              <w:rPr>
                <w:noProof/>
                <w:webHidden/>
              </w:rPr>
              <w:fldChar w:fldCharType="separate"/>
            </w:r>
            <w:r w:rsidR="00250A2F">
              <w:rPr>
                <w:noProof/>
                <w:webHidden/>
              </w:rPr>
              <w:t>7</w:t>
            </w:r>
            <w:r w:rsidR="00AF55E8">
              <w:rPr>
                <w:noProof/>
                <w:webHidden/>
              </w:rPr>
              <w:fldChar w:fldCharType="end"/>
            </w:r>
          </w:hyperlink>
        </w:p>
        <w:p w14:paraId="35C75A9A" w14:textId="77777777" w:rsidR="00AF55E8" w:rsidRDefault="00AD4C95">
          <w:pPr>
            <w:pStyle w:val="TOC1"/>
            <w:rPr>
              <w:rFonts w:asciiTheme="minorHAnsi" w:hAnsiTheme="minorHAnsi" w:cstheme="minorBidi"/>
              <w:noProof/>
              <w:color w:val="auto"/>
              <w:sz w:val="22"/>
              <w:szCs w:val="22"/>
              <w:lang w:val="en-AU" w:eastAsia="en-AU"/>
            </w:rPr>
          </w:pPr>
          <w:hyperlink w:anchor="_Toc9443098" w:history="1">
            <w:r w:rsidR="00AF55E8" w:rsidRPr="006B55B6">
              <w:rPr>
                <w:rStyle w:val="Hyperlink"/>
                <w:noProof/>
              </w:rPr>
              <w:t>Implementation</w:t>
            </w:r>
            <w:r w:rsidR="00AF55E8">
              <w:rPr>
                <w:noProof/>
                <w:webHidden/>
              </w:rPr>
              <w:tab/>
            </w:r>
            <w:r w:rsidR="00AF55E8">
              <w:rPr>
                <w:noProof/>
                <w:webHidden/>
              </w:rPr>
              <w:fldChar w:fldCharType="begin"/>
            </w:r>
            <w:r w:rsidR="00AF55E8">
              <w:rPr>
                <w:noProof/>
                <w:webHidden/>
              </w:rPr>
              <w:instrText xml:space="preserve"> PAGEREF _Toc9443098 \h </w:instrText>
            </w:r>
            <w:r w:rsidR="00AF55E8">
              <w:rPr>
                <w:noProof/>
                <w:webHidden/>
              </w:rPr>
            </w:r>
            <w:r w:rsidR="00AF55E8">
              <w:rPr>
                <w:noProof/>
                <w:webHidden/>
              </w:rPr>
              <w:fldChar w:fldCharType="separate"/>
            </w:r>
            <w:r w:rsidR="00250A2F">
              <w:rPr>
                <w:noProof/>
                <w:webHidden/>
              </w:rPr>
              <w:t>7</w:t>
            </w:r>
            <w:r w:rsidR="00AF55E8">
              <w:rPr>
                <w:noProof/>
                <w:webHidden/>
              </w:rPr>
              <w:fldChar w:fldCharType="end"/>
            </w:r>
          </w:hyperlink>
        </w:p>
        <w:p w14:paraId="3BEB97B1" w14:textId="77777777" w:rsidR="00AF55E8" w:rsidRDefault="00AD4C95">
          <w:pPr>
            <w:pStyle w:val="TOC1"/>
            <w:rPr>
              <w:rFonts w:asciiTheme="minorHAnsi" w:hAnsiTheme="minorHAnsi" w:cstheme="minorBidi"/>
              <w:noProof/>
              <w:color w:val="auto"/>
              <w:sz w:val="22"/>
              <w:szCs w:val="22"/>
              <w:lang w:val="en-AU" w:eastAsia="en-AU"/>
            </w:rPr>
          </w:pPr>
          <w:hyperlink w:anchor="_Toc9443099" w:history="1">
            <w:r w:rsidR="00AF55E8" w:rsidRPr="006B55B6">
              <w:rPr>
                <w:rStyle w:val="Hyperlink"/>
                <w:noProof/>
              </w:rPr>
              <w:t>Review and reporting</w:t>
            </w:r>
            <w:r w:rsidR="00AF55E8">
              <w:rPr>
                <w:noProof/>
                <w:webHidden/>
              </w:rPr>
              <w:tab/>
            </w:r>
            <w:r w:rsidR="00AF55E8">
              <w:rPr>
                <w:noProof/>
                <w:webHidden/>
              </w:rPr>
              <w:fldChar w:fldCharType="begin"/>
            </w:r>
            <w:r w:rsidR="00AF55E8">
              <w:rPr>
                <w:noProof/>
                <w:webHidden/>
              </w:rPr>
              <w:instrText xml:space="preserve"> PAGEREF _Toc9443099 \h </w:instrText>
            </w:r>
            <w:r w:rsidR="00AF55E8">
              <w:rPr>
                <w:noProof/>
                <w:webHidden/>
              </w:rPr>
            </w:r>
            <w:r w:rsidR="00AF55E8">
              <w:rPr>
                <w:noProof/>
                <w:webHidden/>
              </w:rPr>
              <w:fldChar w:fldCharType="separate"/>
            </w:r>
            <w:r w:rsidR="00250A2F">
              <w:rPr>
                <w:noProof/>
                <w:webHidden/>
              </w:rPr>
              <w:t>7</w:t>
            </w:r>
            <w:r w:rsidR="00AF55E8">
              <w:rPr>
                <w:noProof/>
                <w:webHidden/>
              </w:rPr>
              <w:fldChar w:fldCharType="end"/>
            </w:r>
          </w:hyperlink>
        </w:p>
        <w:p w14:paraId="582741A8" w14:textId="77777777" w:rsidR="00AF55E8" w:rsidRDefault="00AD4C95">
          <w:pPr>
            <w:pStyle w:val="TOC1"/>
            <w:rPr>
              <w:rFonts w:asciiTheme="minorHAnsi" w:hAnsiTheme="minorHAnsi" w:cstheme="minorBidi"/>
              <w:noProof/>
              <w:color w:val="auto"/>
              <w:sz w:val="22"/>
              <w:szCs w:val="22"/>
              <w:lang w:val="en-AU" w:eastAsia="en-AU"/>
            </w:rPr>
          </w:pPr>
          <w:hyperlink w:anchor="_Toc9443100" w:history="1">
            <w:r w:rsidR="00AF55E8" w:rsidRPr="006B55B6">
              <w:rPr>
                <w:rStyle w:val="Hyperlink"/>
                <w:noProof/>
              </w:rPr>
              <w:t>Contact details</w:t>
            </w:r>
            <w:r w:rsidR="00AF55E8">
              <w:rPr>
                <w:noProof/>
                <w:webHidden/>
              </w:rPr>
              <w:tab/>
            </w:r>
            <w:r w:rsidR="00AF55E8">
              <w:rPr>
                <w:noProof/>
                <w:webHidden/>
              </w:rPr>
              <w:fldChar w:fldCharType="begin"/>
            </w:r>
            <w:r w:rsidR="00AF55E8">
              <w:rPr>
                <w:noProof/>
                <w:webHidden/>
              </w:rPr>
              <w:instrText xml:space="preserve"> PAGEREF _Toc9443100 \h </w:instrText>
            </w:r>
            <w:r w:rsidR="00AF55E8">
              <w:rPr>
                <w:noProof/>
                <w:webHidden/>
              </w:rPr>
            </w:r>
            <w:r w:rsidR="00AF55E8">
              <w:rPr>
                <w:noProof/>
                <w:webHidden/>
              </w:rPr>
              <w:fldChar w:fldCharType="separate"/>
            </w:r>
            <w:r w:rsidR="00250A2F">
              <w:rPr>
                <w:noProof/>
                <w:webHidden/>
              </w:rPr>
              <w:t>7</w:t>
            </w:r>
            <w:r w:rsidR="00AF55E8">
              <w:rPr>
                <w:noProof/>
                <w:webHidden/>
              </w:rPr>
              <w:fldChar w:fldCharType="end"/>
            </w:r>
          </w:hyperlink>
        </w:p>
        <w:p w14:paraId="750EBA7F" w14:textId="77777777" w:rsidR="00AF55E8" w:rsidRDefault="00AD4C95">
          <w:pPr>
            <w:pStyle w:val="TOC1"/>
            <w:rPr>
              <w:rFonts w:asciiTheme="minorHAnsi" w:hAnsiTheme="minorHAnsi" w:cstheme="minorBidi"/>
              <w:noProof/>
              <w:color w:val="auto"/>
              <w:sz w:val="22"/>
              <w:szCs w:val="22"/>
              <w:lang w:val="en-AU" w:eastAsia="en-AU"/>
            </w:rPr>
          </w:pPr>
          <w:hyperlink w:anchor="_Toc9443101" w:history="1">
            <w:r w:rsidR="00AF55E8" w:rsidRPr="006B55B6">
              <w:rPr>
                <w:rStyle w:val="Hyperlink"/>
                <w:noProof/>
              </w:rPr>
              <w:t>Appendix</w:t>
            </w:r>
            <w:r w:rsidR="00AF55E8">
              <w:rPr>
                <w:noProof/>
                <w:webHidden/>
              </w:rPr>
              <w:tab/>
            </w:r>
            <w:r w:rsidR="00AF55E8">
              <w:rPr>
                <w:noProof/>
                <w:webHidden/>
              </w:rPr>
              <w:fldChar w:fldCharType="begin"/>
            </w:r>
            <w:r w:rsidR="00AF55E8">
              <w:rPr>
                <w:noProof/>
                <w:webHidden/>
              </w:rPr>
              <w:instrText xml:space="preserve"> PAGEREF _Toc9443101 \h </w:instrText>
            </w:r>
            <w:r w:rsidR="00AF55E8">
              <w:rPr>
                <w:noProof/>
                <w:webHidden/>
              </w:rPr>
            </w:r>
            <w:r w:rsidR="00AF55E8">
              <w:rPr>
                <w:noProof/>
                <w:webHidden/>
              </w:rPr>
              <w:fldChar w:fldCharType="separate"/>
            </w:r>
            <w:r w:rsidR="00250A2F">
              <w:rPr>
                <w:noProof/>
                <w:webHidden/>
              </w:rPr>
              <w:t>8</w:t>
            </w:r>
            <w:r w:rsidR="00AF55E8">
              <w:rPr>
                <w:noProof/>
                <w:webHidden/>
              </w:rPr>
              <w:fldChar w:fldCharType="end"/>
            </w:r>
          </w:hyperlink>
        </w:p>
        <w:p w14:paraId="51158CA0" w14:textId="77777777" w:rsidR="00AF55E8" w:rsidRDefault="00AD4C95">
          <w:pPr>
            <w:pStyle w:val="TOC2"/>
            <w:tabs>
              <w:tab w:val="right" w:leader="dot" w:pos="8975"/>
            </w:tabs>
            <w:rPr>
              <w:rFonts w:asciiTheme="minorHAnsi" w:hAnsiTheme="minorHAnsi" w:cstheme="minorBidi"/>
              <w:noProof/>
              <w:color w:val="auto"/>
              <w:sz w:val="22"/>
              <w:szCs w:val="22"/>
              <w:lang w:val="en-AU" w:eastAsia="en-AU"/>
            </w:rPr>
          </w:pPr>
          <w:hyperlink w:anchor="_Toc9443102" w:history="1">
            <w:r w:rsidR="00AF55E8" w:rsidRPr="006B55B6">
              <w:rPr>
                <w:rStyle w:val="Hyperlink"/>
                <w:noProof/>
              </w:rPr>
              <w:t>List of services</w:t>
            </w:r>
            <w:r w:rsidR="00AF55E8">
              <w:rPr>
                <w:noProof/>
                <w:webHidden/>
              </w:rPr>
              <w:tab/>
            </w:r>
            <w:r w:rsidR="00AF55E8">
              <w:rPr>
                <w:noProof/>
                <w:webHidden/>
              </w:rPr>
              <w:fldChar w:fldCharType="begin"/>
            </w:r>
            <w:r w:rsidR="00AF55E8">
              <w:rPr>
                <w:noProof/>
                <w:webHidden/>
              </w:rPr>
              <w:instrText xml:space="preserve"> PAGEREF _Toc9443102 \h </w:instrText>
            </w:r>
            <w:r w:rsidR="00AF55E8">
              <w:rPr>
                <w:noProof/>
                <w:webHidden/>
              </w:rPr>
            </w:r>
            <w:r w:rsidR="00AF55E8">
              <w:rPr>
                <w:noProof/>
                <w:webHidden/>
              </w:rPr>
              <w:fldChar w:fldCharType="separate"/>
            </w:r>
            <w:r w:rsidR="00250A2F">
              <w:rPr>
                <w:noProof/>
                <w:webHidden/>
              </w:rPr>
              <w:t>8</w:t>
            </w:r>
            <w:r w:rsidR="00AF55E8">
              <w:rPr>
                <w:noProof/>
                <w:webHidden/>
              </w:rPr>
              <w:fldChar w:fldCharType="end"/>
            </w:r>
          </w:hyperlink>
        </w:p>
        <w:p w14:paraId="42C0C4F2" w14:textId="77777777" w:rsidR="00AF55E8" w:rsidRDefault="00AD4C95">
          <w:pPr>
            <w:pStyle w:val="TOC2"/>
            <w:tabs>
              <w:tab w:val="right" w:leader="dot" w:pos="8975"/>
            </w:tabs>
            <w:rPr>
              <w:rFonts w:asciiTheme="minorHAnsi" w:hAnsiTheme="minorHAnsi" w:cstheme="minorBidi"/>
              <w:noProof/>
              <w:color w:val="auto"/>
              <w:sz w:val="22"/>
              <w:szCs w:val="22"/>
              <w:lang w:val="en-AU" w:eastAsia="en-AU"/>
            </w:rPr>
          </w:pPr>
          <w:hyperlink w:anchor="_Toc9443103" w:history="1">
            <w:r w:rsidR="00AF55E8" w:rsidRPr="006B55B6">
              <w:rPr>
                <w:rStyle w:val="Hyperlink"/>
                <w:noProof/>
              </w:rPr>
              <w:t>List of buildings</w:t>
            </w:r>
            <w:r w:rsidR="00AF55E8">
              <w:rPr>
                <w:noProof/>
                <w:webHidden/>
              </w:rPr>
              <w:tab/>
            </w:r>
            <w:r w:rsidR="00AF55E8">
              <w:rPr>
                <w:noProof/>
                <w:webHidden/>
              </w:rPr>
              <w:fldChar w:fldCharType="begin"/>
            </w:r>
            <w:r w:rsidR="00AF55E8">
              <w:rPr>
                <w:noProof/>
                <w:webHidden/>
              </w:rPr>
              <w:instrText xml:space="preserve"> PAGEREF _Toc9443103 \h </w:instrText>
            </w:r>
            <w:r w:rsidR="00AF55E8">
              <w:rPr>
                <w:noProof/>
                <w:webHidden/>
              </w:rPr>
            </w:r>
            <w:r w:rsidR="00AF55E8">
              <w:rPr>
                <w:noProof/>
                <w:webHidden/>
              </w:rPr>
              <w:fldChar w:fldCharType="separate"/>
            </w:r>
            <w:r w:rsidR="00250A2F">
              <w:rPr>
                <w:noProof/>
                <w:webHidden/>
              </w:rPr>
              <w:t>10</w:t>
            </w:r>
            <w:r w:rsidR="00AF55E8">
              <w:rPr>
                <w:noProof/>
                <w:webHidden/>
              </w:rPr>
              <w:fldChar w:fldCharType="end"/>
            </w:r>
          </w:hyperlink>
        </w:p>
        <w:p w14:paraId="78504430" w14:textId="77777777" w:rsidR="00AF55E8" w:rsidRDefault="00AD4C95">
          <w:pPr>
            <w:pStyle w:val="TOC2"/>
            <w:tabs>
              <w:tab w:val="right" w:leader="dot" w:pos="8975"/>
            </w:tabs>
            <w:rPr>
              <w:rFonts w:asciiTheme="minorHAnsi" w:hAnsiTheme="minorHAnsi" w:cstheme="minorBidi"/>
              <w:noProof/>
              <w:color w:val="auto"/>
              <w:sz w:val="22"/>
              <w:szCs w:val="22"/>
              <w:lang w:val="en-AU" w:eastAsia="en-AU"/>
            </w:rPr>
          </w:pPr>
          <w:hyperlink w:anchor="_Toc9443104" w:history="1">
            <w:r w:rsidR="00AF55E8" w:rsidRPr="006B55B6">
              <w:rPr>
                <w:rStyle w:val="Hyperlink"/>
                <w:noProof/>
              </w:rPr>
              <w:t>Departmental offices</w:t>
            </w:r>
            <w:r w:rsidR="00AF55E8">
              <w:rPr>
                <w:noProof/>
                <w:webHidden/>
              </w:rPr>
              <w:tab/>
            </w:r>
            <w:r w:rsidR="00AF55E8">
              <w:rPr>
                <w:noProof/>
                <w:webHidden/>
              </w:rPr>
              <w:fldChar w:fldCharType="begin"/>
            </w:r>
            <w:r w:rsidR="00AF55E8">
              <w:rPr>
                <w:noProof/>
                <w:webHidden/>
              </w:rPr>
              <w:instrText xml:space="preserve"> PAGEREF _Toc9443104 \h </w:instrText>
            </w:r>
            <w:r w:rsidR="00AF55E8">
              <w:rPr>
                <w:noProof/>
                <w:webHidden/>
              </w:rPr>
            </w:r>
            <w:r w:rsidR="00AF55E8">
              <w:rPr>
                <w:noProof/>
                <w:webHidden/>
              </w:rPr>
              <w:fldChar w:fldCharType="separate"/>
            </w:r>
            <w:r w:rsidR="00250A2F">
              <w:rPr>
                <w:noProof/>
                <w:webHidden/>
              </w:rPr>
              <w:t>10</w:t>
            </w:r>
            <w:r w:rsidR="00AF55E8">
              <w:rPr>
                <w:noProof/>
                <w:webHidden/>
              </w:rPr>
              <w:fldChar w:fldCharType="end"/>
            </w:r>
          </w:hyperlink>
        </w:p>
        <w:p w14:paraId="3A54E232" w14:textId="77777777" w:rsidR="00AF55E8" w:rsidRDefault="00AD4C95">
          <w:pPr>
            <w:pStyle w:val="TOC2"/>
            <w:tabs>
              <w:tab w:val="right" w:leader="dot" w:pos="8975"/>
            </w:tabs>
            <w:rPr>
              <w:rFonts w:asciiTheme="minorHAnsi" w:hAnsiTheme="minorHAnsi" w:cstheme="minorBidi"/>
              <w:noProof/>
              <w:color w:val="auto"/>
              <w:sz w:val="22"/>
              <w:szCs w:val="22"/>
              <w:lang w:val="en-AU" w:eastAsia="en-AU"/>
            </w:rPr>
          </w:pPr>
          <w:hyperlink w:anchor="_Toc9443105" w:history="1">
            <w:r w:rsidR="00AF55E8" w:rsidRPr="006B55B6">
              <w:rPr>
                <w:rStyle w:val="Hyperlink"/>
                <w:noProof/>
              </w:rPr>
              <w:t>Public enquiries</w:t>
            </w:r>
            <w:r w:rsidR="00AF55E8">
              <w:rPr>
                <w:noProof/>
                <w:webHidden/>
              </w:rPr>
              <w:tab/>
            </w:r>
            <w:r w:rsidR="00AF55E8">
              <w:rPr>
                <w:noProof/>
                <w:webHidden/>
              </w:rPr>
              <w:fldChar w:fldCharType="begin"/>
            </w:r>
            <w:r w:rsidR="00AF55E8">
              <w:rPr>
                <w:noProof/>
                <w:webHidden/>
              </w:rPr>
              <w:instrText xml:space="preserve"> PAGEREF _Toc9443105 \h </w:instrText>
            </w:r>
            <w:r w:rsidR="00AF55E8">
              <w:rPr>
                <w:noProof/>
                <w:webHidden/>
              </w:rPr>
            </w:r>
            <w:r w:rsidR="00AF55E8">
              <w:rPr>
                <w:noProof/>
                <w:webHidden/>
              </w:rPr>
              <w:fldChar w:fldCharType="separate"/>
            </w:r>
            <w:r w:rsidR="00250A2F">
              <w:rPr>
                <w:noProof/>
                <w:webHidden/>
              </w:rPr>
              <w:t>10</w:t>
            </w:r>
            <w:r w:rsidR="00AF55E8">
              <w:rPr>
                <w:noProof/>
                <w:webHidden/>
              </w:rPr>
              <w:fldChar w:fldCharType="end"/>
            </w:r>
          </w:hyperlink>
        </w:p>
        <w:p w14:paraId="65765C46" w14:textId="77777777" w:rsidR="00740CC5" w:rsidRDefault="00AF69E1" w:rsidP="00775567">
          <w:pPr>
            <w:spacing w:before="0" w:after="0"/>
          </w:pPr>
          <w:r>
            <w:rPr>
              <w:rFonts w:cs="Arial"/>
              <w:b/>
              <w:bCs/>
              <w:noProof/>
              <w:sz w:val="22"/>
              <w:szCs w:val="22"/>
            </w:rPr>
            <w:fldChar w:fldCharType="end"/>
          </w:r>
        </w:p>
      </w:sdtContent>
    </w:sdt>
    <w:p w14:paraId="08BEC78B" w14:textId="77777777" w:rsidR="00FB6917" w:rsidRPr="004F18B6" w:rsidRDefault="00FB6917" w:rsidP="00F43E61">
      <w:bookmarkStart w:id="4" w:name="_Toc8802714"/>
      <w:r w:rsidRPr="00F43E61">
        <w:rPr>
          <w:rFonts w:ascii="Century Gothic" w:hAnsi="Century Gothic"/>
          <w:color w:val="36384C"/>
          <w:sz w:val="36"/>
          <w:szCs w:val="36"/>
        </w:rPr>
        <w:t>Acknowledgements</w:t>
      </w:r>
      <w:bookmarkEnd w:id="4"/>
    </w:p>
    <w:p w14:paraId="19F9D85F" w14:textId="77777777" w:rsidR="00FB6917" w:rsidRPr="004F18B6" w:rsidRDefault="00FB6917" w:rsidP="00F43E61">
      <w:r w:rsidRPr="00F43E61">
        <w:t>The Department of Local Government, Sport and Cultural Industries (</w:t>
      </w:r>
      <w:r w:rsidR="00AD46DF" w:rsidRPr="00F43E61">
        <w:t>d</w:t>
      </w:r>
      <w:r w:rsidRPr="00F43E61">
        <w:t xml:space="preserve">epartment) </w:t>
      </w:r>
      <w:r w:rsidRPr="004F18B6">
        <w:t xml:space="preserve">acknowledges the ideas and inputs received from individuals, community representatives and staff which collectively has formed the basis </w:t>
      </w:r>
      <w:r w:rsidR="00C26664" w:rsidRPr="004F18B6">
        <w:t>o</w:t>
      </w:r>
      <w:r w:rsidRPr="004F18B6">
        <w:t>f this Disability Access and Inclusion Plan (DAIP).</w:t>
      </w:r>
    </w:p>
    <w:p w14:paraId="20EE62D2" w14:textId="77777777" w:rsidR="00FB6917" w:rsidRDefault="00FB6917" w:rsidP="00F43E61">
      <w:r>
        <w:t xml:space="preserve">This DAIP is informed by prior consultation undertaken in 2017 by </w:t>
      </w:r>
      <w:r w:rsidRPr="00EC541E">
        <w:t>DADAA</w:t>
      </w:r>
      <w:r>
        <w:t xml:space="preserve"> Ltd on behalf of the Department and the subsequent report </w:t>
      </w:r>
      <w:r w:rsidRPr="00EC541E">
        <w:t>Embedding</w:t>
      </w:r>
      <w:r>
        <w:t xml:space="preserve"> </w:t>
      </w:r>
      <w:r w:rsidRPr="00EC541E">
        <w:t>Access:</w:t>
      </w:r>
      <w:r>
        <w:t xml:space="preserve"> </w:t>
      </w:r>
      <w:r w:rsidRPr="00EC541E">
        <w:t>An</w:t>
      </w:r>
      <w:r>
        <w:t xml:space="preserve"> </w:t>
      </w:r>
      <w:r w:rsidRPr="00EC541E">
        <w:t>Opportunity</w:t>
      </w:r>
      <w:r>
        <w:t xml:space="preserve"> f</w:t>
      </w:r>
      <w:r w:rsidRPr="00EC541E">
        <w:t>o</w:t>
      </w:r>
      <w:r>
        <w:t>r t</w:t>
      </w:r>
      <w:r w:rsidRPr="00EC541E">
        <w:t>h</w:t>
      </w:r>
      <w:r>
        <w:t xml:space="preserve">e </w:t>
      </w:r>
      <w:r w:rsidRPr="00EC541E">
        <w:t>Arts</w:t>
      </w:r>
      <w:r>
        <w:t xml:space="preserve"> </w:t>
      </w:r>
      <w:r w:rsidRPr="00EC541E">
        <w:t>Secto</w:t>
      </w:r>
      <w:r>
        <w:t xml:space="preserve">r. </w:t>
      </w:r>
    </w:p>
    <w:p w14:paraId="7451CF81" w14:textId="77777777" w:rsidR="00AF69E1" w:rsidRDefault="00AF69E1" w:rsidP="00AF69E1">
      <w:pPr>
        <w:pStyle w:val="Heading1"/>
        <w:sectPr w:rsidR="00AF69E1" w:rsidSect="00E348A7">
          <w:headerReference w:type="even" r:id="rId15"/>
          <w:headerReference w:type="default" r:id="rId16"/>
          <w:footerReference w:type="default" r:id="rId17"/>
          <w:headerReference w:type="first" r:id="rId18"/>
          <w:pgSz w:w="11906" w:h="16838"/>
          <w:pgMar w:top="1135" w:right="1841" w:bottom="1418" w:left="1080" w:header="708" w:footer="250" w:gutter="0"/>
          <w:cols w:space="708"/>
          <w:docGrid w:linePitch="360"/>
        </w:sectPr>
      </w:pPr>
    </w:p>
    <w:p w14:paraId="01927111" w14:textId="77777777" w:rsidR="00FB6917" w:rsidRDefault="00FB6917">
      <w:pPr>
        <w:pStyle w:val="Heading1"/>
      </w:pPr>
      <w:bookmarkStart w:id="5" w:name="_Toc9443084"/>
      <w:r>
        <w:lastRenderedPageBreak/>
        <w:t>Foreword</w:t>
      </w:r>
      <w:bookmarkEnd w:id="5"/>
    </w:p>
    <w:p w14:paraId="6A084D8C" w14:textId="77777777" w:rsidR="00FB6917" w:rsidRDefault="00FB6917" w:rsidP="00F43E61">
      <w:r w:rsidRPr="005159A6">
        <w:t xml:space="preserve">The </w:t>
      </w:r>
      <w:r w:rsidR="00AD46DF">
        <w:t>department</w:t>
      </w:r>
      <w:r>
        <w:t xml:space="preserve"> takes a planned approach to identify and create opportunities for </w:t>
      </w:r>
      <w:r w:rsidRPr="005159A6">
        <w:t xml:space="preserve">continuous </w:t>
      </w:r>
      <w:r>
        <w:t xml:space="preserve">improvement across </w:t>
      </w:r>
      <w:proofErr w:type="gramStart"/>
      <w:r w:rsidR="00AD46DF">
        <w:t>all</w:t>
      </w:r>
      <w:r>
        <w:t xml:space="preserve"> </w:t>
      </w:r>
      <w:r w:rsidR="002E7BC3">
        <w:t>of</w:t>
      </w:r>
      <w:proofErr w:type="gramEnd"/>
      <w:r w:rsidR="002E7BC3">
        <w:t xml:space="preserve"> </w:t>
      </w:r>
      <w:r>
        <w:t>its services to ensure access and inclusion of all people</w:t>
      </w:r>
      <w:r w:rsidR="00DD4C06">
        <w:t>.</w:t>
      </w:r>
      <w:r>
        <w:t xml:space="preserve"> This includes taking deliberate action to ensure</w:t>
      </w:r>
      <w:r w:rsidRPr="005159A6">
        <w:t xml:space="preserve"> people with disability</w:t>
      </w:r>
      <w:r w:rsidR="00361F08">
        <w:t>,</w:t>
      </w:r>
      <w:r w:rsidRPr="005159A6">
        <w:t xml:space="preserve"> their families and carers</w:t>
      </w:r>
      <w:r>
        <w:t xml:space="preserve"> have</w:t>
      </w:r>
      <w:r w:rsidRPr="005159A6">
        <w:t xml:space="preserve"> access </w:t>
      </w:r>
      <w:r>
        <w:t xml:space="preserve">to the </w:t>
      </w:r>
      <w:r w:rsidR="00C26664">
        <w:t>department</w:t>
      </w:r>
      <w:r>
        <w:t>’s</w:t>
      </w:r>
      <w:r w:rsidRPr="005159A6">
        <w:t xml:space="preserve"> sporting, recreational, arts and cultural services, information and facilities. </w:t>
      </w:r>
    </w:p>
    <w:p w14:paraId="5B93F2CA" w14:textId="77777777" w:rsidR="00B94383" w:rsidRDefault="00B94383" w:rsidP="00F43E61">
      <w:r w:rsidRPr="00B94383">
        <w:t xml:space="preserve">The obligation to develop and implement a </w:t>
      </w:r>
      <w:r w:rsidR="00AD46DF">
        <w:t>DAIP</w:t>
      </w:r>
      <w:r w:rsidRPr="00B94383">
        <w:t xml:space="preserve"> is a shared responsibility across the whole of the </w:t>
      </w:r>
      <w:r w:rsidR="00C26664">
        <w:t>d</w:t>
      </w:r>
      <w:r w:rsidRPr="00B94383">
        <w:t xml:space="preserve">epartment. </w:t>
      </w:r>
      <w:r w:rsidR="00DD4C06">
        <w:rPr>
          <w:szCs w:val="24"/>
        </w:rPr>
        <w:t xml:space="preserve">The </w:t>
      </w:r>
      <w:r w:rsidR="00C26664">
        <w:rPr>
          <w:szCs w:val="24"/>
        </w:rPr>
        <w:t>d</w:t>
      </w:r>
      <w:r w:rsidR="00DD4C06">
        <w:rPr>
          <w:szCs w:val="24"/>
        </w:rPr>
        <w:t xml:space="preserve">epartment is </w:t>
      </w:r>
      <w:r w:rsidR="00DD4C06" w:rsidRPr="00EF3820">
        <w:t xml:space="preserve">committed to furthering the principles and objectives of the </w:t>
      </w:r>
      <w:r w:rsidR="00DD4C06" w:rsidRPr="004A6236">
        <w:rPr>
          <w:i/>
        </w:rPr>
        <w:t>Disability Services Act 1993</w:t>
      </w:r>
      <w:r w:rsidR="00DD4C06" w:rsidRPr="00EF3820">
        <w:t xml:space="preserve"> (amended 2004) </w:t>
      </w:r>
      <w:r w:rsidR="00DD4C06">
        <w:t>including the seven DAIP outcomes and a</w:t>
      </w:r>
      <w:r w:rsidRPr="00B94383">
        <w:t>ll business areas are expected to take active steps to improve access and inclusion and have input into DAIP development and implementation.</w:t>
      </w:r>
    </w:p>
    <w:p w14:paraId="55D60925" w14:textId="77777777" w:rsidR="00FB6917" w:rsidRDefault="00FB6917" w:rsidP="00F43E61">
      <w:r w:rsidRPr="005159A6">
        <w:t>The 201</w:t>
      </w:r>
      <w:r>
        <w:t>9</w:t>
      </w:r>
      <w:r w:rsidRPr="005159A6">
        <w:t>-20</w:t>
      </w:r>
      <w:r>
        <w:t>24</w:t>
      </w:r>
      <w:r w:rsidR="00B94383">
        <w:t xml:space="preserve"> DAIP</w:t>
      </w:r>
      <w:r>
        <w:t xml:space="preserve"> is the first five-year </w:t>
      </w:r>
      <w:r w:rsidR="00B94383">
        <w:t>plan of</w:t>
      </w:r>
      <w:r>
        <w:t xml:space="preserve"> the new </w:t>
      </w:r>
      <w:r w:rsidR="00C26664">
        <w:t>d</w:t>
      </w:r>
      <w:r>
        <w:t>epartment</w:t>
      </w:r>
      <w:r w:rsidR="00B94383">
        <w:t xml:space="preserve">. </w:t>
      </w:r>
      <w:r w:rsidR="00DD4C06">
        <w:t xml:space="preserve">The plan </w:t>
      </w:r>
      <w:r w:rsidR="00C243F1">
        <w:t xml:space="preserve">also </w:t>
      </w:r>
      <w:r>
        <w:t xml:space="preserve">supports the </w:t>
      </w:r>
      <w:r w:rsidR="00C26664">
        <w:t>d</w:t>
      </w:r>
      <w:r>
        <w:t>epartment to meet its obligations under</w:t>
      </w:r>
      <w:r w:rsidRPr="003F3F82">
        <w:t xml:space="preserve"> the </w:t>
      </w:r>
      <w:r w:rsidRPr="004A6236">
        <w:rPr>
          <w:i/>
        </w:rPr>
        <w:t>Equal Opportunity Act 1984</w:t>
      </w:r>
      <w:r w:rsidRPr="003F3F82">
        <w:t xml:space="preserve">, the </w:t>
      </w:r>
      <w:r w:rsidRPr="004A6236">
        <w:rPr>
          <w:i/>
        </w:rPr>
        <w:t>Disability Discrimination Act 1992</w:t>
      </w:r>
      <w:r w:rsidRPr="003F3F82">
        <w:t xml:space="preserve"> (DDA), the </w:t>
      </w:r>
      <w:r w:rsidRPr="004A6236">
        <w:rPr>
          <w:i/>
        </w:rPr>
        <w:t>Carers Recognition Act 2004</w:t>
      </w:r>
      <w:r w:rsidRPr="003F3F82">
        <w:t xml:space="preserve"> and United Nations Convention on the Rights of Persons with Disability</w:t>
      </w:r>
      <w:r w:rsidR="00DD4C06">
        <w:t>.</w:t>
      </w:r>
    </w:p>
    <w:p w14:paraId="0F29C183" w14:textId="77777777" w:rsidR="00FB6917" w:rsidRDefault="00FB6917" w:rsidP="00F43E61">
      <w:r>
        <w:t>This DAIP draws on the</w:t>
      </w:r>
      <w:r w:rsidR="00E06ABE">
        <w:t xml:space="preserve"> direct </w:t>
      </w:r>
      <w:r w:rsidR="00DD4C06">
        <w:t>experiences of people with disability, families and carers. It is informed by pr</w:t>
      </w:r>
      <w:r w:rsidRPr="005159A6">
        <w:t xml:space="preserve">evious DAIPs </w:t>
      </w:r>
      <w:r w:rsidR="00DD4C06">
        <w:t xml:space="preserve">and advice from </w:t>
      </w:r>
      <w:r w:rsidR="00C26664">
        <w:t>d</w:t>
      </w:r>
      <w:r w:rsidR="00DD4C06">
        <w:t>epartmental staff</w:t>
      </w:r>
      <w:r w:rsidRPr="005159A6">
        <w:t>.</w:t>
      </w:r>
      <w:r w:rsidR="00DD4C06">
        <w:t xml:space="preserve"> </w:t>
      </w:r>
      <w:r>
        <w:t xml:space="preserve">The plan </w:t>
      </w:r>
      <w:r w:rsidRPr="005159A6">
        <w:t xml:space="preserve">outlines </w:t>
      </w:r>
      <w:r>
        <w:t xml:space="preserve">specific </w:t>
      </w:r>
      <w:r w:rsidRPr="005159A6">
        <w:t xml:space="preserve">strategies </w:t>
      </w:r>
      <w:r>
        <w:t xml:space="preserve">to improve outcomes for people with disability across seven areas of public life including supporting </w:t>
      </w:r>
      <w:r w:rsidRPr="005159A6">
        <w:t xml:space="preserve">people with disability and their families and carers to </w:t>
      </w:r>
      <w:r>
        <w:t>access and use</w:t>
      </w:r>
      <w:r w:rsidRPr="005159A6">
        <w:t xml:space="preserve"> the </w:t>
      </w:r>
      <w:r w:rsidR="00C26664">
        <w:t>d</w:t>
      </w:r>
      <w:r w:rsidRPr="005159A6">
        <w:t>epartment’s services, facilities and information</w:t>
      </w:r>
      <w:r>
        <w:t xml:space="preserve"> and </w:t>
      </w:r>
      <w:r w:rsidRPr="005159A6">
        <w:t xml:space="preserve">providing </w:t>
      </w:r>
      <w:r>
        <w:t xml:space="preserve">all people </w:t>
      </w:r>
      <w:r w:rsidRPr="005159A6">
        <w:t>with the same opportunities, rights and responsibilities</w:t>
      </w:r>
      <w:r>
        <w:t xml:space="preserve">. </w:t>
      </w:r>
    </w:p>
    <w:p w14:paraId="4FF175BD" w14:textId="77777777" w:rsidR="00FB6917" w:rsidRDefault="00FB6917" w:rsidP="00F43E61">
      <w:pPr>
        <w:rPr>
          <w:rFonts w:cs="Arial"/>
          <w:szCs w:val="24"/>
        </w:rPr>
      </w:pPr>
      <w:r w:rsidRPr="007D4862">
        <w:t xml:space="preserve">This DAIP </w:t>
      </w:r>
      <w:r>
        <w:t xml:space="preserve">will act as a key strategic document to guide the </w:t>
      </w:r>
      <w:r w:rsidR="00C26664">
        <w:t>d</w:t>
      </w:r>
      <w:r>
        <w:t xml:space="preserve">epartment’s commitment and investment in access and inclusion over </w:t>
      </w:r>
      <w:r w:rsidRPr="007D4862">
        <w:t xml:space="preserve">the next five years. It </w:t>
      </w:r>
      <w:r>
        <w:t>is</w:t>
      </w:r>
      <w:r w:rsidRPr="007D4862">
        <w:t xml:space="preserve"> supported by an implementation plan </w:t>
      </w:r>
      <w:r>
        <w:t xml:space="preserve">that outlines the </w:t>
      </w:r>
      <w:r w:rsidR="00DD4C06">
        <w:t xml:space="preserve">roles and responsibilities of staff and the </w:t>
      </w:r>
      <w:r>
        <w:t>actions</w:t>
      </w:r>
      <w:r w:rsidR="00DD4C06">
        <w:t xml:space="preserve"> required of the</w:t>
      </w:r>
      <w:r>
        <w:t xml:space="preserve"> </w:t>
      </w:r>
      <w:r w:rsidR="00C26664">
        <w:t>d</w:t>
      </w:r>
      <w:r>
        <w:t>epartment to support people with disability to have the same opportunities to participate in community life.</w:t>
      </w:r>
    </w:p>
    <w:p w14:paraId="7D3EA182" w14:textId="77777777" w:rsidR="00FB6917" w:rsidRDefault="00FB6917" w:rsidP="00F43E61"/>
    <w:p w14:paraId="66C6EDDD" w14:textId="77777777" w:rsidR="00E0230B" w:rsidRDefault="00E0230B" w:rsidP="00F43E61"/>
    <w:p w14:paraId="78A01804" w14:textId="77777777" w:rsidR="00FB6917" w:rsidRDefault="00FB6917" w:rsidP="00F43E61">
      <w:pPr>
        <w:spacing w:after="0"/>
      </w:pPr>
      <w:r>
        <w:t>Duncan Ord</w:t>
      </w:r>
      <w:r w:rsidR="00C26664">
        <w:t xml:space="preserve"> OA</w:t>
      </w:r>
      <w:r w:rsidR="006119D5">
        <w:t>M</w:t>
      </w:r>
    </w:p>
    <w:p w14:paraId="30C63E66" w14:textId="77777777" w:rsidR="00FB6917" w:rsidRDefault="00FB6917" w:rsidP="00F43E61">
      <w:pPr>
        <w:spacing w:before="0"/>
      </w:pPr>
      <w:r>
        <w:t>Director General</w:t>
      </w:r>
      <w:r>
        <w:br w:type="page"/>
      </w:r>
    </w:p>
    <w:p w14:paraId="4054AD17" w14:textId="77777777" w:rsidR="00FB6917" w:rsidRDefault="00FB6917" w:rsidP="00F43E61">
      <w:pPr>
        <w:pStyle w:val="Heading1"/>
      </w:pPr>
      <w:bookmarkStart w:id="6" w:name="_Toc9443085"/>
      <w:r>
        <w:lastRenderedPageBreak/>
        <w:t xml:space="preserve">Departmental </w:t>
      </w:r>
      <w:r w:rsidR="00635536">
        <w:t>functions</w:t>
      </w:r>
      <w:bookmarkEnd w:id="6"/>
    </w:p>
    <w:p w14:paraId="0B8123A0" w14:textId="77777777" w:rsidR="00FB6917" w:rsidRDefault="00FB6917" w:rsidP="00F43E61">
      <w:pPr>
        <w:rPr>
          <w:lang w:val="en-US"/>
        </w:rPr>
      </w:pPr>
      <w:r w:rsidRPr="005159A6">
        <w:rPr>
          <w:lang w:val="en-US"/>
        </w:rPr>
        <w:t xml:space="preserve">The Department of Local Government, Sport and Cultural Industries was established in July 2017 </w:t>
      </w:r>
      <w:r>
        <w:rPr>
          <w:lang w:val="en-US"/>
        </w:rPr>
        <w:t xml:space="preserve">and brought together </w:t>
      </w:r>
      <w:r w:rsidRPr="005159A6">
        <w:rPr>
          <w:lang w:val="en-US"/>
        </w:rPr>
        <w:t xml:space="preserve">the former </w:t>
      </w:r>
      <w:r w:rsidR="00AD46DF">
        <w:rPr>
          <w:lang w:val="en-US"/>
        </w:rPr>
        <w:t>d</w:t>
      </w:r>
      <w:r w:rsidRPr="005159A6">
        <w:rPr>
          <w:lang w:val="en-US"/>
        </w:rPr>
        <w:t>epartments of Culture and the Arts; Sport and Recreation; Racing, Gaming and Liquor; the Office of Multicultural Interests</w:t>
      </w:r>
      <w:r>
        <w:rPr>
          <w:lang w:val="en-US"/>
        </w:rPr>
        <w:t xml:space="preserve">, </w:t>
      </w:r>
      <w:r w:rsidRPr="005159A6">
        <w:rPr>
          <w:lang w:val="en-US"/>
        </w:rPr>
        <w:t>the former Department of Aboriginal Affairs' Aboriginal History Research Unit</w:t>
      </w:r>
      <w:r>
        <w:rPr>
          <w:lang w:val="en-US"/>
        </w:rPr>
        <w:t xml:space="preserve"> and</w:t>
      </w:r>
      <w:r w:rsidRPr="005159A6">
        <w:rPr>
          <w:lang w:val="en-US"/>
        </w:rPr>
        <w:t xml:space="preserve"> the local government functions of the former Department of Local Government and Communities</w:t>
      </w:r>
      <w:r>
        <w:rPr>
          <w:lang w:val="en-US"/>
        </w:rPr>
        <w:t>.</w:t>
      </w:r>
    </w:p>
    <w:p w14:paraId="7440638D" w14:textId="77777777" w:rsidR="00CB18F1" w:rsidRDefault="00FB6917" w:rsidP="00F43E61">
      <w:r w:rsidRPr="005159A6">
        <w:rPr>
          <w:shd w:val="clear" w:color="auto" w:fill="FFFFFF"/>
        </w:rPr>
        <w:t xml:space="preserve">The </w:t>
      </w:r>
      <w:r w:rsidR="004A6236">
        <w:rPr>
          <w:shd w:val="clear" w:color="auto" w:fill="FFFFFF"/>
        </w:rPr>
        <w:t>d</w:t>
      </w:r>
      <w:r w:rsidRPr="005159A6">
        <w:rPr>
          <w:shd w:val="clear" w:color="auto" w:fill="FFFFFF"/>
        </w:rPr>
        <w:t>epartment</w:t>
      </w:r>
      <w:r>
        <w:rPr>
          <w:shd w:val="clear" w:color="auto" w:fill="FFFFFF"/>
        </w:rPr>
        <w:t xml:space="preserve"> is primarily focused on </w:t>
      </w:r>
      <w:r w:rsidRPr="005159A6">
        <w:rPr>
          <w:shd w:val="clear" w:color="auto" w:fill="FFFFFF"/>
        </w:rPr>
        <w:t>enliven</w:t>
      </w:r>
      <w:r>
        <w:rPr>
          <w:shd w:val="clear" w:color="auto" w:fill="FFFFFF"/>
        </w:rPr>
        <w:t>ing</w:t>
      </w:r>
      <w:r w:rsidRPr="005159A6">
        <w:rPr>
          <w:shd w:val="clear" w:color="auto" w:fill="FFFFFF"/>
        </w:rPr>
        <w:t xml:space="preserve"> the Western Australian community and economy through support for and provision of sporting, recreational, cultural and artistic policy, programs and activities.</w:t>
      </w:r>
      <w:r w:rsidRPr="005159A6">
        <w:t xml:space="preserve"> </w:t>
      </w:r>
      <w:r w:rsidR="00CB18F1">
        <w:t xml:space="preserve">A full list of </w:t>
      </w:r>
      <w:r w:rsidR="004A6236">
        <w:t>d</w:t>
      </w:r>
      <w:r w:rsidR="00CB18F1">
        <w:t xml:space="preserve">epartment facilities and services is provided as an </w:t>
      </w:r>
      <w:r w:rsidR="00FF508A">
        <w:t xml:space="preserve">appendix </w:t>
      </w:r>
      <w:r w:rsidR="00CB18F1">
        <w:t>at the end of this document.</w:t>
      </w:r>
    </w:p>
    <w:p w14:paraId="6537FB6D" w14:textId="77777777" w:rsidR="00FB6917" w:rsidRDefault="00FB6917" w:rsidP="00F43E61">
      <w:pPr>
        <w:rPr>
          <w:shd w:val="clear" w:color="auto" w:fill="FFFFFF"/>
        </w:rPr>
      </w:pPr>
      <w:r w:rsidRPr="005159A6">
        <w:t xml:space="preserve">The </w:t>
      </w:r>
      <w:r w:rsidR="004A6236">
        <w:t>d</w:t>
      </w:r>
      <w:r w:rsidRPr="005159A6">
        <w:t xml:space="preserve">epartment also provides regulation and support to local governments and the racing, gaming and liquor industries to maintain quality and compliance with relevant legislation, for the benefit of all Western Australians. </w:t>
      </w:r>
      <w:r>
        <w:t xml:space="preserve">The </w:t>
      </w:r>
      <w:r w:rsidR="004A6236">
        <w:t>d</w:t>
      </w:r>
      <w:r>
        <w:t xml:space="preserve">epartment </w:t>
      </w:r>
      <w:r w:rsidRPr="005159A6">
        <w:rPr>
          <w:shd w:val="clear" w:color="auto" w:fill="FFFFFF"/>
        </w:rPr>
        <w:t xml:space="preserve">works with partners across government and within </w:t>
      </w:r>
      <w:r>
        <w:rPr>
          <w:shd w:val="clear" w:color="auto" w:fill="FFFFFF"/>
        </w:rPr>
        <w:t>each of its business areas.</w:t>
      </w:r>
    </w:p>
    <w:p w14:paraId="2FB57152" w14:textId="77777777" w:rsidR="00740CC5" w:rsidRPr="00D85DF5" w:rsidRDefault="00740CC5">
      <w:pPr>
        <w:pStyle w:val="Heading1"/>
      </w:pPr>
      <w:bookmarkStart w:id="7" w:name="_Toc9443086"/>
      <w:r w:rsidRPr="00D85DF5">
        <w:t>DAIP outcomes</w:t>
      </w:r>
      <w:bookmarkEnd w:id="7"/>
    </w:p>
    <w:p w14:paraId="5EC91FC5" w14:textId="77777777" w:rsidR="00740CC5" w:rsidRDefault="00740CC5" w:rsidP="00F43E61">
      <w:r w:rsidRPr="005159A6">
        <w:t>The</w:t>
      </w:r>
      <w:r>
        <w:t xml:space="preserve">re are seven DAIP outcomes which the </w:t>
      </w:r>
      <w:r w:rsidR="00C26664">
        <w:t>d</w:t>
      </w:r>
      <w:r w:rsidRPr="005159A6">
        <w:t>epartment</w:t>
      </w:r>
      <w:r>
        <w:t xml:space="preserve"> seeks to achieve. </w:t>
      </w:r>
    </w:p>
    <w:p w14:paraId="64D49F42" w14:textId="77777777" w:rsidR="00740CC5" w:rsidRDefault="00740CC5" w:rsidP="00F43E61">
      <w:pPr>
        <w:pStyle w:val="ListParagraph"/>
        <w:numPr>
          <w:ilvl w:val="0"/>
          <w:numId w:val="2"/>
        </w:numPr>
        <w:ind w:left="357" w:hanging="357"/>
        <w:contextualSpacing w:val="0"/>
      </w:pPr>
      <w:r w:rsidRPr="005159A6">
        <w:t xml:space="preserve">People with disability have the same opportunities as other people to access the services of, and any events organised by, the </w:t>
      </w:r>
      <w:r w:rsidR="00460D50">
        <w:t>d</w:t>
      </w:r>
      <w:r w:rsidRPr="005159A6">
        <w:t>epartment.</w:t>
      </w:r>
    </w:p>
    <w:p w14:paraId="4BEE86E2" w14:textId="77777777" w:rsidR="00740CC5" w:rsidRDefault="00740CC5" w:rsidP="00F43E61">
      <w:pPr>
        <w:pStyle w:val="ListParagraph"/>
        <w:numPr>
          <w:ilvl w:val="0"/>
          <w:numId w:val="2"/>
        </w:numPr>
        <w:ind w:left="357" w:hanging="357"/>
        <w:contextualSpacing w:val="0"/>
      </w:pPr>
      <w:r w:rsidRPr="005159A6">
        <w:t xml:space="preserve">People with disability have the same opportunities as other people to access the buildings and other facilities of the </w:t>
      </w:r>
      <w:r w:rsidR="00460D50">
        <w:t>d</w:t>
      </w:r>
      <w:r w:rsidRPr="005159A6">
        <w:t>epartment.</w:t>
      </w:r>
    </w:p>
    <w:p w14:paraId="18B97920" w14:textId="77777777" w:rsidR="00740CC5" w:rsidRDefault="00740CC5" w:rsidP="00F43E61">
      <w:pPr>
        <w:pStyle w:val="ListParagraph"/>
        <w:numPr>
          <w:ilvl w:val="0"/>
          <w:numId w:val="2"/>
        </w:numPr>
        <w:ind w:left="357" w:hanging="357"/>
        <w:contextualSpacing w:val="0"/>
      </w:pPr>
      <w:r w:rsidRPr="005159A6">
        <w:t xml:space="preserve">People with disability receive information from the </w:t>
      </w:r>
      <w:r w:rsidR="00460D50">
        <w:t>d</w:t>
      </w:r>
      <w:r w:rsidRPr="005159A6">
        <w:t>epartment in a format that will enable them to access the information as readily as other people are able to access it.</w:t>
      </w:r>
    </w:p>
    <w:p w14:paraId="1E687F1E" w14:textId="77777777" w:rsidR="00740CC5" w:rsidRDefault="00740CC5" w:rsidP="00F43E61">
      <w:pPr>
        <w:pStyle w:val="ListParagraph"/>
        <w:numPr>
          <w:ilvl w:val="0"/>
          <w:numId w:val="2"/>
        </w:numPr>
        <w:ind w:left="357" w:hanging="357"/>
        <w:contextualSpacing w:val="0"/>
      </w:pPr>
      <w:r w:rsidRPr="005159A6">
        <w:t xml:space="preserve">People with disability receive the same level and quality of services from the staff of the </w:t>
      </w:r>
      <w:r>
        <w:t>d</w:t>
      </w:r>
      <w:r w:rsidRPr="005159A6">
        <w:t xml:space="preserve">epartment as other people receive from the staff of the </w:t>
      </w:r>
      <w:r w:rsidR="00460D50">
        <w:t>d</w:t>
      </w:r>
      <w:r w:rsidRPr="005159A6">
        <w:t>epartment.</w:t>
      </w:r>
    </w:p>
    <w:p w14:paraId="29E1681C" w14:textId="77777777" w:rsidR="00740CC5" w:rsidRDefault="00740CC5" w:rsidP="00F43E61">
      <w:pPr>
        <w:pStyle w:val="ListParagraph"/>
        <w:numPr>
          <w:ilvl w:val="0"/>
          <w:numId w:val="2"/>
        </w:numPr>
        <w:ind w:left="357" w:hanging="357"/>
        <w:contextualSpacing w:val="0"/>
      </w:pPr>
      <w:r w:rsidRPr="005159A6">
        <w:t xml:space="preserve">People with disability have the same opportunities as other people to make complaints to the </w:t>
      </w:r>
      <w:r w:rsidR="00460D50">
        <w:t>d</w:t>
      </w:r>
      <w:r w:rsidRPr="005159A6">
        <w:t>epartment.</w:t>
      </w:r>
    </w:p>
    <w:p w14:paraId="4763B537" w14:textId="77777777" w:rsidR="00740CC5" w:rsidRDefault="00740CC5" w:rsidP="00F43E61">
      <w:pPr>
        <w:pStyle w:val="ListParagraph"/>
        <w:numPr>
          <w:ilvl w:val="0"/>
          <w:numId w:val="2"/>
        </w:numPr>
        <w:ind w:left="357" w:hanging="357"/>
        <w:contextualSpacing w:val="0"/>
      </w:pPr>
      <w:r w:rsidRPr="005159A6">
        <w:t xml:space="preserve">People with disability have the same opportunities as other people to participate in any public consultation by the </w:t>
      </w:r>
      <w:r w:rsidR="00460D50">
        <w:t>d</w:t>
      </w:r>
      <w:r w:rsidRPr="005159A6">
        <w:t>epartment.</w:t>
      </w:r>
    </w:p>
    <w:p w14:paraId="572BDDEA" w14:textId="77777777" w:rsidR="00740CC5" w:rsidRPr="005159A6" w:rsidRDefault="00740CC5" w:rsidP="00F43E61">
      <w:pPr>
        <w:pStyle w:val="ListParagraph"/>
        <w:numPr>
          <w:ilvl w:val="0"/>
          <w:numId w:val="2"/>
        </w:numPr>
        <w:ind w:left="357" w:hanging="357"/>
        <w:contextualSpacing w:val="0"/>
      </w:pPr>
      <w:r w:rsidRPr="005159A6">
        <w:t xml:space="preserve">People with disability have the same opportunities as other people to </w:t>
      </w:r>
      <w:r>
        <w:t>obtain and maintain</w:t>
      </w:r>
      <w:r w:rsidRPr="005159A6">
        <w:t xml:space="preserve"> employment with the </w:t>
      </w:r>
      <w:r w:rsidR="00460D50">
        <w:t>d</w:t>
      </w:r>
      <w:r w:rsidRPr="005159A6">
        <w:t>epartment.</w:t>
      </w:r>
    </w:p>
    <w:p w14:paraId="48ED392B" w14:textId="77777777" w:rsidR="00E0230B" w:rsidRDefault="00E0230B" w:rsidP="00F43E61">
      <w:pPr>
        <w:pStyle w:val="Heading2"/>
        <w:sectPr w:rsidR="00E0230B" w:rsidSect="00E348A7">
          <w:headerReference w:type="even" r:id="rId19"/>
          <w:headerReference w:type="default" r:id="rId20"/>
          <w:footerReference w:type="default" r:id="rId21"/>
          <w:headerReference w:type="first" r:id="rId22"/>
          <w:pgSz w:w="11906" w:h="16838"/>
          <w:pgMar w:top="1135" w:right="1841" w:bottom="1418" w:left="1080" w:header="708" w:footer="250" w:gutter="0"/>
          <w:pgNumType w:start="1"/>
          <w:cols w:space="708"/>
          <w:docGrid w:linePitch="360"/>
        </w:sectPr>
      </w:pPr>
    </w:p>
    <w:p w14:paraId="4FB6F452" w14:textId="77777777" w:rsidR="00740CC5" w:rsidRPr="005159A6" w:rsidRDefault="00740CC5" w:rsidP="00E651CE">
      <w:pPr>
        <w:pStyle w:val="Heading1"/>
        <w:spacing w:before="240"/>
      </w:pPr>
      <w:bookmarkStart w:id="8" w:name="_Toc9443087"/>
      <w:r w:rsidRPr="005159A6">
        <w:lastRenderedPageBreak/>
        <w:t>Consultation</w:t>
      </w:r>
      <w:bookmarkEnd w:id="8"/>
      <w:r w:rsidRPr="005159A6">
        <w:t xml:space="preserve"> </w:t>
      </w:r>
    </w:p>
    <w:p w14:paraId="38C7D57E" w14:textId="77777777" w:rsidR="00740CC5" w:rsidRPr="00F71006" w:rsidRDefault="53929E55" w:rsidP="00F43E61">
      <w:r w:rsidRPr="53929E55">
        <w:rPr>
          <w:color w:val="221E1F"/>
        </w:rPr>
        <w:t xml:space="preserve">The </w:t>
      </w:r>
      <w:r w:rsidRPr="53929E55">
        <w:rPr>
          <w:i/>
          <w:iCs/>
          <w:color w:val="221E1F"/>
        </w:rPr>
        <w:t>Disability Services Act 1993</w:t>
      </w:r>
      <w:r w:rsidRPr="53929E55">
        <w:rPr>
          <w:color w:val="221E1F"/>
        </w:rPr>
        <w:t xml:space="preserve"> sets out the minimum consultation requirements for public authorities in relation to DAIPs. </w:t>
      </w:r>
      <w:r>
        <w:t xml:space="preserve">This DAIP was developed in consultation with people with disability, families, carers, disability organisations, members of the City of Perth DAIP Reference Group and other community members who were invited to a community consultation session to provide direct input into the DAIP. The consultation session was advertised state-wide in </w:t>
      </w:r>
      <w:r w:rsidRPr="53929E55">
        <w:rPr>
          <w:i/>
          <w:iCs/>
        </w:rPr>
        <w:t>The West Australian</w:t>
      </w:r>
      <w:r>
        <w:t xml:space="preserve"> on Saturday, 16 March 2019; was available via the department’s website and promoted by email directly to disability organisations and advocacy groups that represent people with disability, families, carers and specialist disability service providers. The session was promoted online through Facebook, Twitter and LinkedIn. The opportunity to give feedback by writing or emailing the department was also provided.</w:t>
      </w:r>
    </w:p>
    <w:p w14:paraId="6556053C" w14:textId="77777777" w:rsidR="00740CC5" w:rsidRDefault="00740CC5" w:rsidP="00F43E61">
      <w:r w:rsidRPr="004F18B6">
        <w:t>Key</w:t>
      </w:r>
      <w:r>
        <w:t xml:space="preserve"> </w:t>
      </w:r>
      <w:r w:rsidR="00460D50">
        <w:t>m</w:t>
      </w:r>
      <w:r>
        <w:t>anagers, s</w:t>
      </w:r>
      <w:r w:rsidRPr="00DE4B22">
        <w:t xml:space="preserve">taff and </w:t>
      </w:r>
      <w:r w:rsidR="00460D50">
        <w:t xml:space="preserve">members of </w:t>
      </w:r>
      <w:r w:rsidRPr="00DE4B22">
        <w:t xml:space="preserve">the </w:t>
      </w:r>
      <w:r w:rsidR="00460D50">
        <w:t xml:space="preserve">department’s </w:t>
      </w:r>
      <w:r w:rsidRPr="00DE4B22">
        <w:t xml:space="preserve">DAIP </w:t>
      </w:r>
      <w:r>
        <w:t>W</w:t>
      </w:r>
      <w:r w:rsidRPr="00DE4B22">
        <w:t xml:space="preserve">orking Group were invited to attend an internal workshop to consider what actions could be taken to support each of the seven DAIP outcome areas. Each </w:t>
      </w:r>
      <w:r w:rsidR="00460D50">
        <w:t>b</w:t>
      </w:r>
      <w:r w:rsidRPr="00DE4B22">
        <w:t xml:space="preserve">usiness </w:t>
      </w:r>
      <w:r w:rsidR="00460D50">
        <w:t>a</w:t>
      </w:r>
      <w:r w:rsidRPr="00DE4B22">
        <w:t>rea also had the opportunity to have input to the DAIP</w:t>
      </w:r>
      <w:r>
        <w:t>.</w:t>
      </w:r>
      <w:r w:rsidR="00A44245">
        <w:t xml:space="preserve"> </w:t>
      </w:r>
      <w:r>
        <w:t xml:space="preserve">This DAIP also considers </w:t>
      </w:r>
      <w:r w:rsidRPr="00DE4B22">
        <w:t xml:space="preserve">previous DAIP </w:t>
      </w:r>
      <w:r w:rsidR="002E7BC3">
        <w:t>r</w:t>
      </w:r>
      <w:r w:rsidRPr="00DE4B22">
        <w:t xml:space="preserve">elated </w:t>
      </w:r>
      <w:r>
        <w:t>r</w:t>
      </w:r>
      <w:r w:rsidRPr="00DE4B22">
        <w:t>esearch into contemporary trends and good practice in access and inclusion</w:t>
      </w:r>
      <w:r>
        <w:t>, i</w:t>
      </w:r>
      <w:r w:rsidRPr="00106320">
        <w:t xml:space="preserve">nputs from the </w:t>
      </w:r>
      <w:r w:rsidR="00460D50">
        <w:t>d</w:t>
      </w:r>
      <w:r w:rsidRPr="00106320">
        <w:t xml:space="preserve">epartment’s 2018/19 DAIP </w:t>
      </w:r>
      <w:r w:rsidR="00460D50">
        <w:t xml:space="preserve">and </w:t>
      </w:r>
      <w:r>
        <w:t xml:space="preserve">a range of </w:t>
      </w:r>
      <w:r w:rsidRPr="00106320">
        <w:t>DAIP</w:t>
      </w:r>
      <w:r w:rsidR="00460D50">
        <w:t>s</w:t>
      </w:r>
      <w:r w:rsidRPr="00106320">
        <w:t xml:space="preserve"> </w:t>
      </w:r>
      <w:r w:rsidR="002E7BC3">
        <w:t>from</w:t>
      </w:r>
      <w:r w:rsidRPr="00106320">
        <w:t xml:space="preserve"> former </w:t>
      </w:r>
      <w:r w:rsidR="00460D50">
        <w:t>agencies</w:t>
      </w:r>
      <w:r w:rsidR="002E7BC3">
        <w:t xml:space="preserve"> that now comprise the DLGSC</w:t>
      </w:r>
      <w:r w:rsidR="00460D50">
        <w:t>.</w:t>
      </w:r>
    </w:p>
    <w:p w14:paraId="3013AD0F" w14:textId="77777777" w:rsidR="00740CC5" w:rsidRDefault="00740CC5" w:rsidP="00E651CE">
      <w:pPr>
        <w:pStyle w:val="Heading1"/>
        <w:spacing w:before="240"/>
      </w:pPr>
      <w:bookmarkStart w:id="9" w:name="_Toc9443088"/>
      <w:r w:rsidRPr="005159A6">
        <w:t xml:space="preserve">Identified </w:t>
      </w:r>
      <w:r>
        <w:t>b</w:t>
      </w:r>
      <w:r w:rsidRPr="005159A6">
        <w:t>arriers</w:t>
      </w:r>
      <w:bookmarkEnd w:id="9"/>
    </w:p>
    <w:p w14:paraId="7DE2DF41" w14:textId="77777777" w:rsidR="00740CC5" w:rsidRDefault="00E06ABE" w:rsidP="00F43E61">
      <w:r>
        <w:t>T</w:t>
      </w:r>
      <w:r w:rsidR="00740CC5">
        <w:t xml:space="preserve">he consultation process and previous research </w:t>
      </w:r>
      <w:r w:rsidR="004231B6">
        <w:t xml:space="preserve">commissioned by the </w:t>
      </w:r>
      <w:r w:rsidR="00460D50">
        <w:t>d</w:t>
      </w:r>
      <w:r w:rsidR="004231B6">
        <w:t xml:space="preserve">epartment </w:t>
      </w:r>
      <w:r w:rsidR="00740CC5">
        <w:t xml:space="preserve">identified a range of barriers and challenges </w:t>
      </w:r>
      <w:r>
        <w:t>to good</w:t>
      </w:r>
      <w:r w:rsidR="00740CC5">
        <w:t xml:space="preserve"> access and inclusion. They include:</w:t>
      </w:r>
    </w:p>
    <w:p w14:paraId="039BB368" w14:textId="77777777" w:rsidR="00740CC5" w:rsidRDefault="00740CC5" w:rsidP="00F43E61">
      <w:pPr>
        <w:spacing w:before="0" w:after="80"/>
      </w:pPr>
      <w:r w:rsidRPr="00740CC5">
        <w:t xml:space="preserve">Most DAIPs are generally championed by a handful of people internal to the </w:t>
      </w:r>
      <w:r w:rsidR="00460D50">
        <w:t>d</w:t>
      </w:r>
      <w:r w:rsidRPr="00740CC5">
        <w:t>epartment and there is a lack of targets and measures to determine success.</w:t>
      </w:r>
    </w:p>
    <w:p w14:paraId="073E5AC0" w14:textId="77777777" w:rsidR="00740CC5" w:rsidRPr="00740CC5" w:rsidRDefault="00740CC5" w:rsidP="00F43E61">
      <w:pPr>
        <w:pStyle w:val="ListParagraph"/>
        <w:numPr>
          <w:ilvl w:val="0"/>
          <w:numId w:val="13"/>
        </w:numPr>
        <w:spacing w:before="0" w:after="80"/>
        <w:ind w:left="357" w:hanging="357"/>
        <w:contextualSpacing w:val="0"/>
      </w:pPr>
      <w:bookmarkStart w:id="10" w:name="_Hlk8715324"/>
      <w:r>
        <w:t>T</w:t>
      </w:r>
      <w:r w:rsidRPr="00740CC5">
        <w:t xml:space="preserve">he focus </w:t>
      </w:r>
      <w:r>
        <w:t xml:space="preserve">of DAIPs by government agencies </w:t>
      </w:r>
      <w:r w:rsidRPr="00740CC5">
        <w:t xml:space="preserve">tends to be on </w:t>
      </w:r>
      <w:r w:rsidR="007869ED">
        <w:t xml:space="preserve">meeting </w:t>
      </w:r>
      <w:r w:rsidRPr="00740CC5">
        <w:t xml:space="preserve">compliance rather than </w:t>
      </w:r>
      <w:r w:rsidR="00751B99">
        <w:t>setting the benchmark</w:t>
      </w:r>
      <w:r w:rsidRPr="00740CC5">
        <w:t xml:space="preserve">. </w:t>
      </w:r>
    </w:p>
    <w:bookmarkEnd w:id="10"/>
    <w:p w14:paraId="7E2C338A" w14:textId="77777777" w:rsidR="00740CC5" w:rsidRDefault="00740CC5" w:rsidP="00F43E61">
      <w:pPr>
        <w:pStyle w:val="ListParagraph"/>
        <w:numPr>
          <w:ilvl w:val="0"/>
          <w:numId w:val="13"/>
        </w:numPr>
        <w:spacing w:before="0" w:after="80"/>
        <w:ind w:left="357" w:hanging="357"/>
        <w:contextualSpacing w:val="0"/>
      </w:pPr>
      <w:r w:rsidRPr="005159A6">
        <w:t xml:space="preserve">Websites are accessible but </w:t>
      </w:r>
      <w:r>
        <w:t xml:space="preserve">could </w:t>
      </w:r>
      <w:r w:rsidR="00061939">
        <w:t>reach for</w:t>
      </w:r>
      <w:r>
        <w:t xml:space="preserve"> a higher level of accessibility</w:t>
      </w:r>
      <w:r w:rsidR="004231B6">
        <w:t>.</w:t>
      </w:r>
      <w:r>
        <w:t xml:space="preserve"> </w:t>
      </w:r>
    </w:p>
    <w:p w14:paraId="00C23364" w14:textId="77777777" w:rsidR="00740CC5" w:rsidRPr="00740CC5" w:rsidRDefault="00740CC5" w:rsidP="00F43E61">
      <w:pPr>
        <w:pStyle w:val="ListParagraph"/>
        <w:numPr>
          <w:ilvl w:val="0"/>
          <w:numId w:val="13"/>
        </w:numPr>
        <w:spacing w:before="0" w:after="80"/>
        <w:ind w:left="357" w:hanging="357"/>
        <w:contextualSpacing w:val="0"/>
        <w:rPr>
          <w:b/>
        </w:rPr>
      </w:pPr>
      <w:r w:rsidRPr="00740CC5">
        <w:t>Venue accessibility is inconsistent</w:t>
      </w:r>
      <w:r w:rsidR="003E5C41">
        <w:t>,</w:t>
      </w:r>
      <w:r w:rsidRPr="00740CC5">
        <w:t xml:space="preserve"> and some physical barriers remain</w:t>
      </w:r>
      <w:r w:rsidR="004231B6">
        <w:t>.</w:t>
      </w:r>
      <w:r w:rsidRPr="00740CC5">
        <w:t xml:space="preserve"> </w:t>
      </w:r>
    </w:p>
    <w:p w14:paraId="353A395A" w14:textId="77777777" w:rsidR="00740CC5" w:rsidRPr="00740CC5" w:rsidRDefault="00740CC5" w:rsidP="00F43E61">
      <w:pPr>
        <w:pStyle w:val="ListParagraph"/>
        <w:numPr>
          <w:ilvl w:val="0"/>
          <w:numId w:val="13"/>
        </w:numPr>
        <w:spacing w:before="0" w:after="80"/>
        <w:ind w:left="357" w:hanging="357"/>
        <w:contextualSpacing w:val="0"/>
      </w:pPr>
      <w:r>
        <w:t>Government restructuring has impacted on the delivery of the previous DAIP</w:t>
      </w:r>
      <w:r w:rsidRPr="00740CC5">
        <w:rPr>
          <w:rFonts w:cs="Arial"/>
          <w:szCs w:val="24"/>
        </w:rPr>
        <w:t>.</w:t>
      </w:r>
    </w:p>
    <w:p w14:paraId="15B70A1D" w14:textId="77777777" w:rsidR="00740CC5" w:rsidRDefault="00740CC5" w:rsidP="00F43E61">
      <w:pPr>
        <w:pStyle w:val="ListParagraph"/>
        <w:numPr>
          <w:ilvl w:val="0"/>
          <w:numId w:val="13"/>
        </w:numPr>
        <w:spacing w:before="0" w:after="80"/>
        <w:ind w:left="357" w:hanging="357"/>
        <w:contextualSpacing w:val="0"/>
      </w:pPr>
      <w:r>
        <w:t xml:space="preserve">A consistent approach to disability access and inclusion is required across all business areas and all venues and services owned or operated by the </w:t>
      </w:r>
      <w:r w:rsidR="00460D50">
        <w:t>d</w:t>
      </w:r>
      <w:r>
        <w:t>epartment.</w:t>
      </w:r>
    </w:p>
    <w:p w14:paraId="2A0BC667" w14:textId="77777777" w:rsidR="00740CC5" w:rsidRDefault="00740CC5" w:rsidP="00F43E61">
      <w:pPr>
        <w:pStyle w:val="ListParagraph"/>
        <w:numPr>
          <w:ilvl w:val="0"/>
          <w:numId w:val="13"/>
        </w:numPr>
        <w:spacing w:before="0" w:after="80"/>
        <w:ind w:left="357" w:hanging="357"/>
        <w:contextualSpacing w:val="0"/>
      </w:pPr>
      <w:r w:rsidRPr="007D4862">
        <w:t>Disability awareness training and induction of staff and volunteers is a high priority.</w:t>
      </w:r>
    </w:p>
    <w:p w14:paraId="20C720AB" w14:textId="77777777" w:rsidR="00966872" w:rsidRDefault="00966872" w:rsidP="00F43E61">
      <w:pPr>
        <w:pStyle w:val="ListParagraph"/>
        <w:numPr>
          <w:ilvl w:val="0"/>
          <w:numId w:val="13"/>
        </w:numPr>
        <w:spacing w:before="0" w:after="80"/>
        <w:ind w:left="357" w:hanging="357"/>
        <w:contextualSpacing w:val="0"/>
      </w:pPr>
      <w:r>
        <w:t>There needs to be more targeted promotion of accessible events to people with disability.</w:t>
      </w:r>
    </w:p>
    <w:p w14:paraId="123D07A5" w14:textId="77777777" w:rsidR="00740CC5" w:rsidRDefault="00740CC5" w:rsidP="00F43E61">
      <w:pPr>
        <w:pStyle w:val="ListParagraph"/>
        <w:numPr>
          <w:ilvl w:val="0"/>
          <w:numId w:val="13"/>
        </w:numPr>
        <w:spacing w:before="0" w:after="80"/>
        <w:ind w:left="357" w:hanging="357"/>
        <w:contextualSpacing w:val="0"/>
      </w:pPr>
      <w:r>
        <w:t xml:space="preserve">There’s appetite within the </w:t>
      </w:r>
      <w:r w:rsidR="00460D50">
        <w:t>d</w:t>
      </w:r>
      <w:r>
        <w:t>epartment to consult more broadly with people with disability</w:t>
      </w:r>
      <w:r w:rsidR="00B401E0">
        <w:t>,</w:t>
      </w:r>
      <w:r>
        <w:t xml:space="preserve"> </w:t>
      </w:r>
      <w:r w:rsidR="00B401E0">
        <w:t>specifically</w:t>
      </w:r>
      <w:r>
        <w:t xml:space="preserve"> to </w:t>
      </w:r>
      <w:r w:rsidR="001A55B0">
        <w:t xml:space="preserve">adopt </w:t>
      </w:r>
      <w:r>
        <w:t>co-design into the future.</w:t>
      </w:r>
    </w:p>
    <w:p w14:paraId="4A5AF3A9" w14:textId="77777777" w:rsidR="001E00F5" w:rsidRDefault="53929E55" w:rsidP="00F43E61">
      <w:pPr>
        <w:pStyle w:val="ListParagraph"/>
        <w:numPr>
          <w:ilvl w:val="0"/>
          <w:numId w:val="13"/>
        </w:numPr>
        <w:spacing w:before="0" w:after="80"/>
        <w:ind w:left="357" w:hanging="357"/>
        <w:contextualSpacing w:val="0"/>
      </w:pPr>
      <w:r>
        <w:t>The use of technology requires improvement to enable new opportunities for government to make public places and services more accessible.</w:t>
      </w:r>
      <w:r w:rsidR="00740CC5">
        <w:br w:type="page"/>
      </w:r>
    </w:p>
    <w:p w14:paraId="1E426AC2" w14:textId="77777777" w:rsidR="00740CC5" w:rsidRDefault="008642AD" w:rsidP="00F43E61">
      <w:pPr>
        <w:pStyle w:val="Heading1"/>
      </w:pPr>
      <w:bookmarkStart w:id="11" w:name="_Toc9443089"/>
      <w:r>
        <w:lastRenderedPageBreak/>
        <w:t>S</w:t>
      </w:r>
      <w:r w:rsidR="00740CC5" w:rsidRPr="005159A6">
        <w:t>trategies</w:t>
      </w:r>
      <w:r>
        <w:t xml:space="preserve"> to improve access and inclusion</w:t>
      </w:r>
      <w:bookmarkEnd w:id="11"/>
    </w:p>
    <w:p w14:paraId="750653DD" w14:textId="77777777" w:rsidR="0078565F" w:rsidRDefault="00740CC5" w:rsidP="00F43E61">
      <w:r w:rsidRPr="00003592">
        <w:t xml:space="preserve">The </w:t>
      </w:r>
      <w:r w:rsidR="00460D50">
        <w:t>d</w:t>
      </w:r>
      <w:r w:rsidRPr="00003592">
        <w:t>epartment has identified the following strategies to achieve the DAIP outcomes:</w:t>
      </w:r>
    </w:p>
    <w:tbl>
      <w:tblPr>
        <w:tblStyle w:val="TableGrid"/>
        <w:tblW w:w="0" w:type="auto"/>
        <w:tblBorders>
          <w:top w:val="single" w:sz="4" w:space="0" w:color="36384C"/>
          <w:left w:val="single" w:sz="4" w:space="0" w:color="36384C"/>
          <w:bottom w:val="single" w:sz="4" w:space="0" w:color="36384C"/>
          <w:right w:val="single" w:sz="4" w:space="0" w:color="36384C"/>
          <w:insideH w:val="single" w:sz="4" w:space="0" w:color="36384C"/>
          <w:insideV w:val="single" w:sz="4" w:space="0" w:color="36384C"/>
        </w:tblBorders>
        <w:tblLook w:val="04A0" w:firstRow="1" w:lastRow="0" w:firstColumn="1" w:lastColumn="0" w:noHBand="0" w:noVBand="1"/>
      </w:tblPr>
      <w:tblGrid>
        <w:gridCol w:w="7933"/>
        <w:gridCol w:w="1803"/>
      </w:tblGrid>
      <w:tr w:rsidR="00E413EA" w14:paraId="16146677" w14:textId="77777777" w:rsidTr="00542FC3">
        <w:trPr>
          <w:cantSplit/>
        </w:trPr>
        <w:tc>
          <w:tcPr>
            <w:tcW w:w="7933" w:type="dxa"/>
            <w:shd w:val="clear" w:color="auto" w:fill="EAEEF2"/>
          </w:tcPr>
          <w:p w14:paraId="0ECC38C1" w14:textId="77777777" w:rsidR="00E413EA" w:rsidRPr="004F18B6" w:rsidRDefault="00E413EA">
            <w:pPr>
              <w:pStyle w:val="Heading2"/>
              <w:outlineLvl w:val="1"/>
            </w:pPr>
            <w:bookmarkStart w:id="12" w:name="_Toc9443090"/>
            <w:r w:rsidRPr="004F18B6">
              <w:t xml:space="preserve">Outcome 1: Services and </w:t>
            </w:r>
            <w:r w:rsidR="006119D5" w:rsidRPr="004F18B6">
              <w:t>events</w:t>
            </w:r>
            <w:bookmarkEnd w:id="12"/>
          </w:p>
          <w:p w14:paraId="4BA9F424" w14:textId="77777777" w:rsidR="00E413EA" w:rsidRPr="001E00F5" w:rsidRDefault="00E413EA" w:rsidP="00F43E61">
            <w:pPr>
              <w:pStyle w:val="Heading3"/>
              <w:outlineLvl w:val="2"/>
            </w:pPr>
            <w:r w:rsidRPr="001E00F5">
              <w:t xml:space="preserve">People with disability have the same opportunities as other people to access the services of, and any events organised by, the </w:t>
            </w:r>
            <w:r w:rsidR="00AD09A1">
              <w:t>d</w:t>
            </w:r>
            <w:r w:rsidRPr="001E00F5">
              <w:t>epartment.</w:t>
            </w:r>
          </w:p>
        </w:tc>
        <w:tc>
          <w:tcPr>
            <w:tcW w:w="1803" w:type="dxa"/>
            <w:shd w:val="clear" w:color="auto" w:fill="EAEEF2"/>
          </w:tcPr>
          <w:p w14:paraId="5207F37A" w14:textId="77777777" w:rsidR="00E413EA" w:rsidRPr="001E00F5" w:rsidRDefault="00E413EA">
            <w:bookmarkStart w:id="13" w:name="_Toc8802722"/>
            <w:r w:rsidRPr="00F43E61">
              <w:rPr>
                <w:color w:val="4A8195"/>
                <w:sz w:val="36"/>
                <w:szCs w:val="36"/>
              </w:rPr>
              <w:t>Timelines</w:t>
            </w:r>
            <w:bookmarkEnd w:id="13"/>
          </w:p>
        </w:tc>
      </w:tr>
      <w:tr w:rsidR="00E413EA" w14:paraId="58CB0A1A" w14:textId="77777777" w:rsidTr="00542FC3">
        <w:trPr>
          <w:cantSplit/>
        </w:trPr>
        <w:tc>
          <w:tcPr>
            <w:tcW w:w="7933" w:type="dxa"/>
          </w:tcPr>
          <w:p w14:paraId="27ABA039" w14:textId="77777777" w:rsidR="00E413EA" w:rsidRPr="00E413EA" w:rsidRDefault="00E413EA" w:rsidP="00F43E61">
            <w:pPr>
              <w:spacing w:after="120"/>
              <w:ind w:left="601" w:hanging="601"/>
            </w:pPr>
            <w:r>
              <w:t>1.1</w:t>
            </w:r>
            <w:r w:rsidR="006119D5">
              <w:tab/>
            </w:r>
            <w:r w:rsidRPr="00F43E61">
              <w:rPr>
                <w:rFonts w:eastAsiaTheme="minorHAnsi"/>
              </w:rPr>
              <w:t>Improve use of technology to ensure inclusion of people with disability at events and when using services.</w:t>
            </w:r>
          </w:p>
        </w:tc>
        <w:tc>
          <w:tcPr>
            <w:tcW w:w="1803" w:type="dxa"/>
          </w:tcPr>
          <w:p w14:paraId="7E2E7EFF" w14:textId="77777777" w:rsidR="00E413EA" w:rsidRPr="00E413EA" w:rsidRDefault="00E413EA" w:rsidP="00F43E61">
            <w:pPr>
              <w:spacing w:after="120"/>
            </w:pPr>
            <w:r>
              <w:t>Ongoing</w:t>
            </w:r>
          </w:p>
        </w:tc>
      </w:tr>
      <w:tr w:rsidR="00E413EA" w14:paraId="68A497B0" w14:textId="77777777" w:rsidTr="00542FC3">
        <w:trPr>
          <w:cantSplit/>
        </w:trPr>
        <w:tc>
          <w:tcPr>
            <w:tcW w:w="7933" w:type="dxa"/>
          </w:tcPr>
          <w:p w14:paraId="004F5EE4" w14:textId="77777777" w:rsidR="00E413EA" w:rsidRPr="00F43E61" w:rsidRDefault="00717D25" w:rsidP="00F43E61">
            <w:pPr>
              <w:spacing w:after="120"/>
              <w:ind w:left="601" w:hanging="601"/>
              <w:rPr>
                <w:rFonts w:eastAsiaTheme="minorHAnsi"/>
              </w:rPr>
            </w:pPr>
            <w:r w:rsidRPr="00F43E61">
              <w:rPr>
                <w:rFonts w:eastAsiaTheme="minorHAnsi"/>
              </w:rPr>
              <w:t>1.</w:t>
            </w:r>
            <w:r w:rsidR="006119D5" w:rsidRPr="00F43E61">
              <w:rPr>
                <w:rFonts w:eastAsiaTheme="minorHAnsi"/>
              </w:rPr>
              <w:t>2</w:t>
            </w:r>
            <w:r w:rsidR="006119D5" w:rsidRPr="00F43E61">
              <w:rPr>
                <w:rFonts w:eastAsiaTheme="minorHAnsi"/>
              </w:rPr>
              <w:tab/>
            </w:r>
            <w:r w:rsidRPr="00F43E61">
              <w:rPr>
                <w:rFonts w:eastAsiaTheme="minorHAnsi"/>
              </w:rPr>
              <w:t>Develop partnerships with key disability organisations active in sporting and cultural industries (and their members) to inform the design and development of services or events</w:t>
            </w:r>
            <w:r w:rsidR="00E06ABE" w:rsidRPr="00F43E61">
              <w:rPr>
                <w:rFonts w:eastAsiaTheme="minorHAnsi"/>
              </w:rPr>
              <w:t>.</w:t>
            </w:r>
          </w:p>
        </w:tc>
        <w:tc>
          <w:tcPr>
            <w:tcW w:w="1803" w:type="dxa"/>
          </w:tcPr>
          <w:p w14:paraId="7FF80354" w14:textId="77777777" w:rsidR="00E413EA" w:rsidRPr="00E413EA" w:rsidRDefault="00E413EA" w:rsidP="00F43E61">
            <w:pPr>
              <w:spacing w:after="120"/>
            </w:pPr>
            <w:r>
              <w:t xml:space="preserve">Case by case depending on </w:t>
            </w:r>
            <w:r w:rsidR="00D16E77">
              <w:t xml:space="preserve">type </w:t>
            </w:r>
            <w:r>
              <w:t>of event</w:t>
            </w:r>
          </w:p>
        </w:tc>
      </w:tr>
      <w:tr w:rsidR="00E413EA" w14:paraId="3136197B" w14:textId="77777777" w:rsidTr="00542FC3">
        <w:trPr>
          <w:cantSplit/>
        </w:trPr>
        <w:tc>
          <w:tcPr>
            <w:tcW w:w="7933" w:type="dxa"/>
          </w:tcPr>
          <w:p w14:paraId="0D5C3201" w14:textId="77777777" w:rsidR="00E413EA" w:rsidRPr="00F43E61" w:rsidRDefault="00E413EA" w:rsidP="00F43E61">
            <w:pPr>
              <w:spacing w:after="120"/>
              <w:ind w:left="601" w:hanging="601"/>
              <w:rPr>
                <w:rFonts w:eastAsiaTheme="minorHAnsi"/>
              </w:rPr>
            </w:pPr>
            <w:r w:rsidRPr="00F43E61">
              <w:rPr>
                <w:rFonts w:eastAsiaTheme="minorHAnsi"/>
              </w:rPr>
              <w:t>1.</w:t>
            </w:r>
            <w:r w:rsidR="006119D5" w:rsidRPr="00F43E61">
              <w:rPr>
                <w:rFonts w:eastAsiaTheme="minorHAnsi"/>
              </w:rPr>
              <w:t>3</w:t>
            </w:r>
            <w:r w:rsidR="006119D5" w:rsidRPr="00F43E61">
              <w:rPr>
                <w:rFonts w:eastAsiaTheme="minorHAnsi"/>
              </w:rPr>
              <w:tab/>
            </w:r>
            <w:r w:rsidRPr="00F43E61">
              <w:rPr>
                <w:rFonts w:eastAsiaTheme="minorHAnsi"/>
              </w:rPr>
              <w:t xml:space="preserve">Ensure venues used for events hosted, managed or funded by the </w:t>
            </w:r>
            <w:r w:rsidR="00777A6D" w:rsidRPr="00F43E61">
              <w:rPr>
                <w:rFonts w:eastAsiaTheme="minorHAnsi"/>
              </w:rPr>
              <w:t>d</w:t>
            </w:r>
            <w:r w:rsidRPr="00F43E61">
              <w:rPr>
                <w:rFonts w:eastAsiaTheme="minorHAnsi"/>
              </w:rPr>
              <w:t xml:space="preserve">epartment are accessible, with </w:t>
            </w:r>
            <w:r w:rsidR="003277A1">
              <w:rPr>
                <w:rFonts w:eastAsiaTheme="minorHAnsi"/>
              </w:rPr>
              <w:t>adequate</w:t>
            </w:r>
            <w:r w:rsidR="003277A1" w:rsidRPr="00F43E61">
              <w:rPr>
                <w:rFonts w:eastAsiaTheme="minorHAnsi"/>
              </w:rPr>
              <w:t xml:space="preserve"> </w:t>
            </w:r>
            <w:r w:rsidRPr="00F43E61">
              <w:rPr>
                <w:rFonts w:eastAsiaTheme="minorHAnsi"/>
              </w:rPr>
              <w:t>signage and close to public transport.</w:t>
            </w:r>
            <w:r w:rsidR="00717D25" w:rsidRPr="00F43E61">
              <w:rPr>
                <w:rFonts w:eastAsiaTheme="minorHAnsi"/>
              </w:rPr>
              <w:t xml:space="preserve"> </w:t>
            </w:r>
          </w:p>
        </w:tc>
        <w:tc>
          <w:tcPr>
            <w:tcW w:w="1803" w:type="dxa"/>
          </w:tcPr>
          <w:p w14:paraId="24F6F588" w14:textId="77777777" w:rsidR="00E413EA" w:rsidRPr="00E413EA" w:rsidRDefault="00E413EA" w:rsidP="00F43E61">
            <w:pPr>
              <w:spacing w:after="120"/>
            </w:pPr>
            <w:r>
              <w:t>Ongoing</w:t>
            </w:r>
          </w:p>
        </w:tc>
      </w:tr>
      <w:tr w:rsidR="00E413EA" w14:paraId="4CE942BF" w14:textId="77777777" w:rsidTr="00542FC3">
        <w:trPr>
          <w:cantSplit/>
        </w:trPr>
        <w:tc>
          <w:tcPr>
            <w:tcW w:w="7933" w:type="dxa"/>
          </w:tcPr>
          <w:p w14:paraId="037C4A92" w14:textId="77777777" w:rsidR="00E413EA" w:rsidRPr="00F43E61" w:rsidRDefault="00E413EA" w:rsidP="00F43E61">
            <w:pPr>
              <w:spacing w:after="120"/>
              <w:ind w:left="601" w:hanging="601"/>
              <w:rPr>
                <w:rFonts w:eastAsiaTheme="minorHAnsi"/>
              </w:rPr>
            </w:pPr>
            <w:r w:rsidRPr="00F43E61">
              <w:rPr>
                <w:rFonts w:eastAsiaTheme="minorHAnsi"/>
              </w:rPr>
              <w:t>1.</w:t>
            </w:r>
            <w:r w:rsidR="006119D5" w:rsidRPr="00F43E61">
              <w:rPr>
                <w:rFonts w:eastAsiaTheme="minorHAnsi"/>
              </w:rPr>
              <w:t>4</w:t>
            </w:r>
            <w:r w:rsidR="006119D5" w:rsidRPr="00F43E61">
              <w:rPr>
                <w:rFonts w:eastAsiaTheme="minorHAnsi"/>
              </w:rPr>
              <w:tab/>
            </w:r>
            <w:r w:rsidRPr="00F43E61">
              <w:rPr>
                <w:rFonts w:eastAsiaTheme="minorHAnsi"/>
              </w:rPr>
              <w:t xml:space="preserve">Ensure all </w:t>
            </w:r>
            <w:r w:rsidR="00361F08" w:rsidRPr="00F43E61">
              <w:rPr>
                <w:rFonts w:eastAsiaTheme="minorHAnsi"/>
              </w:rPr>
              <w:t>d</w:t>
            </w:r>
            <w:r w:rsidRPr="00F43E61">
              <w:rPr>
                <w:rFonts w:eastAsiaTheme="minorHAnsi"/>
              </w:rPr>
              <w:t>epartment events are part of Companion Card program</w:t>
            </w:r>
            <w:r w:rsidR="00717D25" w:rsidRPr="00F43E61">
              <w:rPr>
                <w:rFonts w:eastAsiaTheme="minorHAnsi"/>
              </w:rPr>
              <w:t>.</w:t>
            </w:r>
          </w:p>
        </w:tc>
        <w:tc>
          <w:tcPr>
            <w:tcW w:w="1803" w:type="dxa"/>
          </w:tcPr>
          <w:p w14:paraId="52457012" w14:textId="77777777" w:rsidR="00E413EA" w:rsidRDefault="00E413EA" w:rsidP="00F43E61">
            <w:pPr>
              <w:spacing w:after="120"/>
            </w:pPr>
            <w:r>
              <w:t>December 2019</w:t>
            </w:r>
          </w:p>
        </w:tc>
      </w:tr>
      <w:tr w:rsidR="00717D25" w14:paraId="7630D2BA" w14:textId="77777777" w:rsidTr="00542FC3">
        <w:trPr>
          <w:cantSplit/>
        </w:trPr>
        <w:tc>
          <w:tcPr>
            <w:tcW w:w="7933" w:type="dxa"/>
          </w:tcPr>
          <w:p w14:paraId="2BB27BEB" w14:textId="77777777" w:rsidR="00717D25" w:rsidRPr="00F43E61" w:rsidRDefault="00717D25" w:rsidP="00F43E61">
            <w:pPr>
              <w:spacing w:after="120"/>
              <w:ind w:left="601" w:hanging="601"/>
              <w:rPr>
                <w:rFonts w:eastAsiaTheme="minorHAnsi"/>
              </w:rPr>
            </w:pPr>
            <w:r w:rsidRPr="00F43E61">
              <w:rPr>
                <w:rFonts w:eastAsiaTheme="minorHAnsi"/>
              </w:rPr>
              <w:t>1.</w:t>
            </w:r>
            <w:r w:rsidR="006119D5" w:rsidRPr="00F43E61">
              <w:rPr>
                <w:rFonts w:eastAsiaTheme="minorHAnsi"/>
              </w:rPr>
              <w:t>5</w:t>
            </w:r>
            <w:r w:rsidR="006119D5" w:rsidRPr="00F43E61">
              <w:rPr>
                <w:rFonts w:eastAsiaTheme="minorHAnsi"/>
              </w:rPr>
              <w:tab/>
            </w:r>
            <w:r w:rsidRPr="00F43E61">
              <w:rPr>
                <w:rFonts w:eastAsiaTheme="minorHAnsi"/>
              </w:rPr>
              <w:t>Increase the availability of quiet, low sensory spaces at events.</w:t>
            </w:r>
          </w:p>
        </w:tc>
        <w:tc>
          <w:tcPr>
            <w:tcW w:w="1803" w:type="dxa"/>
          </w:tcPr>
          <w:p w14:paraId="7948BABD" w14:textId="77777777" w:rsidR="00717D25" w:rsidRDefault="00717D25" w:rsidP="00F43E61">
            <w:pPr>
              <w:spacing w:after="120"/>
            </w:pPr>
            <w:r>
              <w:t>Case by case</w:t>
            </w:r>
          </w:p>
        </w:tc>
      </w:tr>
    </w:tbl>
    <w:p w14:paraId="4A112354" w14:textId="77777777" w:rsidR="00740CC5" w:rsidRPr="00E413EA" w:rsidRDefault="00740CC5" w:rsidP="00F43E61">
      <w:pPr>
        <w:spacing w:before="0" w:after="0"/>
      </w:pPr>
    </w:p>
    <w:tbl>
      <w:tblPr>
        <w:tblStyle w:val="TableGrid"/>
        <w:tblW w:w="0" w:type="auto"/>
        <w:tblBorders>
          <w:top w:val="single" w:sz="4" w:space="0" w:color="36384C"/>
          <w:left w:val="single" w:sz="4" w:space="0" w:color="36384C"/>
          <w:bottom w:val="single" w:sz="4" w:space="0" w:color="36384C"/>
          <w:right w:val="single" w:sz="4" w:space="0" w:color="36384C"/>
          <w:insideH w:val="single" w:sz="4" w:space="0" w:color="36384C"/>
          <w:insideV w:val="single" w:sz="4" w:space="0" w:color="36384C"/>
        </w:tblBorders>
        <w:tblLook w:val="04A0" w:firstRow="1" w:lastRow="0" w:firstColumn="1" w:lastColumn="0" w:noHBand="0" w:noVBand="1"/>
      </w:tblPr>
      <w:tblGrid>
        <w:gridCol w:w="7933"/>
        <w:gridCol w:w="1803"/>
      </w:tblGrid>
      <w:tr w:rsidR="00E413EA" w14:paraId="752A09D0" w14:textId="77777777" w:rsidTr="00542FC3">
        <w:trPr>
          <w:cantSplit/>
        </w:trPr>
        <w:tc>
          <w:tcPr>
            <w:tcW w:w="7933" w:type="dxa"/>
            <w:shd w:val="clear" w:color="auto" w:fill="EAEEF2"/>
          </w:tcPr>
          <w:p w14:paraId="0E852DCD" w14:textId="77777777" w:rsidR="00E413EA" w:rsidRPr="001E00F5" w:rsidRDefault="00E413EA">
            <w:pPr>
              <w:pStyle w:val="Heading2"/>
              <w:outlineLvl w:val="1"/>
            </w:pPr>
            <w:bookmarkStart w:id="14" w:name="_Toc9443091"/>
            <w:r w:rsidRPr="001E00F5">
              <w:t xml:space="preserve">Outcome 2: Buildings and </w:t>
            </w:r>
            <w:r w:rsidR="006119D5">
              <w:t>f</w:t>
            </w:r>
            <w:r w:rsidR="006119D5" w:rsidRPr="001E00F5">
              <w:t>acilities</w:t>
            </w:r>
            <w:bookmarkEnd w:id="14"/>
          </w:p>
          <w:p w14:paraId="263AD49C" w14:textId="77777777" w:rsidR="00E413EA" w:rsidRPr="001E00F5" w:rsidRDefault="00E413EA" w:rsidP="00F43E61">
            <w:pPr>
              <w:pStyle w:val="Heading3"/>
              <w:outlineLvl w:val="2"/>
            </w:pPr>
            <w:r w:rsidRPr="001E00F5">
              <w:t xml:space="preserve">People with disability have the same opportunities as other people to access the buildings and other facilities of the </w:t>
            </w:r>
            <w:r w:rsidR="00361F08">
              <w:t>d</w:t>
            </w:r>
            <w:r w:rsidRPr="001E00F5">
              <w:t>epartment.</w:t>
            </w:r>
          </w:p>
        </w:tc>
        <w:tc>
          <w:tcPr>
            <w:tcW w:w="1803" w:type="dxa"/>
            <w:shd w:val="clear" w:color="auto" w:fill="EAEEF2"/>
          </w:tcPr>
          <w:p w14:paraId="39FB34EC" w14:textId="77777777" w:rsidR="00E413EA" w:rsidRPr="001E00F5" w:rsidRDefault="00E413EA">
            <w:pPr>
              <w:rPr>
                <w:rFonts w:eastAsiaTheme="majorEastAsia"/>
              </w:rPr>
            </w:pPr>
            <w:r w:rsidRPr="00F43E61">
              <w:rPr>
                <w:color w:val="4A8195"/>
                <w:sz w:val="36"/>
                <w:szCs w:val="36"/>
              </w:rPr>
              <w:t>Timelines</w:t>
            </w:r>
          </w:p>
        </w:tc>
      </w:tr>
      <w:tr w:rsidR="00E413EA" w14:paraId="16103D4A" w14:textId="77777777" w:rsidTr="00542FC3">
        <w:trPr>
          <w:cantSplit/>
        </w:trPr>
        <w:tc>
          <w:tcPr>
            <w:tcW w:w="7933" w:type="dxa"/>
          </w:tcPr>
          <w:p w14:paraId="68C766B9" w14:textId="77777777" w:rsidR="00E413EA" w:rsidRPr="00F43E61" w:rsidRDefault="00E413EA" w:rsidP="00F43E61">
            <w:pPr>
              <w:spacing w:after="120"/>
              <w:ind w:left="601" w:hanging="601"/>
              <w:rPr>
                <w:rFonts w:eastAsiaTheme="minorHAnsi"/>
              </w:rPr>
            </w:pPr>
            <w:r w:rsidRPr="00F43E61">
              <w:rPr>
                <w:rFonts w:eastAsiaTheme="minorHAnsi"/>
              </w:rPr>
              <w:t xml:space="preserve">2.1 </w:t>
            </w:r>
            <w:r w:rsidR="006119D5" w:rsidRPr="00F43E61">
              <w:rPr>
                <w:rFonts w:eastAsiaTheme="minorHAnsi"/>
              </w:rPr>
              <w:tab/>
            </w:r>
            <w:r w:rsidRPr="00F43E61">
              <w:rPr>
                <w:rFonts w:eastAsiaTheme="minorHAnsi"/>
              </w:rPr>
              <w:t xml:space="preserve">Ensure the </w:t>
            </w:r>
            <w:r w:rsidR="00361F08" w:rsidRPr="00F43E61">
              <w:rPr>
                <w:rFonts w:eastAsiaTheme="minorHAnsi"/>
              </w:rPr>
              <w:t>d</w:t>
            </w:r>
            <w:r w:rsidRPr="00F43E61">
              <w:rPr>
                <w:rFonts w:eastAsiaTheme="minorHAnsi"/>
              </w:rPr>
              <w:t>epartment’s buildings and facilities meet disability access standards and promote best practice.</w:t>
            </w:r>
          </w:p>
        </w:tc>
        <w:tc>
          <w:tcPr>
            <w:tcW w:w="1803" w:type="dxa"/>
          </w:tcPr>
          <w:p w14:paraId="44BCB248" w14:textId="77777777" w:rsidR="00E413EA" w:rsidRPr="00E413EA" w:rsidRDefault="00E413EA" w:rsidP="00F43E61">
            <w:pPr>
              <w:spacing w:after="120"/>
            </w:pPr>
            <w:r>
              <w:t>Ongoing</w:t>
            </w:r>
          </w:p>
        </w:tc>
      </w:tr>
      <w:tr w:rsidR="00E413EA" w14:paraId="5F211C5D" w14:textId="77777777" w:rsidTr="00542FC3">
        <w:trPr>
          <w:cantSplit/>
        </w:trPr>
        <w:tc>
          <w:tcPr>
            <w:tcW w:w="7933" w:type="dxa"/>
          </w:tcPr>
          <w:p w14:paraId="080BFE27" w14:textId="77777777" w:rsidR="00E413EA" w:rsidRPr="00F43E61" w:rsidRDefault="00E413EA" w:rsidP="00F43E61">
            <w:pPr>
              <w:spacing w:after="120"/>
              <w:ind w:left="601" w:hanging="601"/>
              <w:rPr>
                <w:rFonts w:eastAsiaTheme="minorHAnsi"/>
              </w:rPr>
            </w:pPr>
            <w:r w:rsidRPr="00F43E61">
              <w:rPr>
                <w:rFonts w:eastAsiaTheme="minorHAnsi"/>
              </w:rPr>
              <w:t xml:space="preserve">2.2 </w:t>
            </w:r>
            <w:r w:rsidR="006119D5" w:rsidRPr="00F43E61">
              <w:rPr>
                <w:rFonts w:eastAsiaTheme="minorHAnsi"/>
              </w:rPr>
              <w:tab/>
            </w:r>
            <w:r w:rsidR="00717D25" w:rsidRPr="00F43E61">
              <w:rPr>
                <w:rFonts w:eastAsiaTheme="minorHAnsi"/>
              </w:rPr>
              <w:t xml:space="preserve">Establish a </w:t>
            </w:r>
            <w:r w:rsidR="00777A6D" w:rsidRPr="00F43E61">
              <w:rPr>
                <w:rFonts w:eastAsiaTheme="minorHAnsi"/>
              </w:rPr>
              <w:t xml:space="preserve">reference </w:t>
            </w:r>
            <w:r w:rsidR="00717D25" w:rsidRPr="00F43E61">
              <w:rPr>
                <w:rFonts w:eastAsiaTheme="minorHAnsi"/>
              </w:rPr>
              <w:t>group with</w:t>
            </w:r>
            <w:r w:rsidRPr="00F43E61">
              <w:rPr>
                <w:rFonts w:eastAsiaTheme="minorHAnsi"/>
              </w:rPr>
              <w:t xml:space="preserve"> people with disability </w:t>
            </w:r>
            <w:r w:rsidR="00717D25" w:rsidRPr="00F43E61">
              <w:rPr>
                <w:rFonts w:eastAsiaTheme="minorHAnsi"/>
              </w:rPr>
              <w:t>to inform</w:t>
            </w:r>
            <w:r w:rsidRPr="00F43E61">
              <w:rPr>
                <w:rFonts w:eastAsiaTheme="minorHAnsi"/>
              </w:rPr>
              <w:t xml:space="preserve"> the design of public places and spaces.</w:t>
            </w:r>
          </w:p>
        </w:tc>
        <w:tc>
          <w:tcPr>
            <w:tcW w:w="1803" w:type="dxa"/>
          </w:tcPr>
          <w:p w14:paraId="4F21CF78" w14:textId="77777777" w:rsidR="00E413EA" w:rsidRPr="00E413EA" w:rsidRDefault="00E413EA" w:rsidP="00F43E61">
            <w:pPr>
              <w:spacing w:after="120"/>
            </w:pPr>
            <w:r>
              <w:t>Project by project</w:t>
            </w:r>
          </w:p>
        </w:tc>
      </w:tr>
      <w:tr w:rsidR="00E413EA" w14:paraId="153173B5" w14:textId="77777777" w:rsidTr="00542FC3">
        <w:trPr>
          <w:cantSplit/>
        </w:trPr>
        <w:tc>
          <w:tcPr>
            <w:tcW w:w="7933" w:type="dxa"/>
          </w:tcPr>
          <w:p w14:paraId="1449F999" w14:textId="77777777" w:rsidR="00E413EA" w:rsidRPr="00F43E61" w:rsidRDefault="00E413EA" w:rsidP="00F43E61">
            <w:pPr>
              <w:spacing w:after="120"/>
              <w:ind w:left="601" w:hanging="601"/>
              <w:rPr>
                <w:rFonts w:eastAsiaTheme="minorHAnsi"/>
              </w:rPr>
            </w:pPr>
            <w:r w:rsidRPr="00F43E61">
              <w:rPr>
                <w:rFonts w:eastAsiaTheme="minorHAnsi"/>
              </w:rPr>
              <w:t xml:space="preserve">2.3 </w:t>
            </w:r>
            <w:r w:rsidR="006119D5" w:rsidRPr="00F43E61">
              <w:rPr>
                <w:rFonts w:eastAsiaTheme="minorHAnsi"/>
              </w:rPr>
              <w:tab/>
            </w:r>
            <w:r w:rsidRPr="00F43E61">
              <w:rPr>
                <w:rFonts w:eastAsiaTheme="minorHAnsi"/>
              </w:rPr>
              <w:t>Improve signage and wayfinding to ensure equal opportunities for participation</w:t>
            </w:r>
          </w:p>
        </w:tc>
        <w:tc>
          <w:tcPr>
            <w:tcW w:w="1803" w:type="dxa"/>
          </w:tcPr>
          <w:p w14:paraId="74F925F1" w14:textId="77777777" w:rsidR="00E413EA" w:rsidRPr="00E413EA" w:rsidRDefault="00E413EA" w:rsidP="00F43E61">
            <w:pPr>
              <w:spacing w:after="120"/>
            </w:pPr>
            <w:r>
              <w:t>Ongoing</w:t>
            </w:r>
          </w:p>
        </w:tc>
      </w:tr>
      <w:tr w:rsidR="00E413EA" w14:paraId="62AE87F3" w14:textId="77777777" w:rsidTr="00542FC3">
        <w:trPr>
          <w:cantSplit/>
        </w:trPr>
        <w:tc>
          <w:tcPr>
            <w:tcW w:w="7933" w:type="dxa"/>
          </w:tcPr>
          <w:p w14:paraId="2530A2A0" w14:textId="77777777" w:rsidR="00E413EA" w:rsidRPr="00F43E61" w:rsidRDefault="00E413EA" w:rsidP="00F43E61">
            <w:pPr>
              <w:spacing w:after="120"/>
              <w:ind w:left="601" w:hanging="601"/>
              <w:rPr>
                <w:rFonts w:eastAsiaTheme="minorHAnsi"/>
              </w:rPr>
            </w:pPr>
            <w:r w:rsidRPr="00F43E61">
              <w:rPr>
                <w:rFonts w:eastAsiaTheme="minorHAnsi"/>
              </w:rPr>
              <w:t xml:space="preserve">2.4 </w:t>
            </w:r>
            <w:r w:rsidR="006119D5" w:rsidRPr="00F43E61">
              <w:rPr>
                <w:rFonts w:eastAsiaTheme="minorHAnsi"/>
              </w:rPr>
              <w:tab/>
            </w:r>
            <w:r w:rsidRPr="00F43E61">
              <w:rPr>
                <w:rFonts w:eastAsiaTheme="minorHAnsi"/>
              </w:rPr>
              <w:t xml:space="preserve">Ensure all </w:t>
            </w:r>
            <w:r w:rsidR="00777A6D" w:rsidRPr="00F43E61">
              <w:rPr>
                <w:rFonts w:eastAsiaTheme="minorHAnsi"/>
              </w:rPr>
              <w:t>d</w:t>
            </w:r>
            <w:r w:rsidRPr="00F43E61">
              <w:rPr>
                <w:rFonts w:eastAsiaTheme="minorHAnsi"/>
              </w:rPr>
              <w:t>epartment buildings</w:t>
            </w:r>
            <w:r w:rsidR="006119D5" w:rsidRPr="00F43E61">
              <w:rPr>
                <w:rFonts w:eastAsiaTheme="minorHAnsi"/>
              </w:rPr>
              <w:t xml:space="preserve"> and </w:t>
            </w:r>
            <w:r w:rsidRPr="00F43E61">
              <w:rPr>
                <w:rFonts w:eastAsiaTheme="minorHAnsi"/>
              </w:rPr>
              <w:t>venues are part of Companion Card program</w:t>
            </w:r>
          </w:p>
        </w:tc>
        <w:tc>
          <w:tcPr>
            <w:tcW w:w="1803" w:type="dxa"/>
          </w:tcPr>
          <w:p w14:paraId="55DB8C9F" w14:textId="77777777" w:rsidR="00E413EA" w:rsidRDefault="00E413EA" w:rsidP="00F43E61">
            <w:pPr>
              <w:spacing w:after="120"/>
            </w:pPr>
            <w:r>
              <w:t>December 2019</w:t>
            </w:r>
          </w:p>
        </w:tc>
      </w:tr>
      <w:tr w:rsidR="00E413EA" w14:paraId="489D194E" w14:textId="77777777" w:rsidTr="00542FC3">
        <w:trPr>
          <w:cantSplit/>
        </w:trPr>
        <w:tc>
          <w:tcPr>
            <w:tcW w:w="7933" w:type="dxa"/>
            <w:shd w:val="clear" w:color="auto" w:fill="EAEEF2"/>
          </w:tcPr>
          <w:p w14:paraId="5CA26D76" w14:textId="77777777" w:rsidR="00E413EA" w:rsidRPr="001E00F5" w:rsidRDefault="00E413EA">
            <w:pPr>
              <w:pStyle w:val="Heading2"/>
              <w:outlineLvl w:val="1"/>
            </w:pPr>
            <w:bookmarkStart w:id="15" w:name="_Toc9443092"/>
            <w:r w:rsidRPr="001E00F5">
              <w:lastRenderedPageBreak/>
              <w:t>Outcome 3: Accessible information</w:t>
            </w:r>
            <w:bookmarkEnd w:id="15"/>
            <w:r w:rsidRPr="001E00F5">
              <w:t xml:space="preserve"> </w:t>
            </w:r>
          </w:p>
          <w:p w14:paraId="5E4E2F31" w14:textId="77777777" w:rsidR="00E413EA" w:rsidRPr="001E00F5" w:rsidRDefault="00E413EA" w:rsidP="00F43E61">
            <w:pPr>
              <w:pStyle w:val="Heading3"/>
              <w:outlineLvl w:val="2"/>
            </w:pPr>
            <w:r w:rsidRPr="001E00F5">
              <w:t xml:space="preserve">People with disability receive information from the </w:t>
            </w:r>
            <w:r w:rsidR="00777A6D">
              <w:t>d</w:t>
            </w:r>
            <w:r w:rsidRPr="001E00F5">
              <w:t>epartment in a format that enable</w:t>
            </w:r>
            <w:r w:rsidR="006119D5">
              <w:t>s</w:t>
            </w:r>
            <w:r w:rsidRPr="001E00F5">
              <w:t xml:space="preserve"> them to access the information as readily as other people.</w:t>
            </w:r>
          </w:p>
        </w:tc>
        <w:tc>
          <w:tcPr>
            <w:tcW w:w="1803" w:type="dxa"/>
            <w:shd w:val="clear" w:color="auto" w:fill="EAEEF2"/>
          </w:tcPr>
          <w:p w14:paraId="78755725" w14:textId="77777777" w:rsidR="00E413EA" w:rsidRPr="001E00F5" w:rsidRDefault="00E413EA">
            <w:bookmarkStart w:id="16" w:name="_Toc8802726"/>
            <w:r w:rsidRPr="00F43E61">
              <w:rPr>
                <w:color w:val="4A8195"/>
                <w:sz w:val="36"/>
                <w:szCs w:val="36"/>
              </w:rPr>
              <w:t>Timelines</w:t>
            </w:r>
            <w:bookmarkEnd w:id="16"/>
          </w:p>
        </w:tc>
      </w:tr>
      <w:tr w:rsidR="00E413EA" w14:paraId="40A58A9F" w14:textId="77777777" w:rsidTr="00542FC3">
        <w:trPr>
          <w:cantSplit/>
        </w:trPr>
        <w:tc>
          <w:tcPr>
            <w:tcW w:w="7933" w:type="dxa"/>
          </w:tcPr>
          <w:p w14:paraId="4DE0B0B5" w14:textId="77777777" w:rsidR="00E413EA" w:rsidRPr="00F43E61" w:rsidRDefault="00E06ABE" w:rsidP="00F43E61">
            <w:pPr>
              <w:spacing w:after="120"/>
              <w:ind w:left="601" w:hanging="601"/>
              <w:rPr>
                <w:rFonts w:eastAsiaTheme="minorHAnsi"/>
              </w:rPr>
            </w:pPr>
            <w:r w:rsidRPr="00F43E61">
              <w:rPr>
                <w:rFonts w:eastAsiaTheme="minorHAnsi"/>
              </w:rPr>
              <w:t xml:space="preserve">3.1 </w:t>
            </w:r>
            <w:r w:rsidR="006119D5" w:rsidRPr="00F43E61">
              <w:rPr>
                <w:rFonts w:eastAsiaTheme="minorHAnsi"/>
              </w:rPr>
              <w:tab/>
            </w:r>
            <w:r w:rsidR="00333B2D" w:rsidRPr="00F43E61">
              <w:rPr>
                <w:rFonts w:eastAsiaTheme="minorHAnsi"/>
              </w:rPr>
              <w:t xml:space="preserve">Embed State Government Access Guidelines for Information, Services and Facilities in </w:t>
            </w:r>
            <w:r w:rsidR="00361F08" w:rsidRPr="00F43E61">
              <w:rPr>
                <w:rFonts w:eastAsiaTheme="minorHAnsi"/>
              </w:rPr>
              <w:t>d</w:t>
            </w:r>
            <w:r w:rsidR="00333B2D" w:rsidRPr="00F43E61">
              <w:rPr>
                <w:rFonts w:eastAsiaTheme="minorHAnsi"/>
              </w:rPr>
              <w:t>epartment communication policy and style guides</w:t>
            </w:r>
            <w:r w:rsidR="004B5537" w:rsidRPr="00F43E61">
              <w:rPr>
                <w:rFonts w:eastAsiaTheme="minorHAnsi"/>
              </w:rPr>
              <w:t xml:space="preserve"> including those </w:t>
            </w:r>
            <w:r w:rsidR="00C973EB" w:rsidRPr="00F43E61">
              <w:rPr>
                <w:rFonts w:eastAsiaTheme="minorHAnsi"/>
              </w:rPr>
              <w:t>addressing public spaces</w:t>
            </w:r>
            <w:r w:rsidR="00E517D2">
              <w:rPr>
                <w:rFonts w:eastAsiaTheme="minorHAnsi"/>
              </w:rPr>
              <w:t>.</w:t>
            </w:r>
          </w:p>
        </w:tc>
        <w:tc>
          <w:tcPr>
            <w:tcW w:w="1803" w:type="dxa"/>
          </w:tcPr>
          <w:p w14:paraId="3FE7F4C2" w14:textId="77777777" w:rsidR="00E413EA" w:rsidRPr="00E413EA" w:rsidRDefault="00333B2D" w:rsidP="00F43E61">
            <w:pPr>
              <w:spacing w:after="120"/>
            </w:pPr>
            <w:r>
              <w:t>Dec</w:t>
            </w:r>
            <w:r w:rsidR="006119D5">
              <w:t>ember</w:t>
            </w:r>
            <w:r>
              <w:t xml:space="preserve"> 2019</w:t>
            </w:r>
          </w:p>
        </w:tc>
      </w:tr>
      <w:tr w:rsidR="00E413EA" w14:paraId="364385C6" w14:textId="77777777" w:rsidTr="00542FC3">
        <w:trPr>
          <w:cantSplit/>
        </w:trPr>
        <w:tc>
          <w:tcPr>
            <w:tcW w:w="7933" w:type="dxa"/>
          </w:tcPr>
          <w:p w14:paraId="29C3CEEE" w14:textId="77777777" w:rsidR="00E413EA" w:rsidRPr="00F43E61" w:rsidRDefault="00333B2D" w:rsidP="00F43E61">
            <w:pPr>
              <w:spacing w:after="120"/>
              <w:ind w:left="601" w:hanging="601"/>
              <w:rPr>
                <w:rFonts w:eastAsiaTheme="minorHAnsi"/>
              </w:rPr>
            </w:pPr>
            <w:r w:rsidRPr="00F43E61">
              <w:rPr>
                <w:rFonts w:eastAsiaTheme="minorHAnsi"/>
              </w:rPr>
              <w:t xml:space="preserve">3.2 </w:t>
            </w:r>
            <w:r w:rsidR="006119D5" w:rsidRPr="00F43E61">
              <w:rPr>
                <w:rFonts w:eastAsiaTheme="minorHAnsi"/>
              </w:rPr>
              <w:tab/>
            </w:r>
            <w:r w:rsidRPr="00F43E61">
              <w:rPr>
                <w:rFonts w:eastAsiaTheme="minorHAnsi"/>
              </w:rPr>
              <w:t>Continue to provide information in alternative formats upon request by a person with disability and ensure staff know where to find that information</w:t>
            </w:r>
            <w:r w:rsidR="008642AD" w:rsidRPr="00F43E61">
              <w:rPr>
                <w:rFonts w:eastAsiaTheme="minorHAnsi"/>
              </w:rPr>
              <w:t>.</w:t>
            </w:r>
          </w:p>
        </w:tc>
        <w:tc>
          <w:tcPr>
            <w:tcW w:w="1803" w:type="dxa"/>
          </w:tcPr>
          <w:p w14:paraId="57E639C8" w14:textId="77777777" w:rsidR="00E413EA" w:rsidRPr="00E413EA" w:rsidRDefault="00E413EA" w:rsidP="00F43E61">
            <w:pPr>
              <w:spacing w:after="120"/>
            </w:pPr>
            <w:r>
              <w:t>Project by project</w:t>
            </w:r>
          </w:p>
        </w:tc>
      </w:tr>
      <w:tr w:rsidR="00E413EA" w14:paraId="7D2BE46A" w14:textId="77777777" w:rsidTr="00542FC3">
        <w:trPr>
          <w:cantSplit/>
        </w:trPr>
        <w:tc>
          <w:tcPr>
            <w:tcW w:w="7933" w:type="dxa"/>
          </w:tcPr>
          <w:p w14:paraId="576FC7C8" w14:textId="77777777" w:rsidR="00E413EA" w:rsidRPr="00F43E61" w:rsidRDefault="00333B2D" w:rsidP="00F43E61">
            <w:pPr>
              <w:spacing w:after="120"/>
              <w:ind w:left="601" w:hanging="601"/>
              <w:rPr>
                <w:rFonts w:eastAsiaTheme="minorHAnsi"/>
              </w:rPr>
            </w:pPr>
            <w:r w:rsidRPr="00F43E61">
              <w:rPr>
                <w:rFonts w:eastAsiaTheme="minorHAnsi"/>
              </w:rPr>
              <w:t xml:space="preserve">3.3 </w:t>
            </w:r>
            <w:r w:rsidR="006119D5" w:rsidRPr="00F43E61">
              <w:rPr>
                <w:rFonts w:eastAsiaTheme="minorHAnsi"/>
              </w:rPr>
              <w:tab/>
            </w:r>
            <w:r w:rsidRPr="00F43E61">
              <w:rPr>
                <w:rFonts w:eastAsiaTheme="minorHAnsi"/>
              </w:rPr>
              <w:t>Provide interpreter services for key services whenever requested, noting that</w:t>
            </w:r>
            <w:r w:rsidR="006119D5" w:rsidRPr="00F43E61">
              <w:rPr>
                <w:rFonts w:eastAsiaTheme="minorHAnsi"/>
              </w:rPr>
              <w:t>,</w:t>
            </w:r>
            <w:r w:rsidRPr="00F43E61">
              <w:rPr>
                <w:rFonts w:eastAsiaTheme="minorHAnsi"/>
              </w:rPr>
              <w:t xml:space="preserve"> for some people</w:t>
            </w:r>
            <w:r w:rsidR="006119D5" w:rsidRPr="00F43E61">
              <w:rPr>
                <w:rFonts w:eastAsiaTheme="minorHAnsi"/>
              </w:rPr>
              <w:t>,</w:t>
            </w:r>
            <w:r w:rsidRPr="00F43E61">
              <w:rPr>
                <w:rFonts w:eastAsiaTheme="minorHAnsi"/>
              </w:rPr>
              <w:t xml:space="preserve"> Auslan is their first language</w:t>
            </w:r>
            <w:r w:rsidR="008642AD" w:rsidRPr="00F43E61">
              <w:rPr>
                <w:rFonts w:eastAsiaTheme="minorHAnsi"/>
              </w:rPr>
              <w:t>.</w:t>
            </w:r>
          </w:p>
        </w:tc>
        <w:tc>
          <w:tcPr>
            <w:tcW w:w="1803" w:type="dxa"/>
          </w:tcPr>
          <w:p w14:paraId="76502F1A" w14:textId="77777777" w:rsidR="00E413EA" w:rsidRPr="00E413EA" w:rsidRDefault="00E413EA" w:rsidP="00F43E61">
            <w:pPr>
              <w:spacing w:after="120"/>
            </w:pPr>
            <w:r>
              <w:t>Ongoing</w:t>
            </w:r>
          </w:p>
        </w:tc>
      </w:tr>
      <w:tr w:rsidR="008642AD" w14:paraId="4EE979DB" w14:textId="77777777" w:rsidTr="00542FC3">
        <w:trPr>
          <w:cantSplit/>
        </w:trPr>
        <w:tc>
          <w:tcPr>
            <w:tcW w:w="7933" w:type="dxa"/>
          </w:tcPr>
          <w:p w14:paraId="17E6ACF9" w14:textId="77777777" w:rsidR="008642AD" w:rsidRPr="00F43E61" w:rsidRDefault="008642AD" w:rsidP="00F43E61">
            <w:pPr>
              <w:spacing w:after="120"/>
              <w:ind w:left="601" w:hanging="601"/>
              <w:rPr>
                <w:rFonts w:eastAsiaTheme="minorHAnsi"/>
              </w:rPr>
            </w:pPr>
            <w:r w:rsidRPr="00F43E61">
              <w:rPr>
                <w:rFonts w:eastAsiaTheme="minorHAnsi"/>
              </w:rPr>
              <w:t xml:space="preserve">3.4 </w:t>
            </w:r>
            <w:r w:rsidR="006119D5" w:rsidRPr="00F43E61">
              <w:rPr>
                <w:rFonts w:eastAsiaTheme="minorHAnsi"/>
              </w:rPr>
              <w:tab/>
            </w:r>
            <w:r w:rsidR="00717D25" w:rsidRPr="00F43E61">
              <w:rPr>
                <w:rFonts w:eastAsiaTheme="minorHAnsi"/>
              </w:rPr>
              <w:t>Continue to provide</w:t>
            </w:r>
            <w:r w:rsidRPr="00F43E61">
              <w:rPr>
                <w:rFonts w:eastAsiaTheme="minorHAnsi"/>
              </w:rPr>
              <w:t xml:space="preserve"> AA web </w:t>
            </w:r>
            <w:r w:rsidR="00717D25" w:rsidRPr="00F43E61">
              <w:rPr>
                <w:rFonts w:eastAsiaTheme="minorHAnsi"/>
              </w:rPr>
              <w:t xml:space="preserve">accessibility </w:t>
            </w:r>
            <w:r w:rsidRPr="00F43E61">
              <w:rPr>
                <w:rFonts w:eastAsiaTheme="minorHAnsi"/>
              </w:rPr>
              <w:t xml:space="preserve">standards and implement AAA </w:t>
            </w:r>
            <w:r w:rsidR="00717D25" w:rsidRPr="00F43E61">
              <w:rPr>
                <w:rFonts w:eastAsiaTheme="minorHAnsi"/>
              </w:rPr>
              <w:t xml:space="preserve">web accessibility </w:t>
            </w:r>
            <w:r w:rsidRPr="00F43E61">
              <w:rPr>
                <w:rFonts w:eastAsiaTheme="minorHAnsi"/>
              </w:rPr>
              <w:t>standards wherever possible</w:t>
            </w:r>
            <w:r w:rsidR="00717D25" w:rsidRPr="00F43E61">
              <w:rPr>
                <w:rFonts w:eastAsiaTheme="minorHAnsi"/>
              </w:rPr>
              <w:t>.</w:t>
            </w:r>
            <w:r w:rsidRPr="00F43E61">
              <w:rPr>
                <w:rFonts w:eastAsiaTheme="minorHAnsi"/>
              </w:rPr>
              <w:t xml:space="preserve"> </w:t>
            </w:r>
          </w:p>
        </w:tc>
        <w:tc>
          <w:tcPr>
            <w:tcW w:w="1803" w:type="dxa"/>
          </w:tcPr>
          <w:p w14:paraId="078686AE" w14:textId="77777777" w:rsidR="008642AD" w:rsidRDefault="008642AD" w:rsidP="00F43E61">
            <w:pPr>
              <w:spacing w:after="120"/>
            </w:pPr>
            <w:r>
              <w:t>Ongoing</w:t>
            </w:r>
          </w:p>
        </w:tc>
      </w:tr>
    </w:tbl>
    <w:p w14:paraId="6DF4ACAF" w14:textId="77777777" w:rsidR="00633855" w:rsidRDefault="00633855" w:rsidP="00F43E61">
      <w:pPr>
        <w:spacing w:before="0" w:after="0"/>
      </w:pPr>
    </w:p>
    <w:tbl>
      <w:tblPr>
        <w:tblStyle w:val="TableGrid"/>
        <w:tblW w:w="0" w:type="auto"/>
        <w:tblBorders>
          <w:top w:val="single" w:sz="4" w:space="0" w:color="36384C"/>
          <w:left w:val="single" w:sz="4" w:space="0" w:color="36384C"/>
          <w:bottom w:val="single" w:sz="4" w:space="0" w:color="36384C"/>
          <w:right w:val="single" w:sz="4" w:space="0" w:color="36384C"/>
          <w:insideH w:val="single" w:sz="4" w:space="0" w:color="36384C"/>
          <w:insideV w:val="single" w:sz="4" w:space="0" w:color="36384C"/>
        </w:tblBorders>
        <w:tblLook w:val="04A0" w:firstRow="1" w:lastRow="0" w:firstColumn="1" w:lastColumn="0" w:noHBand="0" w:noVBand="1"/>
      </w:tblPr>
      <w:tblGrid>
        <w:gridCol w:w="7933"/>
        <w:gridCol w:w="1803"/>
      </w:tblGrid>
      <w:tr w:rsidR="00333B2D" w14:paraId="3CEB1845" w14:textId="77777777" w:rsidTr="00542FC3">
        <w:trPr>
          <w:cantSplit/>
        </w:trPr>
        <w:tc>
          <w:tcPr>
            <w:tcW w:w="7933" w:type="dxa"/>
            <w:shd w:val="clear" w:color="auto" w:fill="EAEEF2"/>
          </w:tcPr>
          <w:p w14:paraId="5E91A584" w14:textId="77777777" w:rsidR="00333B2D" w:rsidRPr="001E00F5" w:rsidRDefault="00333B2D">
            <w:pPr>
              <w:pStyle w:val="Heading2"/>
              <w:outlineLvl w:val="1"/>
            </w:pPr>
            <w:bookmarkStart w:id="17" w:name="_Toc9443093"/>
            <w:r w:rsidRPr="001E00F5">
              <w:t>Outcome 4: Service</w:t>
            </w:r>
            <w:bookmarkEnd w:id="17"/>
          </w:p>
          <w:p w14:paraId="1487A12E" w14:textId="77777777" w:rsidR="00333B2D" w:rsidRPr="001E00F5" w:rsidRDefault="00333B2D" w:rsidP="00F43E61">
            <w:pPr>
              <w:pStyle w:val="Heading3"/>
              <w:outlineLvl w:val="2"/>
            </w:pPr>
            <w:r w:rsidRPr="001E00F5">
              <w:t xml:space="preserve">People with disability receive the same level and quality of services from the staff of the </w:t>
            </w:r>
            <w:r w:rsidR="00361F08">
              <w:t>d</w:t>
            </w:r>
            <w:r w:rsidRPr="001E00F5">
              <w:t>epartment as other people receive.</w:t>
            </w:r>
          </w:p>
        </w:tc>
        <w:tc>
          <w:tcPr>
            <w:tcW w:w="1803" w:type="dxa"/>
            <w:shd w:val="clear" w:color="auto" w:fill="EAEEF2"/>
          </w:tcPr>
          <w:p w14:paraId="323F2E97" w14:textId="77777777" w:rsidR="00333B2D" w:rsidRPr="001E00F5" w:rsidRDefault="00333B2D">
            <w:bookmarkStart w:id="18" w:name="_Toc8802728"/>
            <w:r w:rsidRPr="00F43E61">
              <w:rPr>
                <w:color w:val="4A8195"/>
                <w:sz w:val="36"/>
                <w:szCs w:val="36"/>
              </w:rPr>
              <w:t>Timelines</w:t>
            </w:r>
            <w:bookmarkEnd w:id="18"/>
          </w:p>
        </w:tc>
      </w:tr>
      <w:tr w:rsidR="00333B2D" w14:paraId="0C581CFA" w14:textId="77777777" w:rsidTr="00542FC3">
        <w:trPr>
          <w:cantSplit/>
        </w:trPr>
        <w:tc>
          <w:tcPr>
            <w:tcW w:w="7933" w:type="dxa"/>
          </w:tcPr>
          <w:p w14:paraId="220ED880" w14:textId="77777777" w:rsidR="00333B2D" w:rsidRPr="00F43E61" w:rsidRDefault="00333B2D" w:rsidP="00F43E61">
            <w:pPr>
              <w:spacing w:after="120"/>
              <w:ind w:left="601" w:hanging="601"/>
              <w:rPr>
                <w:rFonts w:eastAsiaTheme="minorHAnsi"/>
              </w:rPr>
            </w:pPr>
            <w:r w:rsidRPr="00F43E61">
              <w:rPr>
                <w:rFonts w:eastAsiaTheme="minorHAnsi"/>
              </w:rPr>
              <w:t xml:space="preserve">4.1 </w:t>
            </w:r>
            <w:r w:rsidR="006119D5" w:rsidRPr="00F43E61">
              <w:rPr>
                <w:rFonts w:eastAsiaTheme="minorHAnsi"/>
              </w:rPr>
              <w:tab/>
            </w:r>
            <w:r w:rsidRPr="00F43E61">
              <w:rPr>
                <w:rFonts w:eastAsiaTheme="minorHAnsi"/>
              </w:rPr>
              <w:t xml:space="preserve">Build disability awareness across the </w:t>
            </w:r>
            <w:r w:rsidR="00361F08" w:rsidRPr="00F43E61">
              <w:rPr>
                <w:rFonts w:eastAsiaTheme="minorHAnsi"/>
              </w:rPr>
              <w:t>d</w:t>
            </w:r>
            <w:r w:rsidRPr="00F43E61">
              <w:rPr>
                <w:rFonts w:eastAsiaTheme="minorHAnsi"/>
              </w:rPr>
              <w:t xml:space="preserve">epartment with a </w:t>
            </w:r>
            <w:r w:rsidR="00891A0C" w:rsidRPr="00F43E61">
              <w:rPr>
                <w:rFonts w:eastAsiaTheme="minorHAnsi"/>
              </w:rPr>
              <w:t>focus</w:t>
            </w:r>
            <w:r w:rsidRPr="00F43E61">
              <w:rPr>
                <w:rFonts w:eastAsiaTheme="minorHAnsi"/>
              </w:rPr>
              <w:t xml:space="preserve"> on public facing roles</w:t>
            </w:r>
            <w:r w:rsidR="00E06ABE" w:rsidRPr="00F43E61">
              <w:rPr>
                <w:rFonts w:eastAsiaTheme="minorHAnsi"/>
              </w:rPr>
              <w:t xml:space="preserve"> including counter staff, call takers and security staff.</w:t>
            </w:r>
          </w:p>
        </w:tc>
        <w:tc>
          <w:tcPr>
            <w:tcW w:w="1803" w:type="dxa"/>
          </w:tcPr>
          <w:p w14:paraId="2E945A47" w14:textId="77777777" w:rsidR="00333B2D" w:rsidRPr="00E413EA" w:rsidRDefault="00333B2D" w:rsidP="00F43E61">
            <w:pPr>
              <w:spacing w:after="120"/>
            </w:pPr>
            <w:r>
              <w:t>Annual commencing 2019</w:t>
            </w:r>
          </w:p>
        </w:tc>
      </w:tr>
      <w:tr w:rsidR="00333B2D" w14:paraId="1E68B747" w14:textId="77777777" w:rsidTr="00542FC3">
        <w:trPr>
          <w:cantSplit/>
        </w:trPr>
        <w:tc>
          <w:tcPr>
            <w:tcW w:w="7933" w:type="dxa"/>
          </w:tcPr>
          <w:p w14:paraId="2B5C6BBA" w14:textId="77777777" w:rsidR="00333B2D" w:rsidRPr="00F43E61" w:rsidRDefault="00333B2D" w:rsidP="00F43E61">
            <w:pPr>
              <w:spacing w:after="120"/>
              <w:ind w:left="601" w:hanging="601"/>
              <w:rPr>
                <w:rFonts w:eastAsiaTheme="minorHAnsi"/>
              </w:rPr>
            </w:pPr>
            <w:r w:rsidRPr="00F43E61">
              <w:rPr>
                <w:rFonts w:eastAsiaTheme="minorHAnsi"/>
              </w:rPr>
              <w:t xml:space="preserve">4.2 </w:t>
            </w:r>
            <w:r w:rsidR="006119D5" w:rsidRPr="00F43E61">
              <w:rPr>
                <w:rFonts w:eastAsiaTheme="minorHAnsi"/>
              </w:rPr>
              <w:tab/>
            </w:r>
            <w:r w:rsidRPr="00F43E61">
              <w:rPr>
                <w:rFonts w:eastAsiaTheme="minorHAnsi"/>
              </w:rPr>
              <w:t xml:space="preserve">Ensure staff have the knowledge and skills to support people across the diverse range of disabilities </w:t>
            </w:r>
            <w:r w:rsidR="00854FCA" w:rsidRPr="00F43E61">
              <w:rPr>
                <w:rFonts w:eastAsiaTheme="minorHAnsi"/>
              </w:rPr>
              <w:t>and</w:t>
            </w:r>
            <w:r w:rsidRPr="00F43E61">
              <w:rPr>
                <w:rFonts w:eastAsiaTheme="minorHAnsi"/>
              </w:rPr>
              <w:t xml:space="preserve"> to support families and carers.</w:t>
            </w:r>
          </w:p>
        </w:tc>
        <w:tc>
          <w:tcPr>
            <w:tcW w:w="1803" w:type="dxa"/>
          </w:tcPr>
          <w:p w14:paraId="139D8E4C" w14:textId="77777777" w:rsidR="00333B2D" w:rsidRPr="00E413EA" w:rsidRDefault="00333B2D" w:rsidP="00F43E61">
            <w:pPr>
              <w:spacing w:after="120"/>
            </w:pPr>
            <w:r>
              <w:t>Ongoing</w:t>
            </w:r>
          </w:p>
        </w:tc>
      </w:tr>
      <w:tr w:rsidR="00E06ABE" w14:paraId="271E689C" w14:textId="77777777" w:rsidTr="00542FC3">
        <w:trPr>
          <w:cantSplit/>
        </w:trPr>
        <w:tc>
          <w:tcPr>
            <w:tcW w:w="7933" w:type="dxa"/>
          </w:tcPr>
          <w:p w14:paraId="324BE514" w14:textId="77777777" w:rsidR="00E06ABE" w:rsidRPr="00F43E61" w:rsidRDefault="00E06ABE" w:rsidP="00F43E61">
            <w:pPr>
              <w:spacing w:after="120"/>
              <w:ind w:left="601" w:hanging="601"/>
              <w:rPr>
                <w:rFonts w:eastAsiaTheme="minorHAnsi"/>
              </w:rPr>
            </w:pPr>
            <w:r w:rsidRPr="00F43E61">
              <w:rPr>
                <w:rFonts w:eastAsiaTheme="minorHAnsi"/>
              </w:rPr>
              <w:t xml:space="preserve">4.3 </w:t>
            </w:r>
            <w:r w:rsidR="006119D5" w:rsidRPr="00F43E61">
              <w:rPr>
                <w:rFonts w:eastAsiaTheme="minorHAnsi"/>
              </w:rPr>
              <w:tab/>
            </w:r>
            <w:r w:rsidRPr="00F43E61">
              <w:rPr>
                <w:rFonts w:eastAsiaTheme="minorHAnsi"/>
              </w:rPr>
              <w:t xml:space="preserve">Promote the DAIP and the </w:t>
            </w:r>
            <w:r w:rsidR="00777A6D" w:rsidRPr="00F43E61">
              <w:rPr>
                <w:rFonts w:eastAsiaTheme="minorHAnsi"/>
              </w:rPr>
              <w:t>d</w:t>
            </w:r>
            <w:r w:rsidRPr="00F43E61">
              <w:rPr>
                <w:rFonts w:eastAsiaTheme="minorHAnsi"/>
              </w:rPr>
              <w:t>epartment’s responsibilities to all staff.</w:t>
            </w:r>
          </w:p>
        </w:tc>
        <w:tc>
          <w:tcPr>
            <w:tcW w:w="1803" w:type="dxa"/>
          </w:tcPr>
          <w:p w14:paraId="249FF248" w14:textId="77777777" w:rsidR="00E06ABE" w:rsidRDefault="00E06ABE" w:rsidP="00F43E61">
            <w:pPr>
              <w:spacing w:after="120"/>
            </w:pPr>
            <w:r>
              <w:t>At least annually</w:t>
            </w:r>
          </w:p>
        </w:tc>
      </w:tr>
    </w:tbl>
    <w:p w14:paraId="549FE1D7" w14:textId="77777777" w:rsidR="00740CC5" w:rsidRDefault="00740CC5"/>
    <w:p w14:paraId="14A7E5A7" w14:textId="77777777" w:rsidR="00472D32" w:rsidRDefault="00472D32"/>
    <w:tbl>
      <w:tblPr>
        <w:tblStyle w:val="TableGrid"/>
        <w:tblW w:w="0" w:type="auto"/>
        <w:tblBorders>
          <w:top w:val="single" w:sz="4" w:space="0" w:color="36384C"/>
          <w:left w:val="single" w:sz="4" w:space="0" w:color="36384C"/>
          <w:bottom w:val="single" w:sz="4" w:space="0" w:color="36384C"/>
          <w:right w:val="single" w:sz="4" w:space="0" w:color="36384C"/>
          <w:insideH w:val="single" w:sz="4" w:space="0" w:color="36384C"/>
          <w:insideV w:val="single" w:sz="4" w:space="0" w:color="36384C"/>
        </w:tblBorders>
        <w:tblLook w:val="04A0" w:firstRow="1" w:lastRow="0" w:firstColumn="1" w:lastColumn="0" w:noHBand="0" w:noVBand="1"/>
      </w:tblPr>
      <w:tblGrid>
        <w:gridCol w:w="7933"/>
        <w:gridCol w:w="1803"/>
      </w:tblGrid>
      <w:tr w:rsidR="00333B2D" w14:paraId="61368912" w14:textId="77777777" w:rsidTr="00542FC3">
        <w:trPr>
          <w:cantSplit/>
        </w:trPr>
        <w:tc>
          <w:tcPr>
            <w:tcW w:w="7933" w:type="dxa"/>
            <w:shd w:val="clear" w:color="auto" w:fill="EAEEF2"/>
          </w:tcPr>
          <w:p w14:paraId="0821E467" w14:textId="77777777" w:rsidR="00333B2D" w:rsidRPr="001E00F5" w:rsidRDefault="00333B2D" w:rsidP="00F43E61">
            <w:pPr>
              <w:pStyle w:val="Heading2"/>
              <w:spacing w:after="0"/>
              <w:outlineLvl w:val="1"/>
            </w:pPr>
            <w:bookmarkStart w:id="19" w:name="_Toc9443094"/>
            <w:r w:rsidRPr="001E00F5">
              <w:lastRenderedPageBreak/>
              <w:t>Outcome 5: Complaints</w:t>
            </w:r>
            <w:bookmarkEnd w:id="19"/>
          </w:p>
          <w:p w14:paraId="174407C1" w14:textId="77777777" w:rsidR="00333B2D" w:rsidRPr="001E00F5" w:rsidRDefault="00333B2D" w:rsidP="00F43E61">
            <w:pPr>
              <w:pStyle w:val="Heading3"/>
              <w:spacing w:before="120" w:after="120"/>
              <w:outlineLvl w:val="2"/>
            </w:pPr>
            <w:r w:rsidRPr="001E00F5">
              <w:t xml:space="preserve">People with disability have the same opportunities as other people to make complaints to the </w:t>
            </w:r>
            <w:r w:rsidR="00361F08">
              <w:t>d</w:t>
            </w:r>
            <w:r w:rsidRPr="001E00F5">
              <w:t>epartment.</w:t>
            </w:r>
          </w:p>
        </w:tc>
        <w:tc>
          <w:tcPr>
            <w:tcW w:w="1803" w:type="dxa"/>
            <w:shd w:val="clear" w:color="auto" w:fill="EAEEF2"/>
          </w:tcPr>
          <w:p w14:paraId="27EA43C4" w14:textId="77777777" w:rsidR="00333B2D" w:rsidRPr="001E00F5" w:rsidRDefault="00333B2D">
            <w:bookmarkStart w:id="20" w:name="_Toc8802730"/>
            <w:r w:rsidRPr="00F43E61">
              <w:rPr>
                <w:color w:val="4A8195"/>
                <w:sz w:val="36"/>
                <w:szCs w:val="36"/>
              </w:rPr>
              <w:t>Timelines</w:t>
            </w:r>
            <w:bookmarkEnd w:id="20"/>
          </w:p>
        </w:tc>
      </w:tr>
      <w:tr w:rsidR="00333B2D" w14:paraId="671E80F5" w14:textId="77777777" w:rsidTr="00542FC3">
        <w:trPr>
          <w:cantSplit/>
        </w:trPr>
        <w:tc>
          <w:tcPr>
            <w:tcW w:w="7933" w:type="dxa"/>
          </w:tcPr>
          <w:p w14:paraId="043573B3" w14:textId="77777777" w:rsidR="00333B2D" w:rsidRPr="00F43E61" w:rsidRDefault="00333B2D" w:rsidP="00F43E61">
            <w:pPr>
              <w:spacing w:before="80" w:after="80"/>
              <w:ind w:left="601" w:hanging="601"/>
              <w:rPr>
                <w:rFonts w:eastAsiaTheme="minorHAnsi"/>
              </w:rPr>
            </w:pPr>
            <w:r w:rsidRPr="00F43E61">
              <w:rPr>
                <w:rFonts w:eastAsiaTheme="minorHAnsi"/>
              </w:rPr>
              <w:t xml:space="preserve">5.1 </w:t>
            </w:r>
            <w:r w:rsidR="006119D5" w:rsidRPr="00F43E61">
              <w:rPr>
                <w:rFonts w:eastAsiaTheme="minorHAnsi"/>
              </w:rPr>
              <w:tab/>
            </w:r>
            <w:r w:rsidRPr="00F43E61">
              <w:rPr>
                <w:rFonts w:eastAsiaTheme="minorHAnsi"/>
              </w:rPr>
              <w:t xml:space="preserve">Ensure a whole of </w:t>
            </w:r>
            <w:r w:rsidR="00777A6D" w:rsidRPr="00F43E61">
              <w:rPr>
                <w:rFonts w:eastAsiaTheme="minorHAnsi"/>
              </w:rPr>
              <w:t>d</w:t>
            </w:r>
            <w:r w:rsidRPr="00F43E61">
              <w:rPr>
                <w:rFonts w:eastAsiaTheme="minorHAnsi"/>
              </w:rPr>
              <w:t xml:space="preserve">epartment approach to a transparent </w:t>
            </w:r>
            <w:r w:rsidR="00777A6D" w:rsidRPr="00F43E61">
              <w:rPr>
                <w:rFonts w:eastAsiaTheme="minorHAnsi"/>
              </w:rPr>
              <w:t>complaint</w:t>
            </w:r>
            <w:r w:rsidRPr="00F43E61">
              <w:rPr>
                <w:rFonts w:eastAsiaTheme="minorHAnsi"/>
              </w:rPr>
              <w:t xml:space="preserve"> management process.</w:t>
            </w:r>
          </w:p>
        </w:tc>
        <w:tc>
          <w:tcPr>
            <w:tcW w:w="1803" w:type="dxa"/>
          </w:tcPr>
          <w:p w14:paraId="11A44CAF" w14:textId="77777777" w:rsidR="00333B2D" w:rsidRPr="00E413EA" w:rsidRDefault="00333B2D" w:rsidP="00F43E61">
            <w:pPr>
              <w:spacing w:before="80" w:after="80"/>
            </w:pPr>
            <w:r>
              <w:t>January 2020</w:t>
            </w:r>
          </w:p>
        </w:tc>
      </w:tr>
      <w:tr w:rsidR="00333B2D" w14:paraId="625D3AF4" w14:textId="77777777" w:rsidTr="00542FC3">
        <w:trPr>
          <w:cantSplit/>
        </w:trPr>
        <w:tc>
          <w:tcPr>
            <w:tcW w:w="7933" w:type="dxa"/>
          </w:tcPr>
          <w:p w14:paraId="1846175D" w14:textId="77777777" w:rsidR="00333B2D" w:rsidRPr="00F43E61" w:rsidRDefault="00333B2D" w:rsidP="00F43E61">
            <w:pPr>
              <w:spacing w:before="80" w:after="80"/>
              <w:ind w:left="601" w:hanging="601"/>
              <w:rPr>
                <w:rFonts w:eastAsiaTheme="minorHAnsi"/>
              </w:rPr>
            </w:pPr>
            <w:r w:rsidRPr="00F43E61">
              <w:rPr>
                <w:rFonts w:eastAsiaTheme="minorHAnsi"/>
              </w:rPr>
              <w:t xml:space="preserve">5.2 </w:t>
            </w:r>
            <w:r w:rsidR="006119D5" w:rsidRPr="00F43E61">
              <w:rPr>
                <w:rFonts w:eastAsiaTheme="minorHAnsi"/>
              </w:rPr>
              <w:tab/>
            </w:r>
            <w:r w:rsidRPr="00F43E61">
              <w:rPr>
                <w:rFonts w:eastAsiaTheme="minorHAnsi"/>
              </w:rPr>
              <w:t xml:space="preserve">Actively encourage </w:t>
            </w:r>
            <w:r w:rsidR="006119D5" w:rsidRPr="00F43E61">
              <w:rPr>
                <w:rFonts w:eastAsiaTheme="minorHAnsi"/>
              </w:rPr>
              <w:t xml:space="preserve">feedback </w:t>
            </w:r>
            <w:r w:rsidRPr="00F43E61">
              <w:rPr>
                <w:rFonts w:eastAsiaTheme="minorHAnsi"/>
              </w:rPr>
              <w:t>about access and inclusion to identify improvement opportunities and inform DAIP investment.</w:t>
            </w:r>
          </w:p>
        </w:tc>
        <w:tc>
          <w:tcPr>
            <w:tcW w:w="1803" w:type="dxa"/>
          </w:tcPr>
          <w:p w14:paraId="53FB14E3" w14:textId="77777777" w:rsidR="00333B2D" w:rsidRPr="00E413EA" w:rsidRDefault="00333B2D" w:rsidP="00F43E61">
            <w:pPr>
              <w:spacing w:before="80" w:after="80"/>
            </w:pPr>
            <w:r>
              <w:t>Ongoing</w:t>
            </w:r>
          </w:p>
        </w:tc>
      </w:tr>
      <w:tr w:rsidR="00333B2D" w14:paraId="3028E9D6" w14:textId="77777777" w:rsidTr="00542FC3">
        <w:trPr>
          <w:cantSplit/>
        </w:trPr>
        <w:tc>
          <w:tcPr>
            <w:tcW w:w="7933" w:type="dxa"/>
          </w:tcPr>
          <w:p w14:paraId="2DAB9176" w14:textId="77777777" w:rsidR="006119D5" w:rsidRPr="00F43E61" w:rsidRDefault="00333B2D" w:rsidP="00F43E61">
            <w:pPr>
              <w:spacing w:before="80" w:after="80"/>
              <w:ind w:left="601" w:hanging="601"/>
              <w:rPr>
                <w:rFonts w:eastAsiaTheme="minorHAnsi"/>
              </w:rPr>
            </w:pPr>
            <w:r w:rsidRPr="00F43E61">
              <w:rPr>
                <w:rFonts w:eastAsiaTheme="minorHAnsi"/>
              </w:rPr>
              <w:t xml:space="preserve">5.3 </w:t>
            </w:r>
            <w:r w:rsidR="006119D5" w:rsidRPr="00F43E61">
              <w:rPr>
                <w:rFonts w:eastAsiaTheme="minorHAnsi"/>
              </w:rPr>
              <w:tab/>
            </w:r>
            <w:r w:rsidRPr="00F43E61">
              <w:rPr>
                <w:rFonts w:eastAsiaTheme="minorHAnsi"/>
              </w:rPr>
              <w:t>Ensure staff are adequately trained to facilitate, respond to</w:t>
            </w:r>
            <w:r w:rsidR="006119D5" w:rsidRPr="00F43E61">
              <w:rPr>
                <w:rFonts w:eastAsiaTheme="minorHAnsi"/>
              </w:rPr>
              <w:t>,</w:t>
            </w:r>
            <w:r w:rsidRPr="00F43E61">
              <w:rPr>
                <w:rFonts w:eastAsiaTheme="minorHAnsi"/>
              </w:rPr>
              <w:t xml:space="preserve"> and process complaints from people with disability.</w:t>
            </w:r>
          </w:p>
        </w:tc>
        <w:tc>
          <w:tcPr>
            <w:tcW w:w="1803" w:type="dxa"/>
          </w:tcPr>
          <w:p w14:paraId="29F82825" w14:textId="77777777" w:rsidR="00333B2D" w:rsidRDefault="00333B2D" w:rsidP="00F43E61">
            <w:pPr>
              <w:spacing w:before="80" w:after="80"/>
            </w:pPr>
            <w:r>
              <w:t>Annually</w:t>
            </w:r>
          </w:p>
        </w:tc>
      </w:tr>
    </w:tbl>
    <w:p w14:paraId="2C9F7AC7" w14:textId="77777777" w:rsidR="004231B6" w:rsidRPr="00333B2D" w:rsidRDefault="004231B6" w:rsidP="00F43E61">
      <w:pPr>
        <w:spacing w:before="0" w:after="0"/>
      </w:pPr>
    </w:p>
    <w:tbl>
      <w:tblPr>
        <w:tblStyle w:val="TableGrid"/>
        <w:tblW w:w="0" w:type="auto"/>
        <w:tblBorders>
          <w:top w:val="single" w:sz="4" w:space="0" w:color="36384C"/>
          <w:left w:val="single" w:sz="4" w:space="0" w:color="36384C"/>
          <w:bottom w:val="single" w:sz="4" w:space="0" w:color="36384C"/>
          <w:right w:val="single" w:sz="4" w:space="0" w:color="36384C"/>
          <w:insideH w:val="single" w:sz="4" w:space="0" w:color="36384C"/>
          <w:insideV w:val="single" w:sz="4" w:space="0" w:color="36384C"/>
        </w:tblBorders>
        <w:tblLook w:val="04A0" w:firstRow="1" w:lastRow="0" w:firstColumn="1" w:lastColumn="0" w:noHBand="0" w:noVBand="1"/>
      </w:tblPr>
      <w:tblGrid>
        <w:gridCol w:w="7933"/>
        <w:gridCol w:w="1803"/>
      </w:tblGrid>
      <w:tr w:rsidR="00333B2D" w14:paraId="0E163AB6" w14:textId="77777777" w:rsidTr="00542FC3">
        <w:trPr>
          <w:cantSplit/>
        </w:trPr>
        <w:tc>
          <w:tcPr>
            <w:tcW w:w="7933" w:type="dxa"/>
            <w:shd w:val="clear" w:color="auto" w:fill="EAEEF2"/>
          </w:tcPr>
          <w:p w14:paraId="7D35FB6E" w14:textId="77777777" w:rsidR="00333B2D" w:rsidRPr="001E00F5" w:rsidRDefault="00333B2D">
            <w:pPr>
              <w:pStyle w:val="Heading2"/>
              <w:outlineLvl w:val="1"/>
            </w:pPr>
            <w:bookmarkStart w:id="21" w:name="_Toc9443095"/>
            <w:r w:rsidRPr="001E00F5">
              <w:t>Outcome 6: Consultation</w:t>
            </w:r>
            <w:bookmarkEnd w:id="21"/>
          </w:p>
          <w:p w14:paraId="1AFBB4AF" w14:textId="77777777" w:rsidR="00333B2D" w:rsidRPr="001E00F5" w:rsidRDefault="00333B2D" w:rsidP="00F43E61">
            <w:pPr>
              <w:pStyle w:val="Heading3"/>
              <w:spacing w:before="120" w:after="120"/>
              <w:outlineLvl w:val="2"/>
            </w:pPr>
            <w:r w:rsidRPr="001E00F5">
              <w:t xml:space="preserve">People with disability have the same opportunities as other people to participate in any public consultation by the </w:t>
            </w:r>
            <w:r w:rsidR="00361F08">
              <w:t>d</w:t>
            </w:r>
            <w:r w:rsidRPr="001E00F5">
              <w:t>epartment.</w:t>
            </w:r>
          </w:p>
        </w:tc>
        <w:tc>
          <w:tcPr>
            <w:tcW w:w="1803" w:type="dxa"/>
            <w:shd w:val="clear" w:color="auto" w:fill="EAEEF2"/>
          </w:tcPr>
          <w:p w14:paraId="454F4BA8" w14:textId="77777777" w:rsidR="00333B2D" w:rsidRPr="001E00F5" w:rsidRDefault="00333B2D">
            <w:bookmarkStart w:id="22" w:name="_Toc8802732"/>
            <w:r w:rsidRPr="00F43E61">
              <w:rPr>
                <w:color w:val="4A8195"/>
                <w:sz w:val="36"/>
                <w:szCs w:val="36"/>
              </w:rPr>
              <w:t>Timelines</w:t>
            </w:r>
            <w:bookmarkEnd w:id="22"/>
          </w:p>
        </w:tc>
      </w:tr>
      <w:tr w:rsidR="00333B2D" w14:paraId="229522BF" w14:textId="77777777" w:rsidTr="00542FC3">
        <w:trPr>
          <w:cantSplit/>
        </w:trPr>
        <w:tc>
          <w:tcPr>
            <w:tcW w:w="7933" w:type="dxa"/>
          </w:tcPr>
          <w:p w14:paraId="05D700F5" w14:textId="77777777" w:rsidR="006119D5" w:rsidRPr="00F43E61" w:rsidRDefault="008642AD" w:rsidP="00F43E61">
            <w:pPr>
              <w:spacing w:before="80" w:after="80"/>
              <w:ind w:left="601" w:hanging="601"/>
              <w:rPr>
                <w:rFonts w:eastAsiaTheme="minorHAnsi"/>
              </w:rPr>
            </w:pPr>
            <w:r w:rsidRPr="00F43E61">
              <w:rPr>
                <w:rFonts w:eastAsiaTheme="minorHAnsi"/>
              </w:rPr>
              <w:t xml:space="preserve">6.1 </w:t>
            </w:r>
            <w:r w:rsidR="006119D5" w:rsidRPr="00F43E61">
              <w:rPr>
                <w:rFonts w:eastAsiaTheme="minorHAnsi"/>
              </w:rPr>
              <w:tab/>
            </w:r>
            <w:r w:rsidR="00333B2D" w:rsidRPr="00F43E61">
              <w:rPr>
                <w:rFonts w:eastAsiaTheme="minorHAnsi"/>
              </w:rPr>
              <w:t xml:space="preserve">Ensure accessible venues are used for consultations and individual access needs are </w:t>
            </w:r>
            <w:r w:rsidR="00E06ABE" w:rsidRPr="00F43E61">
              <w:rPr>
                <w:rFonts w:eastAsiaTheme="minorHAnsi"/>
              </w:rPr>
              <w:t>met</w:t>
            </w:r>
            <w:r w:rsidR="00333B2D" w:rsidRPr="00F43E61">
              <w:rPr>
                <w:rFonts w:eastAsiaTheme="minorHAnsi"/>
              </w:rPr>
              <w:t>.</w:t>
            </w:r>
          </w:p>
        </w:tc>
        <w:tc>
          <w:tcPr>
            <w:tcW w:w="1803" w:type="dxa"/>
          </w:tcPr>
          <w:p w14:paraId="244C6A42" w14:textId="77777777" w:rsidR="00333B2D" w:rsidRPr="00E413EA" w:rsidRDefault="00333B2D" w:rsidP="00F43E61">
            <w:pPr>
              <w:spacing w:before="80" w:after="80"/>
            </w:pPr>
            <w:r>
              <w:t>On</w:t>
            </w:r>
            <w:r w:rsidR="008642AD">
              <w:t>going</w:t>
            </w:r>
          </w:p>
        </w:tc>
      </w:tr>
      <w:tr w:rsidR="00333B2D" w14:paraId="028C3403" w14:textId="77777777" w:rsidTr="00542FC3">
        <w:trPr>
          <w:cantSplit/>
        </w:trPr>
        <w:tc>
          <w:tcPr>
            <w:tcW w:w="7933" w:type="dxa"/>
          </w:tcPr>
          <w:p w14:paraId="4E62B8C7" w14:textId="77777777" w:rsidR="006119D5" w:rsidRPr="00F43E61" w:rsidRDefault="008642AD" w:rsidP="00F43E61">
            <w:pPr>
              <w:spacing w:before="80" w:after="80"/>
              <w:ind w:left="601" w:hanging="601"/>
              <w:rPr>
                <w:rFonts w:eastAsiaTheme="minorHAnsi"/>
              </w:rPr>
            </w:pPr>
            <w:r w:rsidRPr="00F43E61">
              <w:rPr>
                <w:rFonts w:eastAsiaTheme="minorHAnsi"/>
              </w:rPr>
              <w:t xml:space="preserve">6.2 </w:t>
            </w:r>
            <w:r w:rsidR="006119D5" w:rsidRPr="00F43E61">
              <w:rPr>
                <w:rFonts w:eastAsiaTheme="minorHAnsi"/>
              </w:rPr>
              <w:tab/>
            </w:r>
            <w:r w:rsidRPr="00F43E61">
              <w:rPr>
                <w:rFonts w:eastAsiaTheme="minorHAnsi"/>
              </w:rPr>
              <w:t>Ensure community consultations are promoted directly to people with disability.</w:t>
            </w:r>
          </w:p>
        </w:tc>
        <w:tc>
          <w:tcPr>
            <w:tcW w:w="1803" w:type="dxa"/>
          </w:tcPr>
          <w:p w14:paraId="3C577765" w14:textId="77777777" w:rsidR="00333B2D" w:rsidRPr="00E413EA" w:rsidRDefault="008642AD" w:rsidP="00F43E61">
            <w:pPr>
              <w:spacing w:before="80" w:after="80"/>
            </w:pPr>
            <w:r>
              <w:t>Project by project</w:t>
            </w:r>
          </w:p>
        </w:tc>
      </w:tr>
      <w:tr w:rsidR="00333B2D" w14:paraId="7861EEBA" w14:textId="77777777" w:rsidTr="00542FC3">
        <w:trPr>
          <w:cantSplit/>
        </w:trPr>
        <w:tc>
          <w:tcPr>
            <w:tcW w:w="7933" w:type="dxa"/>
          </w:tcPr>
          <w:p w14:paraId="57B41428" w14:textId="77777777" w:rsidR="006119D5" w:rsidRPr="00F43E61" w:rsidRDefault="008642AD" w:rsidP="00F43E61">
            <w:pPr>
              <w:spacing w:before="80" w:after="80"/>
              <w:ind w:left="601" w:hanging="601"/>
              <w:rPr>
                <w:rFonts w:eastAsiaTheme="minorHAnsi"/>
              </w:rPr>
            </w:pPr>
            <w:r w:rsidRPr="00F43E61">
              <w:rPr>
                <w:rFonts w:eastAsiaTheme="minorHAnsi"/>
              </w:rPr>
              <w:t xml:space="preserve">6.3 </w:t>
            </w:r>
            <w:r w:rsidR="006119D5" w:rsidRPr="00F43E61">
              <w:rPr>
                <w:rFonts w:eastAsiaTheme="minorHAnsi"/>
              </w:rPr>
              <w:tab/>
            </w:r>
            <w:r w:rsidRPr="00F43E61">
              <w:rPr>
                <w:rFonts w:eastAsiaTheme="minorHAnsi"/>
              </w:rPr>
              <w:t xml:space="preserve">Provide a range of ways to participate in consultation that support a </w:t>
            </w:r>
            <w:r w:rsidR="006119D5" w:rsidRPr="00F43E61">
              <w:rPr>
                <w:rFonts w:eastAsiaTheme="minorHAnsi"/>
              </w:rPr>
              <w:t xml:space="preserve">variety </w:t>
            </w:r>
            <w:r w:rsidRPr="00F43E61">
              <w:rPr>
                <w:rFonts w:eastAsiaTheme="minorHAnsi"/>
              </w:rPr>
              <w:t>of communication styles.</w:t>
            </w:r>
          </w:p>
        </w:tc>
        <w:tc>
          <w:tcPr>
            <w:tcW w:w="1803" w:type="dxa"/>
          </w:tcPr>
          <w:p w14:paraId="32761DCC" w14:textId="77777777" w:rsidR="00333B2D" w:rsidRDefault="008642AD" w:rsidP="00F43E61">
            <w:pPr>
              <w:spacing w:before="80" w:after="80"/>
            </w:pPr>
            <w:r>
              <w:t>Ongoing</w:t>
            </w:r>
          </w:p>
        </w:tc>
      </w:tr>
      <w:tr w:rsidR="008642AD" w14:paraId="6E02BB63" w14:textId="77777777" w:rsidTr="00542FC3">
        <w:trPr>
          <w:cantSplit/>
        </w:trPr>
        <w:tc>
          <w:tcPr>
            <w:tcW w:w="7933" w:type="dxa"/>
          </w:tcPr>
          <w:p w14:paraId="60104AAE" w14:textId="77777777" w:rsidR="006119D5" w:rsidRPr="00F43E61" w:rsidRDefault="008642AD" w:rsidP="00F43E61">
            <w:pPr>
              <w:spacing w:before="80" w:after="80"/>
              <w:ind w:left="601" w:hanging="601"/>
              <w:rPr>
                <w:rFonts w:eastAsiaTheme="minorHAnsi"/>
              </w:rPr>
            </w:pPr>
            <w:r w:rsidRPr="00F43E61">
              <w:rPr>
                <w:rFonts w:eastAsiaTheme="minorHAnsi"/>
              </w:rPr>
              <w:t xml:space="preserve">6.4 </w:t>
            </w:r>
            <w:r w:rsidR="006119D5" w:rsidRPr="00F43E61">
              <w:rPr>
                <w:rFonts w:eastAsiaTheme="minorHAnsi"/>
              </w:rPr>
              <w:tab/>
            </w:r>
            <w:r w:rsidRPr="00F43E61">
              <w:rPr>
                <w:rFonts w:eastAsiaTheme="minorHAnsi"/>
              </w:rPr>
              <w:t>Increase the involvement of people with disability in designing and developing services.</w:t>
            </w:r>
          </w:p>
        </w:tc>
        <w:tc>
          <w:tcPr>
            <w:tcW w:w="1803" w:type="dxa"/>
          </w:tcPr>
          <w:p w14:paraId="6C0DF1D0" w14:textId="77777777" w:rsidR="008642AD" w:rsidRDefault="008642AD" w:rsidP="00F43E61">
            <w:pPr>
              <w:spacing w:before="80" w:after="80"/>
            </w:pPr>
            <w:r>
              <w:t>Project by project</w:t>
            </w:r>
          </w:p>
        </w:tc>
      </w:tr>
    </w:tbl>
    <w:p w14:paraId="79DBA47F" w14:textId="77777777" w:rsidR="004231B6" w:rsidRPr="008642AD" w:rsidRDefault="004231B6" w:rsidP="00F43E61">
      <w:pPr>
        <w:spacing w:before="0" w:after="0"/>
      </w:pPr>
    </w:p>
    <w:tbl>
      <w:tblPr>
        <w:tblStyle w:val="TableGrid"/>
        <w:tblW w:w="0" w:type="auto"/>
        <w:tblLook w:val="04A0" w:firstRow="1" w:lastRow="0" w:firstColumn="1" w:lastColumn="0" w:noHBand="0" w:noVBand="1"/>
      </w:tblPr>
      <w:tblGrid>
        <w:gridCol w:w="7933"/>
        <w:gridCol w:w="1803"/>
      </w:tblGrid>
      <w:tr w:rsidR="008642AD" w14:paraId="739B60E2" w14:textId="77777777" w:rsidTr="00542FC3">
        <w:tc>
          <w:tcPr>
            <w:tcW w:w="7933" w:type="dxa"/>
            <w:shd w:val="clear" w:color="auto" w:fill="EAEEF2"/>
          </w:tcPr>
          <w:p w14:paraId="7A428CC0" w14:textId="77777777" w:rsidR="008642AD" w:rsidRPr="001E00F5" w:rsidRDefault="008642AD">
            <w:pPr>
              <w:pStyle w:val="Heading2"/>
              <w:outlineLvl w:val="1"/>
            </w:pPr>
            <w:bookmarkStart w:id="23" w:name="_Toc9443096"/>
            <w:r w:rsidRPr="001E00F5">
              <w:t>Outcome 7: Employment</w:t>
            </w:r>
            <w:bookmarkEnd w:id="23"/>
          </w:p>
          <w:p w14:paraId="661EA240" w14:textId="77777777" w:rsidR="008642AD" w:rsidRPr="001E00F5" w:rsidRDefault="008642AD" w:rsidP="00F43E61">
            <w:pPr>
              <w:pStyle w:val="Heading3"/>
              <w:spacing w:before="120" w:after="120"/>
              <w:outlineLvl w:val="2"/>
            </w:pPr>
            <w:r w:rsidRPr="001E00F5">
              <w:t>People with disability have the same opportunities as other people to obtain and maintain employment with a public authority</w:t>
            </w:r>
            <w:r w:rsidRPr="001E00F5">
              <w:rPr>
                <w:szCs w:val="24"/>
              </w:rPr>
              <w:t>.</w:t>
            </w:r>
          </w:p>
        </w:tc>
        <w:tc>
          <w:tcPr>
            <w:tcW w:w="1803" w:type="dxa"/>
            <w:shd w:val="clear" w:color="auto" w:fill="EAEEF2"/>
          </w:tcPr>
          <w:p w14:paraId="40435EDF" w14:textId="77777777" w:rsidR="008642AD" w:rsidRPr="00F43E61" w:rsidRDefault="008642AD">
            <w:pPr>
              <w:rPr>
                <w:color w:val="4A8195"/>
                <w:sz w:val="36"/>
                <w:szCs w:val="36"/>
              </w:rPr>
            </w:pPr>
            <w:bookmarkStart w:id="24" w:name="_Toc8802734"/>
            <w:r w:rsidRPr="00F43E61">
              <w:rPr>
                <w:color w:val="4A8195"/>
                <w:sz w:val="36"/>
                <w:szCs w:val="36"/>
              </w:rPr>
              <w:t>Timelines</w:t>
            </w:r>
            <w:bookmarkEnd w:id="24"/>
          </w:p>
        </w:tc>
      </w:tr>
      <w:tr w:rsidR="008642AD" w14:paraId="16BBD6C3" w14:textId="77777777" w:rsidTr="00542FC3">
        <w:tc>
          <w:tcPr>
            <w:tcW w:w="7933" w:type="dxa"/>
          </w:tcPr>
          <w:p w14:paraId="2AE0B012" w14:textId="77777777" w:rsidR="008642AD" w:rsidRPr="00F43E61" w:rsidRDefault="008642AD" w:rsidP="00F43E61">
            <w:pPr>
              <w:spacing w:before="80" w:after="80"/>
              <w:ind w:left="601" w:hanging="601"/>
              <w:rPr>
                <w:rFonts w:eastAsiaTheme="minorHAnsi"/>
              </w:rPr>
            </w:pPr>
            <w:r w:rsidRPr="00F43E61">
              <w:rPr>
                <w:rFonts w:eastAsiaTheme="minorHAnsi"/>
              </w:rPr>
              <w:t xml:space="preserve">7.1 </w:t>
            </w:r>
            <w:r w:rsidR="006119D5" w:rsidRPr="00F43E61">
              <w:rPr>
                <w:rFonts w:eastAsiaTheme="minorHAnsi"/>
              </w:rPr>
              <w:tab/>
            </w:r>
            <w:r w:rsidRPr="00F43E61">
              <w:rPr>
                <w:rFonts w:eastAsiaTheme="minorHAnsi"/>
              </w:rPr>
              <w:t>Develop strategies and policies to improve attraction, recruitment and retention of staff with disability</w:t>
            </w:r>
            <w:r w:rsidR="001B35DA">
              <w:rPr>
                <w:rFonts w:eastAsiaTheme="minorHAnsi"/>
              </w:rPr>
              <w:t xml:space="preserve"> including</w:t>
            </w:r>
            <w:r w:rsidR="00761758">
              <w:rPr>
                <w:rFonts w:eastAsiaTheme="minorHAnsi"/>
              </w:rPr>
              <w:t xml:space="preserve"> consideration of </w:t>
            </w:r>
            <w:r w:rsidR="003F0C78">
              <w:rPr>
                <w:rFonts w:eastAsiaTheme="minorHAnsi"/>
              </w:rPr>
              <w:t xml:space="preserve">recruitment via </w:t>
            </w:r>
            <w:r w:rsidR="00761758">
              <w:rPr>
                <w:rFonts w:eastAsiaTheme="minorHAnsi"/>
              </w:rPr>
              <w:t xml:space="preserve">disability employment </w:t>
            </w:r>
            <w:r w:rsidR="003E4BD3">
              <w:rPr>
                <w:rFonts w:eastAsiaTheme="minorHAnsi"/>
              </w:rPr>
              <w:t>organisations</w:t>
            </w:r>
            <w:r w:rsidRPr="00F43E61">
              <w:rPr>
                <w:rFonts w:eastAsiaTheme="minorHAnsi"/>
              </w:rPr>
              <w:t>.</w:t>
            </w:r>
          </w:p>
        </w:tc>
        <w:tc>
          <w:tcPr>
            <w:tcW w:w="1803" w:type="dxa"/>
          </w:tcPr>
          <w:p w14:paraId="08CF60A9" w14:textId="77777777" w:rsidR="008642AD" w:rsidRPr="00E413EA" w:rsidRDefault="008642AD" w:rsidP="00F43E61">
            <w:pPr>
              <w:spacing w:before="80" w:after="80"/>
            </w:pPr>
            <w:r>
              <w:t>June 2020</w:t>
            </w:r>
          </w:p>
        </w:tc>
      </w:tr>
      <w:tr w:rsidR="008642AD" w14:paraId="0CEC9A5D" w14:textId="77777777" w:rsidTr="00542FC3">
        <w:tc>
          <w:tcPr>
            <w:tcW w:w="7933" w:type="dxa"/>
          </w:tcPr>
          <w:p w14:paraId="3F2AC67D" w14:textId="77777777" w:rsidR="008642AD" w:rsidRPr="00F43E61" w:rsidRDefault="00635536" w:rsidP="00F43E61">
            <w:pPr>
              <w:spacing w:before="80" w:after="80"/>
              <w:ind w:left="601" w:hanging="601"/>
              <w:rPr>
                <w:rFonts w:eastAsiaTheme="minorHAnsi"/>
              </w:rPr>
            </w:pPr>
            <w:r>
              <w:rPr>
                <w:rFonts w:eastAsiaTheme="minorHAnsi"/>
              </w:rPr>
              <w:t>7.2</w:t>
            </w:r>
            <w:r>
              <w:rPr>
                <w:rFonts w:eastAsiaTheme="minorHAnsi"/>
              </w:rPr>
              <w:tab/>
            </w:r>
            <w:r w:rsidR="008642AD" w:rsidRPr="00F43E61">
              <w:rPr>
                <w:rFonts w:eastAsiaTheme="minorHAnsi"/>
              </w:rPr>
              <w:t>Provide appropriate training to staff and selection panels on interviewing people with disability.</w:t>
            </w:r>
          </w:p>
        </w:tc>
        <w:tc>
          <w:tcPr>
            <w:tcW w:w="1803" w:type="dxa"/>
          </w:tcPr>
          <w:p w14:paraId="670D8678" w14:textId="77777777" w:rsidR="008642AD" w:rsidRPr="00E413EA" w:rsidRDefault="008642AD" w:rsidP="00F43E61">
            <w:pPr>
              <w:spacing w:before="80" w:after="80"/>
            </w:pPr>
            <w:r>
              <w:t>August 2020</w:t>
            </w:r>
          </w:p>
        </w:tc>
      </w:tr>
      <w:tr w:rsidR="008642AD" w14:paraId="572F62E3" w14:textId="77777777" w:rsidTr="00542FC3">
        <w:tc>
          <w:tcPr>
            <w:tcW w:w="7933" w:type="dxa"/>
          </w:tcPr>
          <w:p w14:paraId="6BEAA36C" w14:textId="77777777" w:rsidR="008642AD" w:rsidRPr="00F43E61" w:rsidRDefault="008642AD" w:rsidP="00F43E61">
            <w:pPr>
              <w:spacing w:before="80" w:after="80"/>
              <w:ind w:left="601" w:hanging="601"/>
              <w:rPr>
                <w:rFonts w:eastAsiaTheme="minorHAnsi"/>
              </w:rPr>
            </w:pPr>
            <w:r w:rsidRPr="00F43E61">
              <w:rPr>
                <w:rFonts w:eastAsiaTheme="minorHAnsi"/>
              </w:rPr>
              <w:t xml:space="preserve">7.3 </w:t>
            </w:r>
            <w:r w:rsidR="006119D5" w:rsidRPr="00F43E61">
              <w:rPr>
                <w:rFonts w:eastAsiaTheme="minorHAnsi"/>
              </w:rPr>
              <w:tab/>
            </w:r>
            <w:r w:rsidRPr="00F43E61">
              <w:rPr>
                <w:rFonts w:eastAsiaTheme="minorHAnsi"/>
              </w:rPr>
              <w:t xml:space="preserve">Ensure the </w:t>
            </w:r>
            <w:r w:rsidR="00361F08" w:rsidRPr="00F43E61">
              <w:rPr>
                <w:rFonts w:eastAsiaTheme="minorHAnsi"/>
              </w:rPr>
              <w:t>d</w:t>
            </w:r>
            <w:r w:rsidRPr="00F43E61">
              <w:rPr>
                <w:rFonts w:eastAsiaTheme="minorHAnsi"/>
              </w:rPr>
              <w:t>epartment’s recruitment policies, procedures, templates and language format are accessible to people disability.</w:t>
            </w:r>
          </w:p>
        </w:tc>
        <w:tc>
          <w:tcPr>
            <w:tcW w:w="1803" w:type="dxa"/>
          </w:tcPr>
          <w:p w14:paraId="238C4492" w14:textId="77777777" w:rsidR="008642AD" w:rsidRDefault="008642AD" w:rsidP="00F43E61">
            <w:pPr>
              <w:spacing w:before="80" w:after="80"/>
            </w:pPr>
            <w:r>
              <w:t>Ongoing</w:t>
            </w:r>
          </w:p>
        </w:tc>
      </w:tr>
    </w:tbl>
    <w:p w14:paraId="4FF1941A" w14:textId="77777777" w:rsidR="00740CC5" w:rsidRDefault="00740CC5" w:rsidP="00F43E61">
      <w:pPr>
        <w:pStyle w:val="Heading1"/>
        <w:spacing w:before="240" w:after="200"/>
      </w:pPr>
      <w:bookmarkStart w:id="25" w:name="_Toc9443097"/>
      <w:r w:rsidRPr="008B14D0">
        <w:lastRenderedPageBreak/>
        <w:t xml:space="preserve">Promotion and </w:t>
      </w:r>
      <w:r w:rsidR="006119D5">
        <w:t>c</w:t>
      </w:r>
      <w:r w:rsidR="006119D5" w:rsidRPr="008B14D0">
        <w:t>ommunication</w:t>
      </w:r>
      <w:bookmarkEnd w:id="25"/>
    </w:p>
    <w:p w14:paraId="01CB8A08" w14:textId="77777777" w:rsidR="00A44245" w:rsidRPr="005159A6" w:rsidRDefault="53929E55" w:rsidP="53929E55">
      <w:pPr>
        <w:rPr>
          <w:color w:val="221E1F"/>
        </w:rPr>
      </w:pPr>
      <w:r>
        <w:t xml:space="preserve">The DAIP is promoted on the department’s website and, on its public release, through an advertisement in </w:t>
      </w:r>
      <w:r w:rsidRPr="53929E55">
        <w:rPr>
          <w:i/>
          <w:iCs/>
        </w:rPr>
        <w:t>The West Australian</w:t>
      </w:r>
      <w:r>
        <w:t xml:space="preserve">. </w:t>
      </w:r>
      <w:r w:rsidRPr="53929E55">
        <w:rPr>
          <w:color w:val="221E1F"/>
        </w:rPr>
        <w:t>The DAIP is available for download from the department’s website and copies are available in alternative formats, upon request, including electronic format, large print, audio disc and email.</w:t>
      </w:r>
    </w:p>
    <w:p w14:paraId="787B0D8D" w14:textId="77777777" w:rsidR="00740CC5" w:rsidRDefault="00740CC5" w:rsidP="00F43E61">
      <w:pPr>
        <w:pStyle w:val="Heading1"/>
        <w:spacing w:before="240" w:after="200"/>
      </w:pPr>
      <w:bookmarkStart w:id="26" w:name="_Toc9443098"/>
      <w:r w:rsidRPr="001C1BC5">
        <w:t>Implementation</w:t>
      </w:r>
      <w:bookmarkEnd w:id="26"/>
      <w:r w:rsidR="00A44245">
        <w:t xml:space="preserve"> </w:t>
      </w:r>
    </w:p>
    <w:p w14:paraId="23C3C05B" w14:textId="77777777" w:rsidR="00B94383" w:rsidRDefault="00740CC5" w:rsidP="00F43E61">
      <w:r>
        <w:t>T</w:t>
      </w:r>
      <w:r w:rsidRPr="005159A6">
        <w:t xml:space="preserve">he </w:t>
      </w:r>
      <w:r w:rsidR="003D1831">
        <w:t>d</w:t>
      </w:r>
      <w:r w:rsidRPr="005159A6">
        <w:t xml:space="preserve">epartment </w:t>
      </w:r>
      <w:r w:rsidR="00633855">
        <w:t xml:space="preserve">has </w:t>
      </w:r>
      <w:r>
        <w:t>develop</w:t>
      </w:r>
      <w:r w:rsidR="00633855">
        <w:t>ed</w:t>
      </w:r>
      <w:r>
        <w:t xml:space="preserve"> a</w:t>
      </w:r>
      <w:r w:rsidR="00D85DF5">
        <w:t xml:space="preserve"> detailed</w:t>
      </w:r>
      <w:r>
        <w:t xml:space="preserve"> implementation plan</w:t>
      </w:r>
      <w:r w:rsidR="00D85DF5">
        <w:t xml:space="preserve"> that outlines the roles and responsibilities of its staff in implementing more than </w:t>
      </w:r>
      <w:r w:rsidR="00F14577">
        <w:t>50</w:t>
      </w:r>
      <w:r>
        <w:t xml:space="preserve"> </w:t>
      </w:r>
      <w:r w:rsidR="00D85DF5">
        <w:t>actions</w:t>
      </w:r>
      <w:r w:rsidR="00E06ABE">
        <w:t xml:space="preserve"> in support of the DA</w:t>
      </w:r>
      <w:r w:rsidR="003D1831">
        <w:t>I</w:t>
      </w:r>
      <w:r w:rsidR="00E06ABE">
        <w:t xml:space="preserve">P strategies </w:t>
      </w:r>
      <w:r w:rsidR="003D1831">
        <w:t xml:space="preserve">identified </w:t>
      </w:r>
      <w:r w:rsidR="00E06ABE">
        <w:t>in this plan</w:t>
      </w:r>
      <w:r w:rsidR="00D85DF5">
        <w:t xml:space="preserve">. </w:t>
      </w:r>
    </w:p>
    <w:p w14:paraId="27B71D48" w14:textId="77777777" w:rsidR="00B94383" w:rsidRDefault="00B94383" w:rsidP="00F43E61">
      <w:pPr>
        <w:spacing w:before="0" w:after="120"/>
      </w:pPr>
      <w:r w:rsidRPr="00106320">
        <w:t xml:space="preserve">The </w:t>
      </w:r>
      <w:r>
        <w:t xml:space="preserve">DAIP </w:t>
      </w:r>
      <w:r w:rsidR="006119D5">
        <w:t>implementation p</w:t>
      </w:r>
      <w:r w:rsidR="006119D5" w:rsidRPr="00106320">
        <w:t xml:space="preserve">lan </w:t>
      </w:r>
      <w:r w:rsidRPr="00106320">
        <w:t>is intended to</w:t>
      </w:r>
      <w:r w:rsidR="006119D5">
        <w:t>:</w:t>
      </w:r>
      <w:r w:rsidRPr="00106320">
        <w:t xml:space="preserve"> </w:t>
      </w:r>
    </w:p>
    <w:p w14:paraId="36EB0BCE" w14:textId="77777777" w:rsidR="00B94383" w:rsidRPr="006902B0" w:rsidRDefault="006119D5" w:rsidP="00F43E61">
      <w:pPr>
        <w:pStyle w:val="ListParagraph"/>
        <w:numPr>
          <w:ilvl w:val="0"/>
          <w:numId w:val="23"/>
        </w:numPr>
        <w:spacing w:before="0" w:after="120"/>
        <w:contextualSpacing w:val="0"/>
      </w:pPr>
      <w:r>
        <w:t>s</w:t>
      </w:r>
      <w:r w:rsidRPr="006902B0">
        <w:t xml:space="preserve">upport </w:t>
      </w:r>
      <w:r w:rsidR="00B94383" w:rsidRPr="006902B0">
        <w:t xml:space="preserve">the delivery of the DAIP strategies </w:t>
      </w:r>
    </w:p>
    <w:p w14:paraId="72309D99" w14:textId="77777777" w:rsidR="00B94383" w:rsidRPr="006902B0" w:rsidRDefault="006119D5" w:rsidP="00F43E61">
      <w:pPr>
        <w:pStyle w:val="ListParagraph"/>
        <w:numPr>
          <w:ilvl w:val="0"/>
          <w:numId w:val="23"/>
        </w:numPr>
        <w:spacing w:before="0" w:after="120"/>
        <w:contextualSpacing w:val="0"/>
      </w:pPr>
      <w:r>
        <w:t>g</w:t>
      </w:r>
      <w:r w:rsidRPr="006902B0">
        <w:t xml:space="preserve">uide </w:t>
      </w:r>
      <w:r w:rsidR="00B94383" w:rsidRPr="006902B0">
        <w:t xml:space="preserve">the investment of </w:t>
      </w:r>
      <w:r w:rsidR="003D1831">
        <w:t>d</w:t>
      </w:r>
      <w:r w:rsidR="00B94383" w:rsidRPr="006902B0">
        <w:t>epartment resources with regards to access and inclusion</w:t>
      </w:r>
    </w:p>
    <w:p w14:paraId="4E1AE686" w14:textId="77777777" w:rsidR="00B94383" w:rsidRPr="006902B0" w:rsidRDefault="006119D5" w:rsidP="00F43E61">
      <w:pPr>
        <w:pStyle w:val="ListParagraph"/>
        <w:numPr>
          <w:ilvl w:val="0"/>
          <w:numId w:val="23"/>
        </w:numPr>
        <w:spacing w:before="0" w:after="120"/>
        <w:contextualSpacing w:val="0"/>
      </w:pPr>
      <w:r>
        <w:t>o</w:t>
      </w:r>
      <w:r w:rsidRPr="006902B0">
        <w:t xml:space="preserve">utline </w:t>
      </w:r>
      <w:r w:rsidR="00B94383" w:rsidRPr="006902B0">
        <w:t xml:space="preserve">the roles and responsibilities of </w:t>
      </w:r>
      <w:r w:rsidR="003D1831">
        <w:t>b</w:t>
      </w:r>
      <w:r w:rsidR="00B94383" w:rsidRPr="006902B0">
        <w:t>usiness areas in delivering the DAIP</w:t>
      </w:r>
    </w:p>
    <w:p w14:paraId="790A8AE7" w14:textId="77777777" w:rsidR="00B94383" w:rsidRPr="006902B0" w:rsidRDefault="006119D5" w:rsidP="00F43E61">
      <w:pPr>
        <w:pStyle w:val="ListParagraph"/>
        <w:numPr>
          <w:ilvl w:val="0"/>
          <w:numId w:val="23"/>
        </w:numPr>
        <w:spacing w:before="0"/>
      </w:pPr>
      <w:r>
        <w:t>p</w:t>
      </w:r>
      <w:r w:rsidRPr="006902B0">
        <w:t xml:space="preserve">rovide </w:t>
      </w:r>
      <w:r w:rsidR="00B94383" w:rsidRPr="006902B0">
        <w:t xml:space="preserve">a framework to support the evaluation of the effectiveness of the </w:t>
      </w:r>
      <w:r w:rsidR="003D1831">
        <w:t>d</w:t>
      </w:r>
      <w:r w:rsidR="00B94383" w:rsidRPr="006902B0">
        <w:t>epartment’s DAIP activities and initiatives.</w:t>
      </w:r>
    </w:p>
    <w:p w14:paraId="247FB329" w14:textId="77777777" w:rsidR="00740CC5" w:rsidRPr="005159A6" w:rsidRDefault="00D85DF5" w:rsidP="00F43E61">
      <w:r>
        <w:t xml:space="preserve">The </w:t>
      </w:r>
      <w:r w:rsidR="003D1831">
        <w:t>d</w:t>
      </w:r>
      <w:r>
        <w:t xml:space="preserve">epartment </w:t>
      </w:r>
      <w:r w:rsidR="00740CC5">
        <w:t>take</w:t>
      </w:r>
      <w:r w:rsidR="00633855">
        <w:t>s</w:t>
      </w:r>
      <w:r w:rsidR="00740CC5">
        <w:t xml:space="preserve"> </w:t>
      </w:r>
      <w:r w:rsidR="00740CC5" w:rsidRPr="005159A6">
        <w:t>all practicable measures to ensure that its staff contribute to</w:t>
      </w:r>
      <w:r>
        <w:t xml:space="preserve"> the</w:t>
      </w:r>
      <w:r w:rsidR="00740CC5">
        <w:t xml:space="preserve"> success</w:t>
      </w:r>
      <w:r>
        <w:t xml:space="preserve"> of the DAIP</w:t>
      </w:r>
      <w:r w:rsidR="00633855">
        <w:t>.</w:t>
      </w:r>
      <w:r w:rsidR="00740CC5">
        <w:t xml:space="preserve"> Agents and contractors are </w:t>
      </w:r>
      <w:r>
        <w:t xml:space="preserve">also </w:t>
      </w:r>
      <w:r w:rsidR="00740CC5">
        <w:t>advised of their obligations under the legislation through binding contracts and agreements.</w:t>
      </w:r>
      <w:r w:rsidR="00A44245">
        <w:t xml:space="preserve"> </w:t>
      </w:r>
      <w:r w:rsidR="00A44245" w:rsidRPr="003F3F82">
        <w:t xml:space="preserve">The </w:t>
      </w:r>
      <w:r w:rsidR="003D1831" w:rsidRPr="003F3F82">
        <w:t>D</w:t>
      </w:r>
      <w:r w:rsidR="003D1831">
        <w:t>AIP</w:t>
      </w:r>
      <w:r w:rsidR="003D1831" w:rsidRPr="003F3F82">
        <w:t xml:space="preserve"> </w:t>
      </w:r>
      <w:r w:rsidR="00A44245">
        <w:t>Working</w:t>
      </w:r>
      <w:r w:rsidR="00A44245" w:rsidRPr="003F3F82">
        <w:t xml:space="preserve"> Group will meet at least </w:t>
      </w:r>
      <w:r w:rsidR="00A44245">
        <w:t>twice</w:t>
      </w:r>
      <w:r w:rsidR="00A44245" w:rsidRPr="003F3F82">
        <w:t xml:space="preserve"> a year to review progress on the implementation of the strategies identified in the DAIP</w:t>
      </w:r>
      <w:r w:rsidR="00A44245" w:rsidRPr="00D23D96">
        <w:t>.</w:t>
      </w:r>
    </w:p>
    <w:p w14:paraId="5208ED75" w14:textId="77777777" w:rsidR="008B14D0" w:rsidRDefault="00740CC5" w:rsidP="00F43E61">
      <w:pPr>
        <w:pStyle w:val="Heading1"/>
        <w:spacing w:before="240" w:after="200"/>
      </w:pPr>
      <w:bookmarkStart w:id="27" w:name="_Toc9443099"/>
      <w:r w:rsidRPr="005159A6">
        <w:t>Review</w:t>
      </w:r>
      <w:r w:rsidR="008B14D0">
        <w:t xml:space="preserve"> and </w:t>
      </w:r>
      <w:r w:rsidR="006119D5">
        <w:t>r</w:t>
      </w:r>
      <w:r w:rsidR="006119D5" w:rsidRPr="005159A6">
        <w:t>eporting</w:t>
      </w:r>
      <w:bookmarkEnd w:id="27"/>
    </w:p>
    <w:p w14:paraId="3B8A78DF" w14:textId="77777777" w:rsidR="00740CC5" w:rsidRDefault="53929E55" w:rsidP="00F43E61">
      <w:r>
        <w:t>The DAIP is reviewed on an annual basis. The department reports on the implementation of the DAIP in its annual report and provides an annual progress report to the Department of Communities - Disability Services.</w:t>
      </w:r>
    </w:p>
    <w:p w14:paraId="4A4BD4E8" w14:textId="77777777" w:rsidR="00A44245" w:rsidRPr="00E0230B" w:rsidRDefault="00A44245" w:rsidP="00F43E61">
      <w:pPr>
        <w:pStyle w:val="Heading1"/>
        <w:spacing w:before="240" w:after="200"/>
      </w:pPr>
      <w:bookmarkStart w:id="28" w:name="_Toc9443100"/>
      <w:r w:rsidRPr="00E0230B">
        <w:t xml:space="preserve">Contact </w:t>
      </w:r>
      <w:r w:rsidR="006119D5">
        <w:t>d</w:t>
      </w:r>
      <w:r w:rsidR="006119D5" w:rsidRPr="00E0230B">
        <w:t>etails</w:t>
      </w:r>
      <w:bookmarkEnd w:id="28"/>
    </w:p>
    <w:p w14:paraId="5A33B693" w14:textId="77777777" w:rsidR="00E0230B" w:rsidRDefault="00A44245" w:rsidP="00F43E61">
      <w:r w:rsidRPr="003F3F82">
        <w:rPr>
          <w:bCs/>
        </w:rPr>
        <w:t xml:space="preserve">The </w:t>
      </w:r>
      <w:r w:rsidR="00361F08">
        <w:rPr>
          <w:bCs/>
        </w:rPr>
        <w:t>d</w:t>
      </w:r>
      <w:r w:rsidRPr="003F3F82">
        <w:rPr>
          <w:bCs/>
        </w:rPr>
        <w:t>epartment</w:t>
      </w:r>
      <w:r w:rsidRPr="003F3F82">
        <w:rPr>
          <w:b/>
          <w:bCs/>
        </w:rPr>
        <w:t xml:space="preserve"> </w:t>
      </w:r>
      <w:r w:rsidRPr="003F3F82">
        <w:t>welcomes</w:t>
      </w:r>
      <w:r>
        <w:t xml:space="preserve"> ongoing</w:t>
      </w:r>
      <w:r w:rsidRPr="003F3F82">
        <w:t xml:space="preserve"> feedback on this </w:t>
      </w:r>
      <w:r w:rsidR="00361F08">
        <w:t>p</w:t>
      </w:r>
      <w:r w:rsidRPr="003F3F82">
        <w:t xml:space="preserve">lan. </w:t>
      </w:r>
    </w:p>
    <w:p w14:paraId="0CF00DA2" w14:textId="77777777" w:rsidR="00E0230B" w:rsidRDefault="00E0230B" w:rsidP="00F43E61">
      <w:pPr>
        <w:spacing w:after="120"/>
        <w:ind w:left="2410" w:hanging="2410"/>
        <w:rPr>
          <w:color w:val="000000"/>
        </w:rPr>
      </w:pPr>
      <w:r>
        <w:rPr>
          <w:color w:val="000000"/>
        </w:rPr>
        <w:t>E</w:t>
      </w:r>
      <w:r w:rsidR="00A44245">
        <w:rPr>
          <w:color w:val="000000"/>
        </w:rPr>
        <w:t>mail</w:t>
      </w:r>
      <w:r>
        <w:rPr>
          <w:color w:val="000000"/>
        </w:rPr>
        <w:t xml:space="preserve">: </w:t>
      </w:r>
      <w:r w:rsidR="00A44245">
        <w:rPr>
          <w:color w:val="000000"/>
        </w:rPr>
        <w:t xml:space="preserve"> </w:t>
      </w:r>
      <w:r w:rsidR="006119D5">
        <w:rPr>
          <w:color w:val="000000"/>
        </w:rPr>
        <w:tab/>
      </w:r>
      <w:hyperlink r:id="rId23" w:history="1">
        <w:r w:rsidR="001C1BC5" w:rsidRPr="00F43E61">
          <w:rPr>
            <w:rStyle w:val="Hyperlink"/>
            <w:rFonts w:cs="Arial"/>
          </w:rPr>
          <w:t>daip@dlgsc.wa.gov.au</w:t>
        </w:r>
      </w:hyperlink>
    </w:p>
    <w:p w14:paraId="7047A65D" w14:textId="77777777" w:rsidR="00A44245" w:rsidRDefault="00E0230B" w:rsidP="00F43E61">
      <w:pPr>
        <w:spacing w:after="120"/>
        <w:ind w:left="2410" w:hanging="2410"/>
      </w:pPr>
      <w:r>
        <w:t xml:space="preserve">Online </w:t>
      </w:r>
      <w:r w:rsidR="006119D5">
        <w:t xml:space="preserve">enquiry </w:t>
      </w:r>
      <w:r>
        <w:t xml:space="preserve">form: </w:t>
      </w:r>
      <w:r w:rsidR="006119D5">
        <w:tab/>
      </w:r>
      <w:r>
        <w:t xml:space="preserve">go to Contact Us </w:t>
      </w:r>
      <w:hyperlink r:id="rId24" w:history="1">
        <w:r w:rsidRPr="00D85DF5">
          <w:rPr>
            <w:rStyle w:val="Hyperlink"/>
            <w:rFonts w:cs="Arial"/>
            <w:color w:val="36384C"/>
          </w:rPr>
          <w:t>www.dlgsc.wa.gov.au</w:t>
        </w:r>
      </w:hyperlink>
    </w:p>
    <w:p w14:paraId="07C62591" w14:textId="77777777" w:rsidR="00A44245" w:rsidRPr="003F3F82" w:rsidRDefault="00E0230B" w:rsidP="00F43E61">
      <w:pPr>
        <w:spacing w:before="0" w:after="0"/>
        <w:ind w:left="2410" w:hanging="2410"/>
      </w:pPr>
      <w:r>
        <w:rPr>
          <w:color w:val="000000"/>
        </w:rPr>
        <w:t xml:space="preserve">Written: </w:t>
      </w:r>
      <w:r>
        <w:rPr>
          <w:color w:val="000000"/>
        </w:rPr>
        <w:tab/>
      </w:r>
      <w:r w:rsidR="00A44245">
        <w:t>Department of Local Government, Sport and Cultural Industries</w:t>
      </w:r>
    </w:p>
    <w:p w14:paraId="579BCED1" w14:textId="77777777" w:rsidR="00E0230B" w:rsidRDefault="006119D5" w:rsidP="00F43E61">
      <w:pPr>
        <w:spacing w:before="0" w:after="0"/>
        <w:ind w:left="2410" w:hanging="2410"/>
      </w:pPr>
      <w:r>
        <w:tab/>
      </w:r>
      <w:r w:rsidR="00A44245" w:rsidRPr="00A44245">
        <w:t xml:space="preserve">DAIP </w:t>
      </w:r>
    </w:p>
    <w:p w14:paraId="0F5A0909" w14:textId="77777777" w:rsidR="00E0230B" w:rsidRDefault="001C1BC5" w:rsidP="00F43E61">
      <w:pPr>
        <w:spacing w:before="0" w:after="0"/>
        <w:ind w:left="2410" w:hanging="2410"/>
      </w:pPr>
      <w:r>
        <w:tab/>
      </w:r>
      <w:r w:rsidR="00A44245" w:rsidRPr="00A44245">
        <w:t>PO Box 8349</w:t>
      </w:r>
    </w:p>
    <w:p w14:paraId="0C196155" w14:textId="77777777" w:rsidR="001C1BC5" w:rsidRDefault="006119D5" w:rsidP="00F43E61">
      <w:pPr>
        <w:spacing w:before="0" w:after="0"/>
        <w:ind w:left="2410" w:hanging="2410"/>
      </w:pPr>
      <w:r>
        <w:tab/>
      </w:r>
      <w:r w:rsidR="00A44245" w:rsidRPr="00A44245">
        <w:t>Perth Business Centre</w:t>
      </w:r>
      <w:r>
        <w:t xml:space="preserve"> </w:t>
      </w:r>
      <w:r w:rsidR="00A44245" w:rsidRPr="00A44245">
        <w:t xml:space="preserve">WA </w:t>
      </w:r>
      <w:r>
        <w:t xml:space="preserve"> </w:t>
      </w:r>
      <w:r w:rsidR="00A44245" w:rsidRPr="00A44245">
        <w:t>6849</w:t>
      </w:r>
    </w:p>
    <w:p w14:paraId="44B7C329" w14:textId="77777777" w:rsidR="001C1BC5" w:rsidRDefault="001C1BC5" w:rsidP="00F43E61">
      <w:pPr>
        <w:sectPr w:rsidR="001C1BC5" w:rsidSect="00E348A7">
          <w:pgSz w:w="11906" w:h="16838"/>
          <w:pgMar w:top="1135" w:right="1080" w:bottom="1134" w:left="1080" w:header="708" w:footer="250" w:gutter="0"/>
          <w:cols w:space="708"/>
          <w:docGrid w:linePitch="360"/>
        </w:sectPr>
      </w:pPr>
    </w:p>
    <w:p w14:paraId="58C6C818" w14:textId="77777777" w:rsidR="00D15D12" w:rsidRDefault="00CB18F1">
      <w:pPr>
        <w:pStyle w:val="Heading1"/>
      </w:pPr>
      <w:bookmarkStart w:id="29" w:name="_Toc9443101"/>
      <w:r w:rsidRPr="007479AF">
        <w:lastRenderedPageBreak/>
        <w:t>A</w:t>
      </w:r>
      <w:r w:rsidR="007479AF" w:rsidRPr="007479AF">
        <w:t>ppendix</w:t>
      </w:r>
      <w:bookmarkEnd w:id="29"/>
    </w:p>
    <w:p w14:paraId="5CF73681" w14:textId="77777777" w:rsidR="005D463A" w:rsidRDefault="00956837" w:rsidP="00F43E61">
      <w:pPr>
        <w:pStyle w:val="Heading2"/>
      </w:pPr>
      <w:bookmarkStart w:id="30" w:name="_Toc9443102"/>
      <w:r>
        <w:t xml:space="preserve">List of </w:t>
      </w:r>
      <w:r w:rsidR="00F435B0">
        <w:t>services</w:t>
      </w:r>
      <w:bookmarkEnd w:id="30"/>
      <w:r w:rsidR="00F435B0">
        <w:t xml:space="preserve"> </w:t>
      </w:r>
    </w:p>
    <w:p w14:paraId="12F2E163" w14:textId="77777777" w:rsidR="00CB18F1" w:rsidRDefault="00CB18F1">
      <w:r w:rsidRPr="00CB18F1">
        <w:t xml:space="preserve">The Department of Local Government, Sport and Cultural Industries </w:t>
      </w:r>
      <w:r w:rsidR="006119D5">
        <w:t>has</w:t>
      </w:r>
      <w:r w:rsidRPr="00CB18F1">
        <w:t xml:space="preserve"> </w:t>
      </w:r>
      <w:r w:rsidR="00D15D12">
        <w:t>seven</w:t>
      </w:r>
      <w:r w:rsidRPr="00CB18F1">
        <w:t xml:space="preserve"> </w:t>
      </w:r>
      <w:r w:rsidR="00D15D12">
        <w:t xml:space="preserve">service delivery </w:t>
      </w:r>
      <w:r w:rsidRPr="00CB18F1">
        <w:t>divisions:</w:t>
      </w:r>
    </w:p>
    <w:p w14:paraId="0ABD435F" w14:textId="77777777" w:rsidR="00D15D12" w:rsidRPr="00CB18F1" w:rsidRDefault="00D15D12" w:rsidP="00F43E61">
      <w:pPr>
        <w:pStyle w:val="Heading3"/>
      </w:pPr>
      <w:r w:rsidRPr="00CB18F1">
        <w:t>Aboriginal Culture and History</w:t>
      </w:r>
    </w:p>
    <w:p w14:paraId="19CE5407" w14:textId="77777777" w:rsidR="00D15D12" w:rsidRPr="00CB18F1" w:rsidRDefault="00D15D12" w:rsidP="00F43E61">
      <w:pPr>
        <w:pStyle w:val="ListParagraph"/>
        <w:numPr>
          <w:ilvl w:val="0"/>
          <w:numId w:val="15"/>
        </w:numPr>
        <w:spacing w:after="120"/>
        <w:ind w:left="357" w:hanging="357"/>
        <w:contextualSpacing w:val="0"/>
      </w:pPr>
      <w:r w:rsidRPr="00CB18F1">
        <w:t>Family history research service</w:t>
      </w:r>
    </w:p>
    <w:p w14:paraId="1B7A5315" w14:textId="77777777" w:rsidR="00D15D12" w:rsidRPr="00CB18F1" w:rsidRDefault="00D15D12" w:rsidP="00F43E61">
      <w:pPr>
        <w:pStyle w:val="ListParagraph"/>
        <w:numPr>
          <w:ilvl w:val="0"/>
          <w:numId w:val="15"/>
        </w:numPr>
        <w:spacing w:after="120"/>
        <w:ind w:left="357" w:hanging="357"/>
        <w:contextualSpacing w:val="0"/>
      </w:pPr>
      <w:r w:rsidRPr="00CB18F1">
        <w:t>Provides grant funding to WA schools in support of cultural awareness projects</w:t>
      </w:r>
    </w:p>
    <w:p w14:paraId="3ED20B7F" w14:textId="77777777" w:rsidR="00D15D12" w:rsidRPr="00CB18F1" w:rsidRDefault="00D15D12" w:rsidP="00F43E61">
      <w:pPr>
        <w:pStyle w:val="ListParagraph"/>
        <w:numPr>
          <w:ilvl w:val="0"/>
          <w:numId w:val="15"/>
        </w:numPr>
        <w:spacing w:after="120"/>
        <w:ind w:left="357" w:hanging="357"/>
        <w:contextualSpacing w:val="0"/>
      </w:pPr>
      <w:r w:rsidRPr="00CB18F1">
        <w:t xml:space="preserve">Coordinates the </w:t>
      </w:r>
      <w:r>
        <w:t>s</w:t>
      </w:r>
      <w:r w:rsidRPr="00CB18F1">
        <w:t>treet banner project as part of Reconciliation Week</w:t>
      </w:r>
    </w:p>
    <w:p w14:paraId="1B0FC9D3" w14:textId="77777777" w:rsidR="00D15D12" w:rsidRDefault="00D15D12" w:rsidP="00F43E61">
      <w:pPr>
        <w:pStyle w:val="ListParagraph"/>
        <w:numPr>
          <w:ilvl w:val="0"/>
          <w:numId w:val="15"/>
        </w:numPr>
        <w:spacing w:after="120"/>
        <w:ind w:left="357" w:hanging="357"/>
        <w:contextualSpacing w:val="0"/>
      </w:pPr>
      <w:r w:rsidRPr="00CB18F1">
        <w:t xml:space="preserve">Provides cultural asset and historical research expertise to the </w:t>
      </w:r>
      <w:r>
        <w:t>A</w:t>
      </w:r>
      <w:r w:rsidRPr="00CB18F1">
        <w:t>boriginal community, government and non-government organisations</w:t>
      </w:r>
    </w:p>
    <w:p w14:paraId="47BE7074" w14:textId="77777777" w:rsidR="00CB18F1" w:rsidRPr="00CB18F1" w:rsidRDefault="00CB18F1" w:rsidP="00F43E61">
      <w:pPr>
        <w:pStyle w:val="Heading3"/>
      </w:pPr>
      <w:r w:rsidRPr="00CB18F1">
        <w:t xml:space="preserve">Culture and the Arts </w:t>
      </w:r>
    </w:p>
    <w:p w14:paraId="6FECF2F2" w14:textId="77777777" w:rsidR="00CB18F1" w:rsidRPr="00CB18F1" w:rsidRDefault="00CB18F1" w:rsidP="00F43E61">
      <w:pPr>
        <w:pStyle w:val="ListParagraph"/>
        <w:numPr>
          <w:ilvl w:val="0"/>
          <w:numId w:val="16"/>
        </w:numPr>
        <w:spacing w:before="0" w:after="60"/>
        <w:ind w:hanging="357"/>
        <w:contextualSpacing w:val="0"/>
      </w:pPr>
      <w:r>
        <w:t>G</w:t>
      </w:r>
      <w:r w:rsidRPr="00CB18F1">
        <w:t>uides the delivery of culture and arts for Western Australia through the provision of policy development, co</w:t>
      </w:r>
      <w:r w:rsidR="00D15D12">
        <w:t>-</w:t>
      </w:r>
      <w:r w:rsidRPr="00CB18F1">
        <w:t xml:space="preserve">ordination and support services to the </w:t>
      </w:r>
      <w:r w:rsidR="00F435B0">
        <w:t>c</w:t>
      </w:r>
      <w:r w:rsidRPr="00CB18F1">
        <w:t xml:space="preserve">ulture and </w:t>
      </w:r>
      <w:r w:rsidR="00F435B0">
        <w:t>a</w:t>
      </w:r>
      <w:r w:rsidRPr="00CB18F1">
        <w:t xml:space="preserve">rts </w:t>
      </w:r>
      <w:r w:rsidR="00C8282E">
        <w:t>p</w:t>
      </w:r>
      <w:r w:rsidRPr="00CB18F1">
        <w:t>ortfolio</w:t>
      </w:r>
      <w:r w:rsidR="00D15D12">
        <w:t xml:space="preserve"> i</w:t>
      </w:r>
      <w:r w:rsidRPr="00CB18F1">
        <w:t>nclud</w:t>
      </w:r>
      <w:r w:rsidR="00D15D12">
        <w:t>ing</w:t>
      </w:r>
      <w:r w:rsidRPr="00CB18F1">
        <w:t>:</w:t>
      </w:r>
    </w:p>
    <w:p w14:paraId="703121D3" w14:textId="77777777" w:rsidR="00CB18F1" w:rsidRPr="00CB18F1" w:rsidRDefault="00CB18F1" w:rsidP="00F43E61">
      <w:pPr>
        <w:pStyle w:val="ListParagraph"/>
        <w:numPr>
          <w:ilvl w:val="0"/>
          <w:numId w:val="25"/>
        </w:numPr>
        <w:spacing w:before="0" w:after="60"/>
        <w:ind w:hanging="357"/>
        <w:contextualSpacing w:val="0"/>
      </w:pPr>
      <w:r w:rsidRPr="00CB18F1">
        <w:t>Western Australian Museum</w:t>
      </w:r>
    </w:p>
    <w:p w14:paraId="27EB9BDB" w14:textId="77777777" w:rsidR="00CB18F1" w:rsidRPr="00CB18F1" w:rsidRDefault="00CB18F1" w:rsidP="00F43E61">
      <w:pPr>
        <w:pStyle w:val="ListParagraph"/>
        <w:numPr>
          <w:ilvl w:val="0"/>
          <w:numId w:val="25"/>
        </w:numPr>
        <w:spacing w:before="0" w:after="60"/>
        <w:ind w:hanging="357"/>
        <w:contextualSpacing w:val="0"/>
      </w:pPr>
      <w:r w:rsidRPr="00CB18F1">
        <w:t>Perth Theatre Trust</w:t>
      </w:r>
    </w:p>
    <w:p w14:paraId="14C6F24F" w14:textId="77777777" w:rsidR="00CB18F1" w:rsidRPr="00CB18F1" w:rsidRDefault="00CB18F1" w:rsidP="00F43E61">
      <w:pPr>
        <w:pStyle w:val="ListParagraph"/>
        <w:numPr>
          <w:ilvl w:val="0"/>
          <w:numId w:val="25"/>
        </w:numPr>
        <w:spacing w:before="0" w:after="60"/>
        <w:ind w:hanging="357"/>
        <w:contextualSpacing w:val="0"/>
      </w:pPr>
      <w:r w:rsidRPr="00CB18F1">
        <w:t>Art Gallery of WA</w:t>
      </w:r>
    </w:p>
    <w:p w14:paraId="2F4A7AB2" w14:textId="77777777" w:rsidR="007479AF" w:rsidRDefault="00CB18F1" w:rsidP="00F43E61">
      <w:pPr>
        <w:pStyle w:val="ListParagraph"/>
        <w:numPr>
          <w:ilvl w:val="0"/>
          <w:numId w:val="25"/>
        </w:numPr>
        <w:spacing w:before="0" w:after="120"/>
        <w:ind w:hanging="357"/>
        <w:contextualSpacing w:val="0"/>
      </w:pPr>
      <w:r w:rsidRPr="00CB18F1">
        <w:t xml:space="preserve">State Library of WA </w:t>
      </w:r>
    </w:p>
    <w:p w14:paraId="5751C8C4" w14:textId="77777777" w:rsidR="007479AF" w:rsidRPr="00CB18F1" w:rsidRDefault="007479AF" w:rsidP="00F43E61">
      <w:pPr>
        <w:pStyle w:val="ListParagraph"/>
        <w:numPr>
          <w:ilvl w:val="0"/>
          <w:numId w:val="16"/>
        </w:numPr>
        <w:spacing w:after="120"/>
        <w:ind w:left="357" w:hanging="357"/>
        <w:contextualSpacing w:val="0"/>
      </w:pPr>
      <w:r>
        <w:t xml:space="preserve">Supports the culture </w:t>
      </w:r>
      <w:r w:rsidRPr="00CB18F1">
        <w:t xml:space="preserve">and the arts sector through funding programs </w:t>
      </w:r>
    </w:p>
    <w:p w14:paraId="778FF9B1" w14:textId="77777777" w:rsidR="00CB18F1" w:rsidRPr="00CB18F1" w:rsidRDefault="007479AF" w:rsidP="00F43E61">
      <w:pPr>
        <w:pStyle w:val="ListParagraph"/>
        <w:numPr>
          <w:ilvl w:val="0"/>
          <w:numId w:val="16"/>
        </w:numPr>
        <w:ind w:left="357" w:hanging="357"/>
        <w:contextualSpacing w:val="0"/>
      </w:pPr>
      <w:r>
        <w:t>Through</w:t>
      </w:r>
      <w:r w:rsidRPr="00CB18F1">
        <w:t xml:space="preserve"> the State Records</w:t>
      </w:r>
      <w:r>
        <w:t xml:space="preserve"> </w:t>
      </w:r>
      <w:r w:rsidR="0007446F" w:rsidRPr="00CB18F1">
        <w:t>Office</w:t>
      </w:r>
      <w:r w:rsidR="00CB18F1" w:rsidRPr="00CB18F1">
        <w:t xml:space="preserve"> assists government organisations to comply with the </w:t>
      </w:r>
      <w:r w:rsidR="00CB18F1" w:rsidRPr="00F43E61">
        <w:rPr>
          <w:i/>
        </w:rPr>
        <w:t xml:space="preserve">State Records Act </w:t>
      </w:r>
      <w:r w:rsidR="003E5C41" w:rsidRPr="00F43E61">
        <w:rPr>
          <w:i/>
        </w:rPr>
        <w:t>2000</w:t>
      </w:r>
      <w:r w:rsidR="003E5C41" w:rsidRPr="00CB18F1">
        <w:t xml:space="preserve"> and</w:t>
      </w:r>
      <w:r w:rsidR="00CB18F1" w:rsidRPr="00CB18F1">
        <w:t xml:space="preserve"> preserves and provides access to the State Archives Collection.</w:t>
      </w:r>
    </w:p>
    <w:p w14:paraId="696AEA1E" w14:textId="77777777" w:rsidR="00CB18F1" w:rsidRPr="00CB18F1" w:rsidRDefault="00CB18F1" w:rsidP="00F43E61">
      <w:pPr>
        <w:pStyle w:val="Heading3"/>
      </w:pPr>
      <w:r w:rsidRPr="00CB18F1">
        <w:t>Local Government</w:t>
      </w:r>
    </w:p>
    <w:p w14:paraId="45A4739D" w14:textId="77777777" w:rsidR="00CB18F1" w:rsidRPr="00CB18F1" w:rsidRDefault="00CB18F1" w:rsidP="00F43E61">
      <w:pPr>
        <w:pStyle w:val="ListParagraph"/>
        <w:numPr>
          <w:ilvl w:val="0"/>
          <w:numId w:val="16"/>
        </w:numPr>
        <w:ind w:hanging="357"/>
        <w:contextualSpacing w:val="0"/>
      </w:pPr>
      <w:r w:rsidRPr="00CB18F1">
        <w:t>Provides advice and support to WA's 137 local governments and two Indian Ocean Territories.   </w:t>
      </w:r>
    </w:p>
    <w:p w14:paraId="50F42B65" w14:textId="77777777" w:rsidR="00D15D12" w:rsidRDefault="00CB18F1" w:rsidP="00F43E61">
      <w:pPr>
        <w:pStyle w:val="ListParagraph"/>
        <w:numPr>
          <w:ilvl w:val="0"/>
          <w:numId w:val="16"/>
        </w:numPr>
        <w:spacing w:before="0" w:after="80"/>
        <w:ind w:hanging="357"/>
        <w:contextualSpacing w:val="0"/>
      </w:pPr>
      <w:r w:rsidRPr="00CB18F1">
        <w:t xml:space="preserve">Provides policy advice to the Minister for Local Government, oversees the administration of the </w:t>
      </w:r>
      <w:hyperlink r:id="rId25" w:history="1">
        <w:r w:rsidRPr="00F43E61">
          <w:rPr>
            <w:i/>
          </w:rPr>
          <w:t>Local Government Act 1995</w:t>
        </w:r>
        <w:r w:rsidRPr="00CB18F1">
          <w:t xml:space="preserve"> </w:t>
        </w:r>
      </w:hyperlink>
      <w:r w:rsidRPr="00CB18F1">
        <w:t>and works in partnership with WA councils to</w:t>
      </w:r>
      <w:r w:rsidR="00D15D12">
        <w:t>:</w:t>
      </w:r>
    </w:p>
    <w:p w14:paraId="4231A7F8" w14:textId="77777777" w:rsidR="00D15D12" w:rsidRDefault="00CB18F1" w:rsidP="00F43E61">
      <w:pPr>
        <w:pStyle w:val="ListParagraph"/>
        <w:numPr>
          <w:ilvl w:val="0"/>
          <w:numId w:val="25"/>
        </w:numPr>
        <w:spacing w:before="0" w:after="80"/>
        <w:ind w:hanging="357"/>
        <w:contextualSpacing w:val="0"/>
      </w:pPr>
      <w:r w:rsidRPr="00CB18F1">
        <w:t>improve the capacity of local governments to respond to community demands and expectations</w:t>
      </w:r>
      <w:r w:rsidR="00D15D12">
        <w:t xml:space="preserve"> </w:t>
      </w:r>
      <w:r w:rsidRPr="00CB18F1">
        <w:t xml:space="preserve">and </w:t>
      </w:r>
    </w:p>
    <w:p w14:paraId="0605AC9D" w14:textId="77777777" w:rsidR="00D15D12" w:rsidRDefault="00CB18F1" w:rsidP="00F43E61">
      <w:pPr>
        <w:pStyle w:val="ListParagraph"/>
        <w:numPr>
          <w:ilvl w:val="0"/>
          <w:numId w:val="25"/>
        </w:numPr>
        <w:spacing w:before="0"/>
        <w:ind w:hanging="357"/>
        <w:contextualSpacing w:val="0"/>
      </w:pPr>
      <w:r w:rsidRPr="00CB18F1">
        <w:t>improve levels of accountability and legislative compliance. </w:t>
      </w:r>
    </w:p>
    <w:p w14:paraId="22BBBC82" w14:textId="77777777" w:rsidR="00D15D12" w:rsidRPr="00F43E61" w:rsidRDefault="00D15D12" w:rsidP="00F43E61">
      <w:pPr>
        <w:pStyle w:val="ListParagraph"/>
        <w:numPr>
          <w:ilvl w:val="0"/>
          <w:numId w:val="16"/>
        </w:numPr>
        <w:ind w:hanging="357"/>
        <w:contextualSpacing w:val="0"/>
      </w:pPr>
      <w:r w:rsidRPr="00CB18F1">
        <w:rPr>
          <w:rFonts w:cs="Arial"/>
          <w:szCs w:val="24"/>
        </w:rPr>
        <w:lastRenderedPageBreak/>
        <w:t xml:space="preserve">Administers the </w:t>
      </w:r>
      <w:hyperlink r:id="rId26" w:tooltip="Go to WA Local Government Grants Commission" w:history="1">
        <w:r w:rsidRPr="00CB18F1">
          <w:rPr>
            <w:rFonts w:cs="Arial"/>
            <w:szCs w:val="24"/>
          </w:rPr>
          <w:t>WA Local Government Grants Commission</w:t>
        </w:r>
      </w:hyperlink>
      <w:r w:rsidRPr="00CB18F1">
        <w:rPr>
          <w:rFonts w:cs="Arial"/>
          <w:szCs w:val="24"/>
        </w:rPr>
        <w:t xml:space="preserve">. The Commission allocates financial </w:t>
      </w:r>
      <w:r w:rsidRPr="00F43E61">
        <w:t>assistance grants provided by the Federal Government to councils.</w:t>
      </w:r>
    </w:p>
    <w:p w14:paraId="173B86EB" w14:textId="77777777" w:rsidR="00CB18F1" w:rsidRPr="00CB18F1" w:rsidRDefault="00D15D12" w:rsidP="00F43E61">
      <w:pPr>
        <w:pStyle w:val="ListParagraph"/>
        <w:numPr>
          <w:ilvl w:val="0"/>
          <w:numId w:val="16"/>
        </w:numPr>
        <w:ind w:hanging="357"/>
        <w:contextualSpacing w:val="0"/>
      </w:pPr>
      <w:r>
        <w:t xml:space="preserve">The department’s </w:t>
      </w:r>
      <w:r w:rsidR="00CB18F1" w:rsidRPr="00CB18F1">
        <w:t xml:space="preserve">Local Government </w:t>
      </w:r>
      <w:r>
        <w:t xml:space="preserve">division </w:t>
      </w:r>
      <w:r w:rsidR="00CB18F1" w:rsidRPr="00CB18F1">
        <w:t xml:space="preserve">is not involved in the day to day operations of individual councils. </w:t>
      </w:r>
    </w:p>
    <w:p w14:paraId="61B3A7FB" w14:textId="77777777" w:rsidR="00D15D12" w:rsidRPr="00CB18F1" w:rsidRDefault="00D15D12" w:rsidP="00F43E61">
      <w:pPr>
        <w:pStyle w:val="Heading3"/>
      </w:pPr>
      <w:r w:rsidRPr="00CB18F1">
        <w:t>Office of Multicultural Interests</w:t>
      </w:r>
    </w:p>
    <w:p w14:paraId="44403461" w14:textId="77777777" w:rsidR="00D15D12" w:rsidRPr="00CB18F1" w:rsidRDefault="00D15D12" w:rsidP="00F43E61">
      <w:pPr>
        <w:pStyle w:val="ListParagraph"/>
        <w:numPr>
          <w:ilvl w:val="0"/>
          <w:numId w:val="16"/>
        </w:numPr>
        <w:ind w:hanging="357"/>
        <w:contextualSpacing w:val="0"/>
      </w:pPr>
      <w:r w:rsidRPr="00CB18F1">
        <w:t>Provides advice to the Minister for Citizenship and Multicultural Interests on the development of State Government policies and programs to achieve the full potential of multiculturalism</w:t>
      </w:r>
      <w:r>
        <w:t>.</w:t>
      </w:r>
      <w:r w:rsidRPr="00CB18F1">
        <w:t xml:space="preserve"> </w:t>
      </w:r>
    </w:p>
    <w:p w14:paraId="6E26522A" w14:textId="77777777" w:rsidR="00D15D12" w:rsidRPr="00CB18F1" w:rsidRDefault="00D15D12" w:rsidP="00F43E61">
      <w:pPr>
        <w:pStyle w:val="ListParagraph"/>
        <w:numPr>
          <w:ilvl w:val="0"/>
          <w:numId w:val="16"/>
        </w:numPr>
        <w:ind w:hanging="357"/>
        <w:contextualSpacing w:val="0"/>
      </w:pPr>
      <w:r w:rsidRPr="00CB18F1">
        <w:t xml:space="preserve">Manages a grant program </w:t>
      </w:r>
      <w:r>
        <w:t>to</w:t>
      </w:r>
      <w:r w:rsidRPr="00CB18F1">
        <w:t xml:space="preserve"> support projects that address the needs of the culturally and linguistically diverse community.</w:t>
      </w:r>
    </w:p>
    <w:p w14:paraId="4F2B08CC" w14:textId="77777777" w:rsidR="00CB18F1" w:rsidRPr="00CB18F1" w:rsidRDefault="00CB18F1" w:rsidP="00F43E61">
      <w:pPr>
        <w:pStyle w:val="Heading3"/>
      </w:pPr>
      <w:r w:rsidRPr="00CB18F1">
        <w:t>Sport and Recreation</w:t>
      </w:r>
    </w:p>
    <w:p w14:paraId="40FD578C" w14:textId="77777777" w:rsidR="00D15D12" w:rsidRDefault="00D15D12" w:rsidP="00F43E61">
      <w:pPr>
        <w:pStyle w:val="ListParagraph"/>
        <w:keepNext/>
        <w:numPr>
          <w:ilvl w:val="0"/>
          <w:numId w:val="16"/>
        </w:numPr>
        <w:ind w:hanging="357"/>
        <w:contextualSpacing w:val="0"/>
      </w:pPr>
      <w:r>
        <w:t>D</w:t>
      </w:r>
      <w:r w:rsidR="00CB18F1" w:rsidRPr="00CB18F1">
        <w:t>evelops and implements government policy and initiatives in sport and recreation</w:t>
      </w:r>
    </w:p>
    <w:p w14:paraId="52145CBE" w14:textId="77777777" w:rsidR="00CB18F1" w:rsidRPr="00CB18F1" w:rsidRDefault="00D15D12" w:rsidP="00F43E61">
      <w:pPr>
        <w:pStyle w:val="ListParagraph"/>
        <w:keepNext/>
        <w:numPr>
          <w:ilvl w:val="0"/>
          <w:numId w:val="16"/>
        </w:numPr>
        <w:spacing w:after="80"/>
        <w:ind w:hanging="357"/>
        <w:contextualSpacing w:val="0"/>
      </w:pPr>
      <w:r>
        <w:t>C</w:t>
      </w:r>
      <w:r w:rsidR="00CB18F1" w:rsidRPr="00CB18F1">
        <w:t>ontribut</w:t>
      </w:r>
      <w:r>
        <w:t xml:space="preserve">es </w:t>
      </w:r>
      <w:r w:rsidR="00CB18F1" w:rsidRPr="00CB18F1">
        <w:t xml:space="preserve">to the healthy lifestyle of Western Australians by increasing physical activity through sport and recreation and </w:t>
      </w:r>
      <w:proofErr w:type="gramStart"/>
      <w:r w:rsidR="00CB18F1" w:rsidRPr="00CB18F1">
        <w:t>providing assistance</w:t>
      </w:r>
      <w:proofErr w:type="gramEnd"/>
      <w:r w:rsidR="00CB18F1" w:rsidRPr="00CB18F1">
        <w:t xml:space="preserve"> and advice to:</w:t>
      </w:r>
    </w:p>
    <w:p w14:paraId="7236B86A" w14:textId="77777777" w:rsidR="00CB18F1" w:rsidRPr="00CB18F1" w:rsidRDefault="00D15D12" w:rsidP="00F43E61">
      <w:pPr>
        <w:pStyle w:val="ListParagraph"/>
        <w:keepNext/>
        <w:numPr>
          <w:ilvl w:val="0"/>
          <w:numId w:val="25"/>
        </w:numPr>
        <w:spacing w:after="80"/>
        <w:ind w:left="714" w:hanging="357"/>
        <w:contextualSpacing w:val="0"/>
      </w:pPr>
      <w:r>
        <w:t>l</w:t>
      </w:r>
      <w:r w:rsidRPr="00CB18F1">
        <w:t xml:space="preserve">ocal </w:t>
      </w:r>
      <w:r w:rsidR="00CB18F1" w:rsidRPr="00CB18F1">
        <w:t>communities</w:t>
      </w:r>
    </w:p>
    <w:p w14:paraId="384DC114" w14:textId="77777777" w:rsidR="00CB18F1" w:rsidRPr="00CB18F1" w:rsidRDefault="00D15D12" w:rsidP="00F43E61">
      <w:pPr>
        <w:pStyle w:val="ListParagraph"/>
        <w:keepNext/>
        <w:numPr>
          <w:ilvl w:val="0"/>
          <w:numId w:val="25"/>
        </w:numPr>
        <w:spacing w:after="80"/>
        <w:ind w:left="714" w:hanging="357"/>
        <w:contextualSpacing w:val="0"/>
      </w:pPr>
      <w:r>
        <w:t>t</w:t>
      </w:r>
      <w:r w:rsidRPr="00CB18F1">
        <w:t xml:space="preserve">he </w:t>
      </w:r>
      <w:r w:rsidR="00CB18F1" w:rsidRPr="00CB18F1">
        <w:t>sports industry, organisations and clubs</w:t>
      </w:r>
    </w:p>
    <w:p w14:paraId="19F4FECD" w14:textId="77777777" w:rsidR="00CB18F1" w:rsidRPr="00CB18F1" w:rsidRDefault="00D15D12" w:rsidP="00F43E61">
      <w:pPr>
        <w:pStyle w:val="ListParagraph"/>
        <w:keepNext/>
        <w:numPr>
          <w:ilvl w:val="0"/>
          <w:numId w:val="25"/>
        </w:numPr>
        <w:spacing w:after="80"/>
        <w:ind w:left="714" w:hanging="357"/>
        <w:contextualSpacing w:val="0"/>
      </w:pPr>
      <w:r>
        <w:t>b</w:t>
      </w:r>
      <w:r w:rsidRPr="00CB18F1">
        <w:t>usinesses</w:t>
      </w:r>
    </w:p>
    <w:p w14:paraId="66DFAC7A" w14:textId="77777777" w:rsidR="00CB18F1" w:rsidRPr="00CB18F1" w:rsidRDefault="00D15D12" w:rsidP="00F43E61">
      <w:pPr>
        <w:pStyle w:val="ListParagraph"/>
        <w:keepNext/>
        <w:numPr>
          <w:ilvl w:val="0"/>
          <w:numId w:val="25"/>
        </w:numPr>
        <w:ind w:left="714" w:hanging="357"/>
        <w:contextualSpacing w:val="0"/>
      </w:pPr>
      <w:r>
        <w:t>o</w:t>
      </w:r>
      <w:r w:rsidRPr="00CB18F1">
        <w:t xml:space="preserve">ther </w:t>
      </w:r>
      <w:r w:rsidR="00CB18F1" w:rsidRPr="00CB18F1">
        <w:t>government departments</w:t>
      </w:r>
    </w:p>
    <w:p w14:paraId="2DE8B264" w14:textId="77777777" w:rsidR="00CB18F1" w:rsidRDefault="00647688" w:rsidP="00F43E61">
      <w:pPr>
        <w:pStyle w:val="ListParagraph"/>
        <w:numPr>
          <w:ilvl w:val="0"/>
          <w:numId w:val="16"/>
        </w:numPr>
        <w:spacing w:after="80"/>
        <w:ind w:hanging="357"/>
        <w:contextualSpacing w:val="0"/>
      </w:pPr>
      <w:r>
        <w:t>Operates</w:t>
      </w:r>
      <w:r w:rsidR="00D15D12">
        <w:t xml:space="preserve"> </w:t>
      </w:r>
      <w:r>
        <w:t xml:space="preserve">the following </w:t>
      </w:r>
      <w:r w:rsidR="00D15D12">
        <w:t>recreational camps:</w:t>
      </w:r>
    </w:p>
    <w:p w14:paraId="531079A6" w14:textId="77777777" w:rsidR="00B32DB3" w:rsidRPr="00F43E61" w:rsidRDefault="00B32DB3" w:rsidP="00F43E61">
      <w:pPr>
        <w:pStyle w:val="ListParagraph"/>
        <w:keepNext/>
        <w:numPr>
          <w:ilvl w:val="0"/>
          <w:numId w:val="25"/>
        </w:numPr>
        <w:spacing w:after="80"/>
        <w:ind w:left="714" w:hanging="357"/>
        <w:contextualSpacing w:val="0"/>
      </w:pPr>
      <w:r>
        <w:t xml:space="preserve">Bickley </w:t>
      </w:r>
      <w:r w:rsidRPr="00F43E61">
        <w:t>Camp</w:t>
      </w:r>
    </w:p>
    <w:p w14:paraId="3A17AE8C" w14:textId="77777777" w:rsidR="00B32DB3" w:rsidRPr="00F43E61" w:rsidRDefault="00B32DB3" w:rsidP="00F43E61">
      <w:pPr>
        <w:pStyle w:val="ListParagraph"/>
        <w:keepNext/>
        <w:numPr>
          <w:ilvl w:val="0"/>
          <w:numId w:val="25"/>
        </w:numPr>
        <w:spacing w:after="80"/>
        <w:ind w:left="714" w:hanging="357"/>
        <w:contextualSpacing w:val="0"/>
      </w:pPr>
      <w:r w:rsidRPr="00F43E61">
        <w:t>Camp Quaranup</w:t>
      </w:r>
    </w:p>
    <w:p w14:paraId="398FF126" w14:textId="77777777" w:rsidR="00B32DB3" w:rsidRPr="00F43E61" w:rsidRDefault="00B32DB3" w:rsidP="00F43E61">
      <w:pPr>
        <w:pStyle w:val="ListParagraph"/>
        <w:keepNext/>
        <w:numPr>
          <w:ilvl w:val="0"/>
          <w:numId w:val="25"/>
        </w:numPr>
        <w:spacing w:after="80"/>
        <w:ind w:left="714" w:hanging="357"/>
        <w:contextualSpacing w:val="0"/>
      </w:pPr>
      <w:r w:rsidRPr="00F43E61">
        <w:t>Ern Halliday Camp</w:t>
      </w:r>
    </w:p>
    <w:p w14:paraId="622312CC" w14:textId="77777777" w:rsidR="00B32DB3" w:rsidRPr="00F43E61" w:rsidRDefault="00B32DB3" w:rsidP="00F43E61">
      <w:pPr>
        <w:pStyle w:val="ListParagraph"/>
        <w:keepNext/>
        <w:numPr>
          <w:ilvl w:val="0"/>
          <w:numId w:val="25"/>
        </w:numPr>
        <w:spacing w:after="80"/>
        <w:ind w:left="714" w:hanging="357"/>
        <w:contextualSpacing w:val="0"/>
      </w:pPr>
      <w:r w:rsidRPr="00F43E61">
        <w:t>Point Walter</w:t>
      </w:r>
    </w:p>
    <w:p w14:paraId="76950DB3" w14:textId="77777777" w:rsidR="00B32DB3" w:rsidRPr="00B32DB3" w:rsidRDefault="00B32DB3" w:rsidP="00F43E61">
      <w:pPr>
        <w:pStyle w:val="ListParagraph"/>
        <w:numPr>
          <w:ilvl w:val="0"/>
          <w:numId w:val="25"/>
        </w:numPr>
      </w:pPr>
      <w:r w:rsidRPr="00F43E61">
        <w:rPr>
          <w:rFonts w:eastAsiaTheme="minorHAnsi"/>
          <w:lang w:eastAsia="en-US"/>
        </w:rPr>
        <w:t>Woodman Point</w:t>
      </w:r>
    </w:p>
    <w:p w14:paraId="4F3B73F4" w14:textId="77777777" w:rsidR="00CB18F1" w:rsidRPr="00CB18F1" w:rsidRDefault="00CB18F1" w:rsidP="00F43E61">
      <w:pPr>
        <w:pStyle w:val="Heading3"/>
      </w:pPr>
      <w:r w:rsidRPr="00CB18F1">
        <w:t xml:space="preserve">Racing, gaming and liquor </w:t>
      </w:r>
    </w:p>
    <w:p w14:paraId="36DC2F15" w14:textId="77777777" w:rsidR="00CB18F1" w:rsidRPr="00CB18F1" w:rsidRDefault="00CB18F1" w:rsidP="00F43E61">
      <w:pPr>
        <w:pStyle w:val="ListParagraph"/>
        <w:numPr>
          <w:ilvl w:val="0"/>
          <w:numId w:val="16"/>
        </w:numPr>
        <w:ind w:hanging="357"/>
        <w:contextualSpacing w:val="0"/>
      </w:pPr>
      <w:r w:rsidRPr="00CB18F1">
        <w:t>The division is responsible for regulating and maintaining the integrity of lawful racing, gambling and liquor activities for Western Australians to participate in.</w:t>
      </w:r>
    </w:p>
    <w:p w14:paraId="3807117F" w14:textId="77777777" w:rsidR="00362900" w:rsidRDefault="00362900" w:rsidP="00775567">
      <w:pPr>
        <w:pStyle w:val="Heading2"/>
        <w:keepNext/>
        <w:keepLines/>
      </w:pPr>
      <w:bookmarkStart w:id="31" w:name="_Toc9443103"/>
      <w:r>
        <w:lastRenderedPageBreak/>
        <w:t>List of buildings</w:t>
      </w:r>
      <w:bookmarkEnd w:id="31"/>
    </w:p>
    <w:p w14:paraId="0236F8F3" w14:textId="77777777" w:rsidR="00362900" w:rsidRDefault="00362900" w:rsidP="00775567">
      <w:pPr>
        <w:keepNext/>
        <w:keepLines/>
        <w:spacing w:after="120"/>
      </w:pPr>
      <w:r>
        <w:t>The department is r</w:t>
      </w:r>
      <w:r w:rsidRPr="00CB18F1">
        <w:t>esponsible for the delivery of building maintena</w:t>
      </w:r>
      <w:r>
        <w:t xml:space="preserve">nce, </w:t>
      </w:r>
      <w:r w:rsidRPr="00CB18F1">
        <w:t xml:space="preserve">capital works </w:t>
      </w:r>
      <w:r>
        <w:t xml:space="preserve">and minor works </w:t>
      </w:r>
      <w:r w:rsidRPr="00CB18F1">
        <w:t xml:space="preserve">to buildings vested </w:t>
      </w:r>
      <w:r>
        <w:t>in</w:t>
      </w:r>
      <w:r w:rsidRPr="00CB18F1">
        <w:t xml:space="preserve"> the Minister for Sport and Recreation </w:t>
      </w:r>
      <w:r>
        <w:t>and the Minister for Culture and the Arts including</w:t>
      </w:r>
      <w:r w:rsidRPr="00CB18F1">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8"/>
        <w:gridCol w:w="4868"/>
      </w:tblGrid>
      <w:tr w:rsidR="00362900" w14:paraId="2B5DD1E0" w14:textId="77777777" w:rsidTr="008654E9">
        <w:tc>
          <w:tcPr>
            <w:tcW w:w="4868" w:type="dxa"/>
          </w:tcPr>
          <w:p w14:paraId="11F94484" w14:textId="77777777" w:rsidR="00362900" w:rsidRPr="004F18B6" w:rsidRDefault="00362900" w:rsidP="00775567">
            <w:pPr>
              <w:pStyle w:val="ListParagraph"/>
              <w:keepNext/>
              <w:keepLines/>
              <w:numPr>
                <w:ilvl w:val="0"/>
                <w:numId w:val="27"/>
              </w:numPr>
              <w:spacing w:before="40" w:after="40"/>
            </w:pPr>
            <w:r w:rsidRPr="004F18B6">
              <w:t>A Shed, Victoria Quay</w:t>
            </w:r>
          </w:p>
        </w:tc>
        <w:tc>
          <w:tcPr>
            <w:tcW w:w="4868" w:type="dxa"/>
          </w:tcPr>
          <w:p w14:paraId="22C64550" w14:textId="77777777" w:rsidR="00362900" w:rsidRPr="004F18B6" w:rsidRDefault="00362900" w:rsidP="00775567">
            <w:pPr>
              <w:pStyle w:val="ListParagraph"/>
              <w:keepNext/>
              <w:keepLines/>
              <w:numPr>
                <w:ilvl w:val="0"/>
                <w:numId w:val="27"/>
              </w:numPr>
              <w:spacing w:before="40" w:after="40"/>
              <w:ind w:left="601"/>
            </w:pPr>
            <w:r w:rsidRPr="004F18B6">
              <w:t xml:space="preserve">Alexander Library building </w:t>
            </w:r>
          </w:p>
        </w:tc>
      </w:tr>
      <w:tr w:rsidR="00362900" w14:paraId="39F01F80" w14:textId="77777777" w:rsidTr="008654E9">
        <w:tc>
          <w:tcPr>
            <w:tcW w:w="4868" w:type="dxa"/>
          </w:tcPr>
          <w:p w14:paraId="4949409D" w14:textId="77777777" w:rsidR="00362900" w:rsidRPr="004F18B6" w:rsidRDefault="00362900" w:rsidP="00775567">
            <w:pPr>
              <w:pStyle w:val="ListParagraph"/>
              <w:keepNext/>
              <w:keepLines/>
              <w:numPr>
                <w:ilvl w:val="0"/>
                <w:numId w:val="27"/>
              </w:numPr>
              <w:spacing w:before="40" w:after="40"/>
            </w:pPr>
            <w:r w:rsidRPr="004F18B6">
              <w:t>Albany Entertainment Centre</w:t>
            </w:r>
          </w:p>
        </w:tc>
        <w:tc>
          <w:tcPr>
            <w:tcW w:w="4868" w:type="dxa"/>
          </w:tcPr>
          <w:p w14:paraId="1A409065" w14:textId="77777777" w:rsidR="00362900" w:rsidRPr="004F18B6" w:rsidRDefault="00362900" w:rsidP="00775567">
            <w:pPr>
              <w:pStyle w:val="ListParagraph"/>
              <w:keepNext/>
              <w:keepLines/>
              <w:numPr>
                <w:ilvl w:val="0"/>
                <w:numId w:val="27"/>
              </w:numPr>
              <w:spacing w:before="40" w:after="40"/>
              <w:ind w:left="601"/>
            </w:pPr>
            <w:r w:rsidRPr="004F18B6">
              <w:t>Art Gallery of WA - Main Gallery</w:t>
            </w:r>
          </w:p>
        </w:tc>
      </w:tr>
      <w:tr w:rsidR="00362900" w14:paraId="6998B064" w14:textId="77777777" w:rsidTr="008654E9">
        <w:tc>
          <w:tcPr>
            <w:tcW w:w="4868" w:type="dxa"/>
          </w:tcPr>
          <w:p w14:paraId="4BF53CCD" w14:textId="77777777" w:rsidR="00362900" w:rsidRPr="004F18B6" w:rsidRDefault="00362900" w:rsidP="00775567">
            <w:pPr>
              <w:pStyle w:val="ListParagraph"/>
              <w:keepNext/>
              <w:keepLines/>
              <w:numPr>
                <w:ilvl w:val="0"/>
                <w:numId w:val="27"/>
              </w:numPr>
              <w:spacing w:before="40" w:after="40"/>
            </w:pPr>
            <w:r w:rsidRPr="004F18B6">
              <w:t>Art Gallery of WA - James Street Administration building</w:t>
            </w:r>
          </w:p>
        </w:tc>
        <w:tc>
          <w:tcPr>
            <w:tcW w:w="4868" w:type="dxa"/>
          </w:tcPr>
          <w:p w14:paraId="1A2A735F" w14:textId="77777777" w:rsidR="00362900" w:rsidRPr="004F18B6" w:rsidRDefault="00362900" w:rsidP="00775567">
            <w:pPr>
              <w:pStyle w:val="ListParagraph"/>
              <w:keepNext/>
              <w:keepLines/>
              <w:numPr>
                <w:ilvl w:val="0"/>
                <w:numId w:val="27"/>
              </w:numPr>
              <w:spacing w:before="40" w:after="40"/>
              <w:ind w:left="601"/>
            </w:pPr>
            <w:r w:rsidRPr="004F18B6">
              <w:t>Art Gallery of WA - Centenary Galleries</w:t>
            </w:r>
          </w:p>
        </w:tc>
      </w:tr>
      <w:tr w:rsidR="00362900" w14:paraId="4169E4B3" w14:textId="77777777" w:rsidTr="008654E9">
        <w:tc>
          <w:tcPr>
            <w:tcW w:w="4868" w:type="dxa"/>
          </w:tcPr>
          <w:p w14:paraId="21B3E4F7" w14:textId="77777777" w:rsidR="00362900" w:rsidRPr="004F18B6" w:rsidRDefault="00362900" w:rsidP="00775567">
            <w:pPr>
              <w:pStyle w:val="ListParagraph"/>
              <w:numPr>
                <w:ilvl w:val="0"/>
                <w:numId w:val="27"/>
              </w:numPr>
              <w:spacing w:before="40" w:after="40"/>
            </w:pPr>
            <w:r w:rsidRPr="004F18B6">
              <w:t>Collection and Research Centre</w:t>
            </w:r>
          </w:p>
        </w:tc>
        <w:tc>
          <w:tcPr>
            <w:tcW w:w="4868" w:type="dxa"/>
          </w:tcPr>
          <w:p w14:paraId="0D639C25" w14:textId="77777777" w:rsidR="00362900" w:rsidRPr="004F18B6" w:rsidRDefault="00362900" w:rsidP="008654E9">
            <w:pPr>
              <w:pStyle w:val="ListParagraph"/>
              <w:numPr>
                <w:ilvl w:val="0"/>
                <w:numId w:val="27"/>
              </w:numPr>
              <w:spacing w:before="40" w:after="40"/>
              <w:ind w:left="601"/>
            </w:pPr>
            <w:r w:rsidRPr="004F18B6">
              <w:t>Goldfields Arts Centre, Kalgoorlie</w:t>
            </w:r>
          </w:p>
        </w:tc>
      </w:tr>
      <w:tr w:rsidR="00362900" w14:paraId="6EB9695C" w14:textId="77777777" w:rsidTr="008654E9">
        <w:tc>
          <w:tcPr>
            <w:tcW w:w="4868" w:type="dxa"/>
          </w:tcPr>
          <w:p w14:paraId="167775C8" w14:textId="77777777" w:rsidR="00362900" w:rsidRPr="004F18B6" w:rsidRDefault="00362900" w:rsidP="00775567">
            <w:pPr>
              <w:pStyle w:val="ListParagraph"/>
              <w:numPr>
                <w:ilvl w:val="0"/>
                <w:numId w:val="27"/>
              </w:numPr>
              <w:spacing w:before="40" w:after="40"/>
            </w:pPr>
            <w:r w:rsidRPr="004F18B6">
              <w:t>King Street Arts Centre</w:t>
            </w:r>
          </w:p>
        </w:tc>
        <w:tc>
          <w:tcPr>
            <w:tcW w:w="4868" w:type="dxa"/>
          </w:tcPr>
          <w:p w14:paraId="7FEE2975" w14:textId="77777777" w:rsidR="00362900" w:rsidRPr="004F18B6" w:rsidRDefault="00362900" w:rsidP="008654E9">
            <w:pPr>
              <w:pStyle w:val="ListParagraph"/>
              <w:numPr>
                <w:ilvl w:val="0"/>
                <w:numId w:val="27"/>
              </w:numPr>
              <w:spacing w:before="40" w:after="40"/>
              <w:ind w:left="601"/>
            </w:pPr>
            <w:r w:rsidRPr="004F18B6">
              <w:t>His Majesty's Theatre</w:t>
            </w:r>
          </w:p>
        </w:tc>
      </w:tr>
      <w:tr w:rsidR="00362900" w14:paraId="74AFE622" w14:textId="77777777" w:rsidTr="008654E9">
        <w:tc>
          <w:tcPr>
            <w:tcW w:w="4868" w:type="dxa"/>
          </w:tcPr>
          <w:p w14:paraId="5A0BD200" w14:textId="77777777" w:rsidR="00362900" w:rsidRPr="004F18B6" w:rsidRDefault="00362900" w:rsidP="00775567">
            <w:pPr>
              <w:pStyle w:val="ListParagraph"/>
              <w:numPr>
                <w:ilvl w:val="0"/>
                <w:numId w:val="27"/>
              </w:numPr>
              <w:spacing w:before="40" w:after="40"/>
            </w:pPr>
            <w:r>
              <w:t>Old Customs House</w:t>
            </w:r>
          </w:p>
        </w:tc>
        <w:tc>
          <w:tcPr>
            <w:tcW w:w="4868" w:type="dxa"/>
          </w:tcPr>
          <w:p w14:paraId="12843347" w14:textId="77777777" w:rsidR="00362900" w:rsidRPr="004F18B6" w:rsidRDefault="00362900" w:rsidP="008654E9">
            <w:pPr>
              <w:pStyle w:val="ListParagraph"/>
              <w:numPr>
                <w:ilvl w:val="0"/>
                <w:numId w:val="27"/>
              </w:numPr>
              <w:spacing w:before="40" w:after="40"/>
              <w:ind w:left="601"/>
            </w:pPr>
            <w:r w:rsidRPr="004F18B6">
              <w:t>Perth Concert Hall</w:t>
            </w:r>
            <w:r>
              <w:t xml:space="preserve"> (not capital works)</w:t>
            </w:r>
          </w:p>
        </w:tc>
      </w:tr>
      <w:tr w:rsidR="00362900" w14:paraId="4C71401C" w14:textId="77777777" w:rsidTr="008654E9">
        <w:tc>
          <w:tcPr>
            <w:tcW w:w="4868" w:type="dxa"/>
          </w:tcPr>
          <w:p w14:paraId="1B1CA129" w14:textId="77777777" w:rsidR="00362900" w:rsidRPr="004F18B6" w:rsidRDefault="00362900" w:rsidP="00775567">
            <w:pPr>
              <w:pStyle w:val="ListParagraph"/>
              <w:numPr>
                <w:ilvl w:val="0"/>
                <w:numId w:val="27"/>
              </w:numPr>
              <w:spacing w:before="40" w:after="40"/>
            </w:pPr>
            <w:r w:rsidRPr="004F18B6">
              <w:t>Perth Cultural Centre –</w:t>
            </w:r>
            <w:r>
              <w:t xml:space="preserve"> </w:t>
            </w:r>
            <w:r w:rsidRPr="004F18B6">
              <w:t>open space</w:t>
            </w:r>
          </w:p>
        </w:tc>
        <w:tc>
          <w:tcPr>
            <w:tcW w:w="4868" w:type="dxa"/>
          </w:tcPr>
          <w:p w14:paraId="345F70A5" w14:textId="77777777" w:rsidR="00362900" w:rsidRPr="004F18B6" w:rsidRDefault="00362900" w:rsidP="008654E9">
            <w:pPr>
              <w:pStyle w:val="ListParagraph"/>
              <w:numPr>
                <w:ilvl w:val="0"/>
                <w:numId w:val="27"/>
              </w:numPr>
              <w:spacing w:before="40" w:after="40"/>
              <w:ind w:left="601"/>
            </w:pPr>
            <w:r w:rsidRPr="004F18B6">
              <w:t>PICA building</w:t>
            </w:r>
          </w:p>
        </w:tc>
      </w:tr>
      <w:tr w:rsidR="00362900" w14:paraId="6D947492" w14:textId="77777777" w:rsidTr="008654E9">
        <w:tc>
          <w:tcPr>
            <w:tcW w:w="4868" w:type="dxa"/>
          </w:tcPr>
          <w:p w14:paraId="2FB547AB" w14:textId="77777777" w:rsidR="00362900" w:rsidRPr="004F18B6" w:rsidRDefault="00362900" w:rsidP="00775567">
            <w:pPr>
              <w:pStyle w:val="ListParagraph"/>
              <w:numPr>
                <w:ilvl w:val="0"/>
                <w:numId w:val="27"/>
              </w:numPr>
              <w:spacing w:before="40" w:after="40"/>
            </w:pPr>
            <w:r w:rsidRPr="004F18B6">
              <w:t>Spare Parts Puppet Theatre</w:t>
            </w:r>
          </w:p>
        </w:tc>
        <w:tc>
          <w:tcPr>
            <w:tcW w:w="4868" w:type="dxa"/>
          </w:tcPr>
          <w:p w14:paraId="588B2843" w14:textId="77777777" w:rsidR="00362900" w:rsidRPr="004F18B6" w:rsidRDefault="00362900" w:rsidP="008654E9">
            <w:pPr>
              <w:pStyle w:val="ListParagraph"/>
              <w:numPr>
                <w:ilvl w:val="0"/>
                <w:numId w:val="27"/>
              </w:numPr>
              <w:spacing w:before="40" w:after="40"/>
              <w:ind w:left="601"/>
            </w:pPr>
            <w:r w:rsidRPr="004F18B6">
              <w:t>State Archives Repository, Dianella</w:t>
            </w:r>
          </w:p>
        </w:tc>
      </w:tr>
      <w:tr w:rsidR="00362900" w14:paraId="31EA1F07" w14:textId="77777777" w:rsidTr="008654E9">
        <w:tc>
          <w:tcPr>
            <w:tcW w:w="4868" w:type="dxa"/>
          </w:tcPr>
          <w:p w14:paraId="7348E3E5" w14:textId="77777777" w:rsidR="00362900" w:rsidRPr="004F18B6" w:rsidRDefault="00362900" w:rsidP="00775567">
            <w:pPr>
              <w:pStyle w:val="ListParagraph"/>
              <w:numPr>
                <w:ilvl w:val="0"/>
                <w:numId w:val="27"/>
              </w:numPr>
              <w:spacing w:before="40" w:after="40"/>
            </w:pPr>
            <w:r w:rsidRPr="004F18B6">
              <w:t>State Theatre Centre</w:t>
            </w:r>
          </w:p>
        </w:tc>
        <w:tc>
          <w:tcPr>
            <w:tcW w:w="4868" w:type="dxa"/>
          </w:tcPr>
          <w:p w14:paraId="4E5BC6E5" w14:textId="77777777" w:rsidR="00362900" w:rsidRPr="004F18B6" w:rsidRDefault="00362900" w:rsidP="008654E9">
            <w:pPr>
              <w:pStyle w:val="ListParagraph"/>
              <w:numPr>
                <w:ilvl w:val="0"/>
                <w:numId w:val="27"/>
              </w:numPr>
              <w:spacing w:before="40" w:after="40"/>
              <w:ind w:left="601"/>
            </w:pPr>
            <w:r w:rsidRPr="004F18B6">
              <w:t>Sunset Hospital</w:t>
            </w:r>
          </w:p>
        </w:tc>
      </w:tr>
      <w:tr w:rsidR="00362900" w14:paraId="3CBF090E" w14:textId="77777777" w:rsidTr="008654E9">
        <w:tc>
          <w:tcPr>
            <w:tcW w:w="4868" w:type="dxa"/>
          </w:tcPr>
          <w:p w14:paraId="7DB50F3B" w14:textId="77777777" w:rsidR="00362900" w:rsidRPr="004F18B6" w:rsidRDefault="00362900" w:rsidP="00775567">
            <w:pPr>
              <w:pStyle w:val="ListParagraph"/>
              <w:numPr>
                <w:ilvl w:val="0"/>
                <w:numId w:val="27"/>
              </w:numPr>
              <w:spacing w:before="40" w:after="40"/>
            </w:pPr>
            <w:r w:rsidRPr="004F18B6">
              <w:t>Subiaco Arts Centre</w:t>
            </w:r>
            <w:r>
              <w:t xml:space="preserve"> (not capital works)</w:t>
            </w:r>
          </w:p>
        </w:tc>
        <w:tc>
          <w:tcPr>
            <w:tcW w:w="4868" w:type="dxa"/>
          </w:tcPr>
          <w:p w14:paraId="26163369" w14:textId="77777777" w:rsidR="00362900" w:rsidRPr="004F18B6" w:rsidRDefault="00362900" w:rsidP="008654E9">
            <w:pPr>
              <w:pStyle w:val="ListParagraph"/>
              <w:numPr>
                <w:ilvl w:val="0"/>
                <w:numId w:val="27"/>
              </w:numPr>
              <w:spacing w:before="40" w:after="40"/>
              <w:ind w:left="601"/>
            </w:pPr>
            <w:r w:rsidRPr="004F18B6">
              <w:t>The Bell Tower</w:t>
            </w:r>
          </w:p>
        </w:tc>
      </w:tr>
      <w:tr w:rsidR="00362900" w14:paraId="1AF65697" w14:textId="77777777" w:rsidTr="008654E9">
        <w:tc>
          <w:tcPr>
            <w:tcW w:w="4868" w:type="dxa"/>
          </w:tcPr>
          <w:p w14:paraId="07CB23A0" w14:textId="77777777" w:rsidR="00362900" w:rsidRPr="004F18B6" w:rsidRDefault="00362900" w:rsidP="00775567">
            <w:pPr>
              <w:pStyle w:val="ListParagraph"/>
              <w:numPr>
                <w:ilvl w:val="0"/>
                <w:numId w:val="27"/>
              </w:numPr>
              <w:spacing w:before="40" w:after="40"/>
            </w:pPr>
            <w:r w:rsidRPr="004F18B6">
              <w:t xml:space="preserve">The Blue Room (Arts House </w:t>
            </w:r>
            <w:r>
              <w:t>b</w:t>
            </w:r>
            <w:r w:rsidRPr="004F18B6">
              <w:t xml:space="preserve">uilding) </w:t>
            </w:r>
          </w:p>
        </w:tc>
        <w:tc>
          <w:tcPr>
            <w:tcW w:w="4868" w:type="dxa"/>
          </w:tcPr>
          <w:p w14:paraId="172253D2" w14:textId="77777777" w:rsidR="00362900" w:rsidRPr="004F18B6" w:rsidRDefault="00362900" w:rsidP="008654E9">
            <w:pPr>
              <w:pStyle w:val="ListParagraph"/>
              <w:numPr>
                <w:ilvl w:val="0"/>
                <w:numId w:val="27"/>
              </w:numPr>
              <w:spacing w:before="40" w:after="40"/>
              <w:ind w:left="601"/>
            </w:pPr>
            <w:r w:rsidRPr="004F18B6">
              <w:t>WA Museum, Albany</w:t>
            </w:r>
          </w:p>
        </w:tc>
      </w:tr>
      <w:tr w:rsidR="00362900" w14:paraId="5D65F3C5" w14:textId="77777777" w:rsidTr="008654E9">
        <w:tc>
          <w:tcPr>
            <w:tcW w:w="4868" w:type="dxa"/>
          </w:tcPr>
          <w:p w14:paraId="77649447" w14:textId="77777777" w:rsidR="00362900" w:rsidRPr="004F18B6" w:rsidRDefault="00362900" w:rsidP="00775567">
            <w:pPr>
              <w:pStyle w:val="ListParagraph"/>
              <w:numPr>
                <w:ilvl w:val="0"/>
                <w:numId w:val="27"/>
              </w:numPr>
              <w:spacing w:before="40" w:after="40"/>
            </w:pPr>
            <w:r w:rsidRPr="004F18B6">
              <w:t>WA Museum, Geraldton</w:t>
            </w:r>
          </w:p>
        </w:tc>
        <w:tc>
          <w:tcPr>
            <w:tcW w:w="4868" w:type="dxa"/>
          </w:tcPr>
          <w:p w14:paraId="68995530" w14:textId="77777777" w:rsidR="00362900" w:rsidRPr="004F18B6" w:rsidRDefault="00362900" w:rsidP="008654E9">
            <w:pPr>
              <w:pStyle w:val="ListParagraph"/>
              <w:numPr>
                <w:ilvl w:val="0"/>
                <w:numId w:val="27"/>
              </w:numPr>
              <w:spacing w:before="40" w:after="40"/>
              <w:ind w:left="601"/>
            </w:pPr>
            <w:r w:rsidRPr="004F18B6">
              <w:t>WA Museum, Kalgoorlie</w:t>
            </w:r>
          </w:p>
        </w:tc>
      </w:tr>
      <w:tr w:rsidR="00362900" w14:paraId="2616A544" w14:textId="77777777" w:rsidTr="008654E9">
        <w:tc>
          <w:tcPr>
            <w:tcW w:w="4868" w:type="dxa"/>
          </w:tcPr>
          <w:p w14:paraId="2B45A489" w14:textId="77777777" w:rsidR="00362900" w:rsidRPr="004F18B6" w:rsidRDefault="00362900" w:rsidP="00775567">
            <w:pPr>
              <w:pStyle w:val="ListParagraph"/>
              <w:numPr>
                <w:ilvl w:val="0"/>
                <w:numId w:val="27"/>
              </w:numPr>
              <w:spacing w:before="40" w:after="40"/>
            </w:pPr>
            <w:r w:rsidRPr="004F18B6">
              <w:t>WA Museum Maritime Museum</w:t>
            </w:r>
          </w:p>
        </w:tc>
        <w:tc>
          <w:tcPr>
            <w:tcW w:w="4868" w:type="dxa"/>
          </w:tcPr>
          <w:p w14:paraId="29C5D8B0" w14:textId="77777777" w:rsidR="00362900" w:rsidRPr="004F18B6" w:rsidRDefault="00362900" w:rsidP="008654E9">
            <w:pPr>
              <w:pStyle w:val="ListParagraph"/>
              <w:numPr>
                <w:ilvl w:val="0"/>
                <w:numId w:val="27"/>
              </w:numPr>
              <w:spacing w:before="40" w:after="40"/>
              <w:ind w:left="601"/>
            </w:pPr>
            <w:r w:rsidRPr="004F18B6">
              <w:t xml:space="preserve">New WA Museum (opening </w:t>
            </w:r>
            <w:r>
              <w:t xml:space="preserve">in </w:t>
            </w:r>
            <w:r w:rsidRPr="004F18B6">
              <w:t>2020)</w:t>
            </w:r>
          </w:p>
        </w:tc>
      </w:tr>
      <w:tr w:rsidR="00362900" w14:paraId="03BEDAA1" w14:textId="77777777" w:rsidTr="008654E9">
        <w:tc>
          <w:tcPr>
            <w:tcW w:w="4868" w:type="dxa"/>
          </w:tcPr>
          <w:p w14:paraId="4DCEE690" w14:textId="77777777" w:rsidR="00362900" w:rsidRPr="004F18B6" w:rsidRDefault="00362900" w:rsidP="00775567">
            <w:pPr>
              <w:pStyle w:val="ListParagraph"/>
              <w:numPr>
                <w:ilvl w:val="0"/>
                <w:numId w:val="27"/>
              </w:numPr>
              <w:spacing w:before="40" w:after="40"/>
            </w:pPr>
            <w:r w:rsidRPr="004F18B6">
              <w:t>WA Museum Gwoonwardu Mia (scheduled</w:t>
            </w:r>
            <w:r>
              <w:t xml:space="preserve"> to reopen in </w:t>
            </w:r>
            <w:r w:rsidRPr="004F18B6">
              <w:t>2019/2020)</w:t>
            </w:r>
          </w:p>
        </w:tc>
        <w:tc>
          <w:tcPr>
            <w:tcW w:w="4868" w:type="dxa"/>
          </w:tcPr>
          <w:p w14:paraId="156FF962" w14:textId="77777777" w:rsidR="00362900" w:rsidRPr="004F18B6" w:rsidRDefault="00362900" w:rsidP="008654E9">
            <w:pPr>
              <w:pStyle w:val="ListParagraph"/>
              <w:numPr>
                <w:ilvl w:val="0"/>
                <w:numId w:val="27"/>
              </w:numPr>
              <w:spacing w:before="40" w:after="40"/>
              <w:ind w:left="601"/>
            </w:pPr>
            <w:r w:rsidRPr="004F18B6">
              <w:t>WA Museum Shipwreck Galleries</w:t>
            </w:r>
          </w:p>
        </w:tc>
      </w:tr>
    </w:tbl>
    <w:p w14:paraId="4BD6048A" w14:textId="77777777" w:rsidR="00D15D12" w:rsidRPr="002F20FB" w:rsidRDefault="00F707C7" w:rsidP="00775567">
      <w:pPr>
        <w:pStyle w:val="Heading2"/>
        <w:spacing w:before="360"/>
      </w:pPr>
      <w:bookmarkStart w:id="32" w:name="_Toc9443104"/>
      <w:r>
        <w:t xml:space="preserve">Departmental </w:t>
      </w:r>
      <w:r w:rsidR="00E471DF">
        <w:t>offices</w:t>
      </w:r>
      <w:bookmarkEnd w:id="32"/>
    </w:p>
    <w:p w14:paraId="6C7908DB" w14:textId="77777777" w:rsidR="00D15D12" w:rsidRPr="00CB18F1" w:rsidRDefault="00D15D12" w:rsidP="00F43E61">
      <w:pPr>
        <w:spacing w:after="120"/>
      </w:pPr>
      <w:r w:rsidRPr="00CB18F1">
        <w:t xml:space="preserve">The </w:t>
      </w:r>
      <w:r>
        <w:t>d</w:t>
      </w:r>
      <w:r w:rsidRPr="00CB18F1">
        <w:t xml:space="preserve">epartment </w:t>
      </w:r>
      <w:r>
        <w:t xml:space="preserve">has offices </w:t>
      </w:r>
      <w:r w:rsidR="00647688">
        <w:t>at</w:t>
      </w:r>
      <w:r w:rsidRPr="00CB18F1">
        <w:t>:</w:t>
      </w:r>
    </w:p>
    <w:p w14:paraId="7A55BAE2" w14:textId="77777777" w:rsidR="00D15D12" w:rsidRPr="00CB18F1" w:rsidRDefault="00D15D12" w:rsidP="00F43E61">
      <w:pPr>
        <w:pStyle w:val="ListParagraph"/>
        <w:numPr>
          <w:ilvl w:val="0"/>
          <w:numId w:val="14"/>
        </w:numPr>
        <w:spacing w:after="120"/>
        <w:ind w:left="357" w:hanging="357"/>
        <w:contextualSpacing w:val="0"/>
      </w:pPr>
      <w:r w:rsidRPr="00CB18F1">
        <w:t>Gordon Stephenson House, 140 William St</w:t>
      </w:r>
      <w:r w:rsidR="00647688">
        <w:t>reet</w:t>
      </w:r>
      <w:r>
        <w:t>, Perth</w:t>
      </w:r>
    </w:p>
    <w:p w14:paraId="45EF5DB9" w14:textId="77777777" w:rsidR="00D15D12" w:rsidRPr="00CB18F1" w:rsidRDefault="00D15D12" w:rsidP="00F43E61">
      <w:pPr>
        <w:pStyle w:val="ListParagraph"/>
        <w:numPr>
          <w:ilvl w:val="0"/>
          <w:numId w:val="14"/>
        </w:numPr>
      </w:pPr>
      <w:r w:rsidRPr="00CB18F1">
        <w:t>246 Vincent Street</w:t>
      </w:r>
      <w:r>
        <w:t>,</w:t>
      </w:r>
      <w:r w:rsidRPr="00CB18F1">
        <w:t xml:space="preserve"> Leederville</w:t>
      </w:r>
    </w:p>
    <w:p w14:paraId="0AEB5229" w14:textId="77777777" w:rsidR="00E25F33" w:rsidRDefault="00E25F33" w:rsidP="00775567">
      <w:pPr>
        <w:pStyle w:val="Heading2"/>
        <w:spacing w:before="360"/>
      </w:pPr>
      <w:bookmarkStart w:id="33" w:name="_Toc9443105"/>
      <w:r>
        <w:t>Public enquiries</w:t>
      </w:r>
      <w:bookmarkEnd w:id="33"/>
    </w:p>
    <w:p w14:paraId="00BB9B1B" w14:textId="77777777" w:rsidR="00647688" w:rsidRDefault="00647688" w:rsidP="00F43E61">
      <w:pPr>
        <w:spacing w:after="120"/>
      </w:pPr>
      <w:r>
        <w:t>The department</w:t>
      </w:r>
      <w:r w:rsidR="00C53E08">
        <w:t xml:space="preserve"> has</w:t>
      </w:r>
      <w:r>
        <w:t xml:space="preserve"> </w:t>
      </w:r>
      <w:r w:rsidR="00C53E08">
        <w:t xml:space="preserve">a </w:t>
      </w:r>
      <w:r>
        <w:t>p</w:t>
      </w:r>
      <w:r w:rsidR="00D15D12" w:rsidRPr="00CB18F1">
        <w:t xml:space="preserve">ublic enquiries counter </w:t>
      </w:r>
      <w:r>
        <w:t>at:</w:t>
      </w:r>
    </w:p>
    <w:p w14:paraId="383A14BB" w14:textId="77777777" w:rsidR="00CB18F1" w:rsidRDefault="00647688" w:rsidP="00F43E61">
      <w:pPr>
        <w:pStyle w:val="ListParagraph"/>
        <w:numPr>
          <w:ilvl w:val="0"/>
          <w:numId w:val="14"/>
        </w:numPr>
      </w:pPr>
      <w:r>
        <w:t>L</w:t>
      </w:r>
      <w:r w:rsidR="00D15D12" w:rsidRPr="00CB18F1">
        <w:t>evel 2</w:t>
      </w:r>
      <w:r>
        <w:t xml:space="preserve">, </w:t>
      </w:r>
      <w:r w:rsidR="00D15D12" w:rsidRPr="00CB18F1">
        <w:t>Gordon Stephenson House, 140 William St</w:t>
      </w:r>
      <w:r w:rsidR="00D15D12">
        <w:t>reet</w:t>
      </w:r>
      <w:r>
        <w:t>,</w:t>
      </w:r>
      <w:r w:rsidR="00D15D12">
        <w:t xml:space="preserve"> Perth</w:t>
      </w:r>
    </w:p>
    <w:sectPr w:rsidR="00CB18F1" w:rsidSect="006B7212">
      <w:pgSz w:w="11906" w:h="16838"/>
      <w:pgMar w:top="1135" w:right="1080" w:bottom="1134" w:left="1080" w:header="708" w:footer="3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EF65F0" w14:textId="77777777" w:rsidR="00AD4C95" w:rsidRDefault="00AD4C95" w:rsidP="004F18B6">
      <w:r>
        <w:separator/>
      </w:r>
    </w:p>
  </w:endnote>
  <w:endnote w:type="continuationSeparator" w:id="0">
    <w:p w14:paraId="1D93F808" w14:textId="77777777" w:rsidR="00AD4C95" w:rsidRDefault="00AD4C95" w:rsidP="004F1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Univers 55">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BF049" w14:textId="77777777" w:rsidR="00AF69E1" w:rsidRDefault="00AF69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1050358"/>
      <w:docPartObj>
        <w:docPartGallery w:val="Page Numbers (Bottom of Page)"/>
        <w:docPartUnique/>
      </w:docPartObj>
    </w:sdtPr>
    <w:sdtEndPr>
      <w:rPr>
        <w:noProof/>
      </w:rPr>
    </w:sdtEndPr>
    <w:sdtContent>
      <w:p w14:paraId="50C5A1DC" w14:textId="77777777" w:rsidR="00635536" w:rsidRDefault="00635536" w:rsidP="00F43E61">
        <w:pPr>
          <w:pStyle w:val="Footer"/>
        </w:pPr>
        <w:r w:rsidRPr="00740CC5">
          <w:fldChar w:fldCharType="begin"/>
        </w:r>
        <w:r w:rsidRPr="00740CC5">
          <w:instrText xml:space="preserve"> PAGE   \* MERGEFORMAT </w:instrText>
        </w:r>
        <w:r w:rsidRPr="00740CC5">
          <w:fldChar w:fldCharType="separate"/>
        </w:r>
        <w:r w:rsidRPr="00740CC5">
          <w:rPr>
            <w:noProof/>
          </w:rPr>
          <w:t>2</w:t>
        </w:r>
        <w:r w:rsidRPr="00740CC5">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5AA5A" w14:textId="77777777" w:rsidR="00635536" w:rsidRDefault="0063553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40304" w14:textId="77777777" w:rsidR="00AF69E1" w:rsidRDefault="00AF69E1" w:rsidP="00F43E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9960766"/>
      <w:docPartObj>
        <w:docPartGallery w:val="Page Numbers (Bottom of Page)"/>
        <w:docPartUnique/>
      </w:docPartObj>
    </w:sdtPr>
    <w:sdtEndPr>
      <w:rPr>
        <w:noProof/>
      </w:rPr>
    </w:sdtEndPr>
    <w:sdtContent>
      <w:p w14:paraId="4628E9C6" w14:textId="77777777" w:rsidR="00AF69E1" w:rsidRDefault="00AF69E1" w:rsidP="00F43E61">
        <w:pPr>
          <w:pStyle w:val="Footer"/>
        </w:pPr>
        <w:r w:rsidRPr="00740CC5">
          <w:fldChar w:fldCharType="begin"/>
        </w:r>
        <w:r w:rsidRPr="00740CC5">
          <w:instrText xml:space="preserve"> PAGE   \* MERGEFORMAT </w:instrText>
        </w:r>
        <w:r w:rsidRPr="00740CC5">
          <w:fldChar w:fldCharType="separate"/>
        </w:r>
        <w:r w:rsidRPr="00740CC5">
          <w:rPr>
            <w:noProof/>
          </w:rPr>
          <w:t>2</w:t>
        </w:r>
        <w:r w:rsidRPr="00740CC5">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5ABF94" w14:textId="77777777" w:rsidR="00AD4C95" w:rsidRDefault="00AD4C95" w:rsidP="004F18B6">
      <w:r>
        <w:separator/>
      </w:r>
    </w:p>
  </w:footnote>
  <w:footnote w:type="continuationSeparator" w:id="0">
    <w:p w14:paraId="31080F89" w14:textId="77777777" w:rsidR="00AD4C95" w:rsidRDefault="00AD4C95" w:rsidP="004F18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771D9" w14:textId="60BE1113" w:rsidR="00AF69E1" w:rsidRDefault="00AF69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9FAC7" w14:textId="76A1F624" w:rsidR="00635536" w:rsidRDefault="00635536" w:rsidP="006355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F2CAB" w14:textId="39DCA54B" w:rsidR="00635536" w:rsidRDefault="0063553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24211" w14:textId="6E1C2C6F" w:rsidR="00AF69E1" w:rsidRDefault="00AF69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6F209" w14:textId="49E196CF" w:rsidR="00AF69E1" w:rsidRDefault="00AF69E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77C8F" w14:textId="3E6CC707" w:rsidR="00AF69E1" w:rsidRDefault="00AF69E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B54D0" w14:textId="75681521" w:rsidR="00AF69E1" w:rsidRDefault="00AF69E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B4AAD" w14:textId="34FF8781" w:rsidR="00AF69E1" w:rsidRDefault="00AF69E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2DDB0" w14:textId="6E636008" w:rsidR="00AF69E1" w:rsidRDefault="00AF69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6441FF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CC13E2"/>
    <w:multiLevelType w:val="multilevel"/>
    <w:tmpl w:val="E0A493C6"/>
    <w:lvl w:ilvl="0">
      <w:start w:val="6"/>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2" w15:restartNumberingAfterBreak="0">
    <w:nsid w:val="0AD947CA"/>
    <w:multiLevelType w:val="hybridMultilevel"/>
    <w:tmpl w:val="B98254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D994C0C"/>
    <w:multiLevelType w:val="multilevel"/>
    <w:tmpl w:val="82BCE684"/>
    <w:lvl w:ilvl="0">
      <w:start w:val="1"/>
      <w:numFmt w:val="decimal"/>
      <w:lvlText w:val="%1."/>
      <w:lvlJc w:val="left"/>
      <w:pPr>
        <w:ind w:left="360" w:hanging="360"/>
      </w:pPr>
      <w:rPr>
        <w:rFonts w:hint="default"/>
        <w:b w:val="0"/>
        <w:i w:val="0"/>
        <w:color w:val="005496"/>
        <w:sz w:val="24"/>
        <w:szCs w:val="24"/>
      </w:rPr>
    </w:lvl>
    <w:lvl w:ilvl="1">
      <w:start w:val="1"/>
      <w:numFmt w:val="decimal"/>
      <w:lvlText w:val="%1.%2."/>
      <w:lvlJc w:val="left"/>
      <w:pPr>
        <w:ind w:left="792" w:hanging="432"/>
      </w:pPr>
      <w:rPr>
        <w:rFonts w:hint="default"/>
        <w:b/>
        <w:i w:val="0"/>
        <w:color w:val="4472C4" w:themeColor="accent1"/>
        <w:sz w:val="26"/>
        <w:szCs w:val="26"/>
        <w:vertAlign w:val="baseline"/>
      </w:rPr>
    </w:lvl>
    <w:lvl w:ilvl="2">
      <w:start w:val="1"/>
      <w:numFmt w:val="decimal"/>
      <w:lvlText w:val="%1.%2.%3."/>
      <w:lvlJc w:val="left"/>
      <w:pPr>
        <w:ind w:left="1224" w:hanging="504"/>
      </w:pPr>
      <w:rPr>
        <w:rFonts w:hint="default"/>
        <w:b/>
        <w:i w:val="0"/>
        <w:color w:val="70AD47" w:themeColor="accent6"/>
        <w:sz w:val="16"/>
      </w:rPr>
    </w:lvl>
    <w:lvl w:ilvl="3">
      <w:start w:val="1"/>
      <w:numFmt w:val="decimal"/>
      <w:lvlText w:val="%1.%2.%3.%4."/>
      <w:lvlJc w:val="left"/>
      <w:pPr>
        <w:ind w:left="1728" w:hanging="648"/>
      </w:pPr>
      <w:rPr>
        <w:rFonts w:hint="default"/>
        <w:color w:val="auto"/>
        <w:sz w:val="22"/>
      </w:rPr>
    </w:lvl>
    <w:lvl w:ilvl="4">
      <w:start w:val="1"/>
      <w:numFmt w:val="decimal"/>
      <w:lvlText w:val="%1.%2.%3.%4.%5."/>
      <w:lvlJc w:val="left"/>
      <w:pPr>
        <w:ind w:left="2232" w:hanging="792"/>
      </w:pPr>
      <w:rPr>
        <w:rFonts w:hint="default"/>
        <w:b w:val="0"/>
        <w:i w:val="0"/>
        <w:strike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A97C26"/>
    <w:multiLevelType w:val="multilevel"/>
    <w:tmpl w:val="14D6C0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5144521"/>
    <w:multiLevelType w:val="multilevel"/>
    <w:tmpl w:val="81CE4BE0"/>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17E54E77"/>
    <w:multiLevelType w:val="multilevel"/>
    <w:tmpl w:val="559258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1C535AB"/>
    <w:multiLevelType w:val="hybridMultilevel"/>
    <w:tmpl w:val="5CE8B2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4882B11"/>
    <w:multiLevelType w:val="hybridMultilevel"/>
    <w:tmpl w:val="E424C82C"/>
    <w:lvl w:ilvl="0" w:tplc="4E14DA32">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AE12C28"/>
    <w:multiLevelType w:val="hybridMultilevel"/>
    <w:tmpl w:val="89D2C632"/>
    <w:lvl w:ilvl="0" w:tplc="4E14DA32">
      <w:start w:val="1"/>
      <w:numFmt w:val="bullet"/>
      <w:lvlText w:val=""/>
      <w:lvlJc w:val="left"/>
      <w:pPr>
        <w:ind w:left="720" w:hanging="360"/>
      </w:pPr>
      <w:rPr>
        <w:rFonts w:ascii="Symbol" w:hAnsi="Symbol" w:hint="default"/>
      </w:rPr>
    </w:lvl>
    <w:lvl w:ilvl="1" w:tplc="4E14DA32">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D6C35E6"/>
    <w:multiLevelType w:val="multilevel"/>
    <w:tmpl w:val="E0C68950"/>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2B808B9"/>
    <w:multiLevelType w:val="hybridMultilevel"/>
    <w:tmpl w:val="C1E275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8571FE6"/>
    <w:multiLevelType w:val="hybridMultilevel"/>
    <w:tmpl w:val="C986C2F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43640A77"/>
    <w:multiLevelType w:val="multilevel"/>
    <w:tmpl w:val="5A9EF826"/>
    <w:lvl w:ilvl="0">
      <w:start w:val="7"/>
      <w:numFmt w:val="decimal"/>
      <w:lvlText w:val="%1"/>
      <w:lvlJc w:val="left"/>
      <w:pPr>
        <w:ind w:left="360" w:hanging="360"/>
      </w:pPr>
      <w:rPr>
        <w:rFonts w:hint="default"/>
        <w:b w:val="0"/>
        <w:sz w:val="22"/>
      </w:rPr>
    </w:lvl>
    <w:lvl w:ilvl="1">
      <w:start w:val="1"/>
      <w:numFmt w:val="decimal"/>
      <w:lvlText w:val="%1.%2"/>
      <w:lvlJc w:val="left"/>
      <w:pPr>
        <w:ind w:left="360" w:hanging="360"/>
      </w:pPr>
      <w:rPr>
        <w:rFonts w:hint="default"/>
        <w:b w:val="0"/>
        <w:sz w:val="24"/>
        <w:szCs w:val="24"/>
      </w:rPr>
    </w:lvl>
    <w:lvl w:ilvl="2">
      <w:start w:val="1"/>
      <w:numFmt w:val="decimal"/>
      <w:lvlText w:val="%1.%2.%3"/>
      <w:lvlJc w:val="left"/>
      <w:pPr>
        <w:ind w:left="1440" w:hanging="720"/>
      </w:pPr>
      <w:rPr>
        <w:rFonts w:hint="default"/>
        <w:b w:val="0"/>
        <w:sz w:val="22"/>
      </w:rPr>
    </w:lvl>
    <w:lvl w:ilvl="3">
      <w:start w:val="1"/>
      <w:numFmt w:val="decimal"/>
      <w:lvlText w:val="%1.%2.%3.%4"/>
      <w:lvlJc w:val="left"/>
      <w:pPr>
        <w:ind w:left="2160" w:hanging="1080"/>
      </w:pPr>
      <w:rPr>
        <w:rFonts w:hint="default"/>
        <w:b w:val="0"/>
        <w:sz w:val="22"/>
      </w:rPr>
    </w:lvl>
    <w:lvl w:ilvl="4">
      <w:start w:val="1"/>
      <w:numFmt w:val="decimal"/>
      <w:lvlText w:val="%1.%2.%3.%4.%5"/>
      <w:lvlJc w:val="left"/>
      <w:pPr>
        <w:ind w:left="2520" w:hanging="1080"/>
      </w:pPr>
      <w:rPr>
        <w:rFonts w:hint="default"/>
        <w:b w:val="0"/>
        <w:sz w:val="22"/>
      </w:rPr>
    </w:lvl>
    <w:lvl w:ilvl="5">
      <w:start w:val="1"/>
      <w:numFmt w:val="decimal"/>
      <w:lvlText w:val="%1.%2.%3.%4.%5.%6"/>
      <w:lvlJc w:val="left"/>
      <w:pPr>
        <w:ind w:left="3240" w:hanging="1440"/>
      </w:pPr>
      <w:rPr>
        <w:rFonts w:hint="default"/>
        <w:b w:val="0"/>
        <w:sz w:val="22"/>
      </w:rPr>
    </w:lvl>
    <w:lvl w:ilvl="6">
      <w:start w:val="1"/>
      <w:numFmt w:val="decimal"/>
      <w:lvlText w:val="%1.%2.%3.%4.%5.%6.%7"/>
      <w:lvlJc w:val="left"/>
      <w:pPr>
        <w:ind w:left="3600" w:hanging="1440"/>
      </w:pPr>
      <w:rPr>
        <w:rFonts w:hint="default"/>
        <w:b w:val="0"/>
        <w:sz w:val="22"/>
      </w:rPr>
    </w:lvl>
    <w:lvl w:ilvl="7">
      <w:start w:val="1"/>
      <w:numFmt w:val="decimal"/>
      <w:lvlText w:val="%1.%2.%3.%4.%5.%6.%7.%8"/>
      <w:lvlJc w:val="left"/>
      <w:pPr>
        <w:ind w:left="4320" w:hanging="1800"/>
      </w:pPr>
      <w:rPr>
        <w:rFonts w:hint="default"/>
        <w:b w:val="0"/>
        <w:sz w:val="22"/>
      </w:rPr>
    </w:lvl>
    <w:lvl w:ilvl="8">
      <w:start w:val="1"/>
      <w:numFmt w:val="decimal"/>
      <w:lvlText w:val="%1.%2.%3.%4.%5.%6.%7.%8.%9"/>
      <w:lvlJc w:val="left"/>
      <w:pPr>
        <w:ind w:left="4680" w:hanging="1800"/>
      </w:pPr>
      <w:rPr>
        <w:rFonts w:hint="default"/>
        <w:b w:val="0"/>
        <w:sz w:val="22"/>
      </w:rPr>
    </w:lvl>
  </w:abstractNum>
  <w:abstractNum w:abstractNumId="14" w15:restartNumberingAfterBreak="0">
    <w:nsid w:val="505B094F"/>
    <w:multiLevelType w:val="multilevel"/>
    <w:tmpl w:val="AA8418C0"/>
    <w:lvl w:ilvl="0">
      <w:start w:val="6"/>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512258B2"/>
    <w:multiLevelType w:val="hybridMultilevel"/>
    <w:tmpl w:val="F392AF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14930A6"/>
    <w:multiLevelType w:val="hybridMultilevel"/>
    <w:tmpl w:val="2A068C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21C5380"/>
    <w:multiLevelType w:val="hybridMultilevel"/>
    <w:tmpl w:val="4D88E4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9A2557A"/>
    <w:multiLevelType w:val="hybridMultilevel"/>
    <w:tmpl w:val="E8EEA2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A083CC6"/>
    <w:multiLevelType w:val="hybridMultilevel"/>
    <w:tmpl w:val="7390D2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41E304D"/>
    <w:multiLevelType w:val="hybridMultilevel"/>
    <w:tmpl w:val="4F363BD0"/>
    <w:lvl w:ilvl="0" w:tplc="0C090001">
      <w:start w:val="1"/>
      <w:numFmt w:val="bullet"/>
      <w:lvlText w:val=""/>
      <w:lvlJc w:val="left"/>
      <w:pPr>
        <w:ind w:left="720" w:hanging="360"/>
      </w:pPr>
      <w:rPr>
        <w:rFonts w:ascii="Symbol" w:hAnsi="Symbol" w:hint="default"/>
      </w:rPr>
    </w:lvl>
    <w:lvl w:ilvl="1" w:tplc="4E14DA32">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5232B3E"/>
    <w:multiLevelType w:val="hybridMultilevel"/>
    <w:tmpl w:val="2E68C30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8B70525"/>
    <w:multiLevelType w:val="multilevel"/>
    <w:tmpl w:val="030E8C9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AE52E92"/>
    <w:multiLevelType w:val="multilevel"/>
    <w:tmpl w:val="11E257F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6AEB7A48"/>
    <w:multiLevelType w:val="multilevel"/>
    <w:tmpl w:val="14D6C0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C280128"/>
    <w:multiLevelType w:val="multilevel"/>
    <w:tmpl w:val="14D6C0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69B6209"/>
    <w:multiLevelType w:val="hybridMultilevel"/>
    <w:tmpl w:val="8A4603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7"/>
  </w:num>
  <w:num w:numId="2">
    <w:abstractNumId w:val="23"/>
  </w:num>
  <w:num w:numId="3">
    <w:abstractNumId w:val="18"/>
  </w:num>
  <w:num w:numId="4">
    <w:abstractNumId w:val="16"/>
  </w:num>
  <w:num w:numId="5">
    <w:abstractNumId w:val="3"/>
  </w:num>
  <w:num w:numId="6">
    <w:abstractNumId w:val="4"/>
  </w:num>
  <w:num w:numId="7">
    <w:abstractNumId w:val="24"/>
  </w:num>
  <w:num w:numId="8">
    <w:abstractNumId w:val="6"/>
  </w:num>
  <w:num w:numId="9">
    <w:abstractNumId w:val="25"/>
  </w:num>
  <w:num w:numId="10">
    <w:abstractNumId w:val="5"/>
  </w:num>
  <w:num w:numId="11">
    <w:abstractNumId w:val="10"/>
  </w:num>
  <w:num w:numId="12">
    <w:abstractNumId w:val="13"/>
  </w:num>
  <w:num w:numId="13">
    <w:abstractNumId w:val="11"/>
  </w:num>
  <w:num w:numId="14">
    <w:abstractNumId w:val="17"/>
  </w:num>
  <w:num w:numId="15">
    <w:abstractNumId w:val="26"/>
  </w:num>
  <w:num w:numId="16">
    <w:abstractNumId w:val="21"/>
  </w:num>
  <w:num w:numId="17">
    <w:abstractNumId w:val="15"/>
  </w:num>
  <w:num w:numId="18">
    <w:abstractNumId w:val="19"/>
  </w:num>
  <w:num w:numId="19">
    <w:abstractNumId w:val="0"/>
  </w:num>
  <w:num w:numId="20">
    <w:abstractNumId w:val="14"/>
  </w:num>
  <w:num w:numId="21">
    <w:abstractNumId w:val="1"/>
  </w:num>
  <w:num w:numId="22">
    <w:abstractNumId w:val="22"/>
  </w:num>
  <w:num w:numId="23">
    <w:abstractNumId w:val="2"/>
  </w:num>
  <w:num w:numId="24">
    <w:abstractNumId w:val="20"/>
  </w:num>
  <w:num w:numId="25">
    <w:abstractNumId w:val="9"/>
  </w:num>
  <w:num w:numId="26">
    <w:abstractNumId w:val="12"/>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777"/>
    <w:rsid w:val="000057B0"/>
    <w:rsid w:val="00016197"/>
    <w:rsid w:val="0003578C"/>
    <w:rsid w:val="00061939"/>
    <w:rsid w:val="0007446F"/>
    <w:rsid w:val="00075EB6"/>
    <w:rsid w:val="00077EC8"/>
    <w:rsid w:val="000C4182"/>
    <w:rsid w:val="000F2CF6"/>
    <w:rsid w:val="00130AED"/>
    <w:rsid w:val="001A55B0"/>
    <w:rsid w:val="001B319F"/>
    <w:rsid w:val="001B35DA"/>
    <w:rsid w:val="001C1BC5"/>
    <w:rsid w:val="001D278A"/>
    <w:rsid w:val="001D3F98"/>
    <w:rsid w:val="001E00F5"/>
    <w:rsid w:val="001F567E"/>
    <w:rsid w:val="002000C3"/>
    <w:rsid w:val="00250A2F"/>
    <w:rsid w:val="00261EEA"/>
    <w:rsid w:val="002B62E1"/>
    <w:rsid w:val="002D2249"/>
    <w:rsid w:val="002D7D8A"/>
    <w:rsid w:val="002E7BC3"/>
    <w:rsid w:val="002F20FB"/>
    <w:rsid w:val="003277A1"/>
    <w:rsid w:val="00333B2D"/>
    <w:rsid w:val="00361F08"/>
    <w:rsid w:val="00362900"/>
    <w:rsid w:val="00366C25"/>
    <w:rsid w:val="003A6CFA"/>
    <w:rsid w:val="003C5C91"/>
    <w:rsid w:val="003D1831"/>
    <w:rsid w:val="003E4BD3"/>
    <w:rsid w:val="003E5C41"/>
    <w:rsid w:val="003F0C78"/>
    <w:rsid w:val="004074CA"/>
    <w:rsid w:val="00411C61"/>
    <w:rsid w:val="00412BBE"/>
    <w:rsid w:val="00420C18"/>
    <w:rsid w:val="004231B6"/>
    <w:rsid w:val="00435733"/>
    <w:rsid w:val="00435EDC"/>
    <w:rsid w:val="00452A6B"/>
    <w:rsid w:val="00460D50"/>
    <w:rsid w:val="004638AF"/>
    <w:rsid w:val="00472D32"/>
    <w:rsid w:val="00494296"/>
    <w:rsid w:val="004A6236"/>
    <w:rsid w:val="004B5537"/>
    <w:rsid w:val="004D6099"/>
    <w:rsid w:val="004F18B6"/>
    <w:rsid w:val="00542FC3"/>
    <w:rsid w:val="00561379"/>
    <w:rsid w:val="005728F3"/>
    <w:rsid w:val="00581778"/>
    <w:rsid w:val="005D3CD9"/>
    <w:rsid w:val="005D463A"/>
    <w:rsid w:val="006119D5"/>
    <w:rsid w:val="0062528F"/>
    <w:rsid w:val="00633855"/>
    <w:rsid w:val="00635536"/>
    <w:rsid w:val="00647688"/>
    <w:rsid w:val="006616F9"/>
    <w:rsid w:val="006B7212"/>
    <w:rsid w:val="006D4504"/>
    <w:rsid w:val="006F344A"/>
    <w:rsid w:val="00702476"/>
    <w:rsid w:val="00717D25"/>
    <w:rsid w:val="00723148"/>
    <w:rsid w:val="00740CC5"/>
    <w:rsid w:val="007479AF"/>
    <w:rsid w:val="00751B99"/>
    <w:rsid w:val="00761758"/>
    <w:rsid w:val="00775567"/>
    <w:rsid w:val="007764E0"/>
    <w:rsid w:val="00777A6D"/>
    <w:rsid w:val="00781011"/>
    <w:rsid w:val="0078565F"/>
    <w:rsid w:val="007869ED"/>
    <w:rsid w:val="007B24D8"/>
    <w:rsid w:val="008435A3"/>
    <w:rsid w:val="00854FCA"/>
    <w:rsid w:val="008642AD"/>
    <w:rsid w:val="00891A0C"/>
    <w:rsid w:val="00892C3E"/>
    <w:rsid w:val="008B14D0"/>
    <w:rsid w:val="008E3030"/>
    <w:rsid w:val="008F7DEA"/>
    <w:rsid w:val="00915152"/>
    <w:rsid w:val="00922926"/>
    <w:rsid w:val="00956837"/>
    <w:rsid w:val="00966872"/>
    <w:rsid w:val="00991697"/>
    <w:rsid w:val="009F203F"/>
    <w:rsid w:val="00A210C9"/>
    <w:rsid w:val="00A44245"/>
    <w:rsid w:val="00A63B6B"/>
    <w:rsid w:val="00AC592B"/>
    <w:rsid w:val="00AD09A1"/>
    <w:rsid w:val="00AD46DF"/>
    <w:rsid w:val="00AD4C95"/>
    <w:rsid w:val="00AF009B"/>
    <w:rsid w:val="00AF55E8"/>
    <w:rsid w:val="00AF69E1"/>
    <w:rsid w:val="00B00D2C"/>
    <w:rsid w:val="00B065C0"/>
    <w:rsid w:val="00B25B2C"/>
    <w:rsid w:val="00B32DB3"/>
    <w:rsid w:val="00B401E0"/>
    <w:rsid w:val="00B71211"/>
    <w:rsid w:val="00B76443"/>
    <w:rsid w:val="00B82126"/>
    <w:rsid w:val="00B94383"/>
    <w:rsid w:val="00BF4B72"/>
    <w:rsid w:val="00C15F8E"/>
    <w:rsid w:val="00C231B8"/>
    <w:rsid w:val="00C243F1"/>
    <w:rsid w:val="00C26664"/>
    <w:rsid w:val="00C4167A"/>
    <w:rsid w:val="00C50E3D"/>
    <w:rsid w:val="00C53E08"/>
    <w:rsid w:val="00C8282E"/>
    <w:rsid w:val="00C973EB"/>
    <w:rsid w:val="00CA4D02"/>
    <w:rsid w:val="00CB18F1"/>
    <w:rsid w:val="00CB2BDF"/>
    <w:rsid w:val="00CB537C"/>
    <w:rsid w:val="00CC3CE7"/>
    <w:rsid w:val="00CD7702"/>
    <w:rsid w:val="00D15D12"/>
    <w:rsid w:val="00D16E77"/>
    <w:rsid w:val="00D469A3"/>
    <w:rsid w:val="00D633A8"/>
    <w:rsid w:val="00D84502"/>
    <w:rsid w:val="00D85DF5"/>
    <w:rsid w:val="00DB579F"/>
    <w:rsid w:val="00DB64F0"/>
    <w:rsid w:val="00DC765B"/>
    <w:rsid w:val="00DD4C06"/>
    <w:rsid w:val="00DD4F7F"/>
    <w:rsid w:val="00DF2F1C"/>
    <w:rsid w:val="00E0230B"/>
    <w:rsid w:val="00E06ABE"/>
    <w:rsid w:val="00E25F33"/>
    <w:rsid w:val="00E348A7"/>
    <w:rsid w:val="00E413EA"/>
    <w:rsid w:val="00E471DF"/>
    <w:rsid w:val="00E517D2"/>
    <w:rsid w:val="00E6447E"/>
    <w:rsid w:val="00E651CE"/>
    <w:rsid w:val="00EA4777"/>
    <w:rsid w:val="00EC541E"/>
    <w:rsid w:val="00ED6FA9"/>
    <w:rsid w:val="00EE715F"/>
    <w:rsid w:val="00F0009E"/>
    <w:rsid w:val="00F0208A"/>
    <w:rsid w:val="00F03B26"/>
    <w:rsid w:val="00F06336"/>
    <w:rsid w:val="00F14577"/>
    <w:rsid w:val="00F435B0"/>
    <w:rsid w:val="00F43E61"/>
    <w:rsid w:val="00F707C7"/>
    <w:rsid w:val="00F77618"/>
    <w:rsid w:val="00F778C1"/>
    <w:rsid w:val="00F81E70"/>
    <w:rsid w:val="00F94427"/>
    <w:rsid w:val="00FB6917"/>
    <w:rsid w:val="00FD4C36"/>
    <w:rsid w:val="00FE4D45"/>
    <w:rsid w:val="00FF508A"/>
    <w:rsid w:val="00FF77AE"/>
    <w:rsid w:val="53929E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7E8B82"/>
  <w15:chartTrackingRefBased/>
  <w15:docId w15:val="{E955500C-CB97-4C1C-9905-2F719D6AB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8B6"/>
    <w:pPr>
      <w:spacing w:before="120" w:after="240" w:line="276" w:lineRule="auto"/>
    </w:pPr>
    <w:rPr>
      <w:rFonts w:ascii="Arial" w:eastAsia="Times New Roman" w:hAnsi="Arial" w:cs="Times New Roman"/>
      <w:color w:val="2D2E2F"/>
      <w:sz w:val="24"/>
      <w:szCs w:val="20"/>
      <w:lang w:eastAsia="en-AU"/>
    </w:rPr>
  </w:style>
  <w:style w:type="paragraph" w:styleId="Heading1">
    <w:name w:val="heading 1"/>
    <w:basedOn w:val="Normal"/>
    <w:next w:val="Normal"/>
    <w:link w:val="Heading1Char"/>
    <w:uiPriority w:val="9"/>
    <w:qFormat/>
    <w:rsid w:val="004231B6"/>
    <w:pPr>
      <w:keepNext/>
      <w:keepLines/>
      <w:spacing w:before="360"/>
      <w:outlineLvl w:val="0"/>
    </w:pPr>
    <w:rPr>
      <w:rFonts w:ascii="Century Gothic" w:eastAsiaTheme="majorEastAsia" w:hAnsi="Century Gothic" w:cstheme="majorBidi"/>
      <w:color w:val="36384C"/>
      <w:sz w:val="36"/>
      <w:szCs w:val="32"/>
    </w:rPr>
  </w:style>
  <w:style w:type="paragraph" w:styleId="Heading2">
    <w:name w:val="heading 2"/>
    <w:basedOn w:val="Normal"/>
    <w:next w:val="Normal"/>
    <w:link w:val="Heading2Char"/>
    <w:unhideWhenUsed/>
    <w:qFormat/>
    <w:rsid w:val="004F18B6"/>
    <w:pPr>
      <w:tabs>
        <w:tab w:val="left" w:pos="709"/>
      </w:tabs>
      <w:spacing w:after="120"/>
      <w:outlineLvl w:val="1"/>
    </w:pPr>
    <w:rPr>
      <w:rFonts w:cs="Arial"/>
      <w:bCs/>
      <w:color w:val="4A8195"/>
      <w:kern w:val="32"/>
      <w:sz w:val="36"/>
      <w:szCs w:val="68"/>
    </w:rPr>
  </w:style>
  <w:style w:type="paragraph" w:styleId="Heading3">
    <w:name w:val="heading 3"/>
    <w:basedOn w:val="Normal"/>
    <w:next w:val="Normal"/>
    <w:link w:val="Heading3Char"/>
    <w:qFormat/>
    <w:rsid w:val="004F18B6"/>
    <w:pPr>
      <w:keepNext/>
      <w:spacing w:before="240"/>
      <w:outlineLvl w:val="2"/>
    </w:pPr>
    <w:rPr>
      <w:rFonts w:cs="Arial"/>
      <w:b/>
      <w:bCs/>
      <w:color w:val="6E6C71"/>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1B6"/>
    <w:rPr>
      <w:rFonts w:ascii="Century Gothic" w:eastAsiaTheme="majorEastAsia" w:hAnsi="Century Gothic" w:cstheme="majorBidi"/>
      <w:color w:val="36384C"/>
      <w:sz w:val="36"/>
      <w:szCs w:val="32"/>
    </w:rPr>
  </w:style>
  <w:style w:type="character" w:customStyle="1" w:styleId="Heading2Char">
    <w:name w:val="Heading 2 Char"/>
    <w:basedOn w:val="DefaultParagraphFont"/>
    <w:link w:val="Heading2"/>
    <w:rsid w:val="004F18B6"/>
    <w:rPr>
      <w:rFonts w:ascii="Arial" w:eastAsia="Times New Roman" w:hAnsi="Arial" w:cs="Arial"/>
      <w:bCs/>
      <w:color w:val="4A8195"/>
      <w:kern w:val="32"/>
      <w:sz w:val="36"/>
      <w:szCs w:val="68"/>
      <w:lang w:eastAsia="en-AU"/>
    </w:rPr>
  </w:style>
  <w:style w:type="paragraph" w:styleId="Title">
    <w:name w:val="Title"/>
    <w:basedOn w:val="Normal"/>
    <w:next w:val="Normal"/>
    <w:link w:val="TitleChar"/>
    <w:uiPriority w:val="10"/>
    <w:qFormat/>
    <w:rsid w:val="00635536"/>
    <w:pPr>
      <w:contextualSpacing/>
    </w:pPr>
    <w:rPr>
      <w:rFonts w:eastAsiaTheme="majorEastAsia" w:cstheme="majorBidi"/>
      <w:color w:val="0C385D"/>
      <w:spacing w:val="5"/>
      <w:kern w:val="28"/>
      <w:sz w:val="52"/>
      <w:szCs w:val="40"/>
    </w:rPr>
  </w:style>
  <w:style w:type="character" w:customStyle="1" w:styleId="TitleChar">
    <w:name w:val="Title Char"/>
    <w:basedOn w:val="DefaultParagraphFont"/>
    <w:link w:val="Title"/>
    <w:uiPriority w:val="10"/>
    <w:rsid w:val="00635536"/>
    <w:rPr>
      <w:rFonts w:ascii="Arial" w:eastAsiaTheme="majorEastAsia" w:hAnsi="Arial" w:cstheme="majorBidi"/>
      <w:color w:val="0C385D"/>
      <w:spacing w:val="5"/>
      <w:kern w:val="28"/>
      <w:sz w:val="52"/>
      <w:szCs w:val="40"/>
      <w:lang w:eastAsia="en-AU"/>
    </w:rPr>
  </w:style>
  <w:style w:type="paragraph" w:styleId="Header">
    <w:name w:val="header"/>
    <w:basedOn w:val="Normal"/>
    <w:link w:val="HeaderChar"/>
    <w:uiPriority w:val="99"/>
    <w:unhideWhenUsed/>
    <w:rsid w:val="00EA4777"/>
    <w:pPr>
      <w:tabs>
        <w:tab w:val="center" w:pos="4513"/>
        <w:tab w:val="right" w:pos="9026"/>
      </w:tabs>
    </w:pPr>
  </w:style>
  <w:style w:type="character" w:customStyle="1" w:styleId="HeaderChar">
    <w:name w:val="Header Char"/>
    <w:basedOn w:val="DefaultParagraphFont"/>
    <w:link w:val="Header"/>
    <w:uiPriority w:val="99"/>
    <w:rsid w:val="00EA4777"/>
    <w:rPr>
      <w:rFonts w:ascii="Arial" w:hAnsi="Arial"/>
      <w:sz w:val="24"/>
    </w:rPr>
  </w:style>
  <w:style w:type="paragraph" w:styleId="Footer">
    <w:name w:val="footer"/>
    <w:basedOn w:val="Normal"/>
    <w:link w:val="FooterChar"/>
    <w:uiPriority w:val="99"/>
    <w:unhideWhenUsed/>
    <w:rsid w:val="00EA4777"/>
    <w:pPr>
      <w:tabs>
        <w:tab w:val="center" w:pos="4513"/>
        <w:tab w:val="right" w:pos="9026"/>
      </w:tabs>
    </w:pPr>
  </w:style>
  <w:style w:type="character" w:customStyle="1" w:styleId="FooterChar">
    <w:name w:val="Footer Char"/>
    <w:basedOn w:val="DefaultParagraphFont"/>
    <w:link w:val="Footer"/>
    <w:uiPriority w:val="99"/>
    <w:rsid w:val="00EA4777"/>
    <w:rPr>
      <w:rFonts w:ascii="Arial" w:hAnsi="Arial"/>
      <w:sz w:val="24"/>
    </w:rPr>
  </w:style>
  <w:style w:type="paragraph" w:styleId="ListParagraph">
    <w:name w:val="List Paragraph"/>
    <w:basedOn w:val="Normal"/>
    <w:link w:val="ListParagraphChar"/>
    <w:uiPriority w:val="34"/>
    <w:qFormat/>
    <w:rsid w:val="005D463A"/>
    <w:pPr>
      <w:ind w:left="720"/>
      <w:contextualSpacing/>
    </w:pPr>
  </w:style>
  <w:style w:type="character" w:styleId="Hyperlink">
    <w:name w:val="Hyperlink"/>
    <w:basedOn w:val="DefaultParagraphFont"/>
    <w:uiPriority w:val="99"/>
    <w:unhideWhenUsed/>
    <w:rsid w:val="005D463A"/>
    <w:rPr>
      <w:color w:val="0563C1" w:themeColor="hyperlink"/>
      <w:u w:val="single"/>
    </w:rPr>
  </w:style>
  <w:style w:type="paragraph" w:styleId="TOCHeading">
    <w:name w:val="TOC Heading"/>
    <w:basedOn w:val="Heading1"/>
    <w:next w:val="Normal"/>
    <w:uiPriority w:val="39"/>
    <w:unhideWhenUsed/>
    <w:qFormat/>
    <w:rsid w:val="00740CC5"/>
    <w:pPr>
      <w:spacing w:before="480"/>
      <w:outlineLvl w:val="9"/>
    </w:pPr>
    <w:rPr>
      <w:rFonts w:asciiTheme="majorHAnsi" w:hAnsiTheme="majorHAnsi"/>
      <w:b/>
      <w:bCs/>
      <w:color w:val="2F5496" w:themeColor="accent1" w:themeShade="BF"/>
      <w:sz w:val="28"/>
      <w:szCs w:val="28"/>
      <w:lang w:val="en-US" w:eastAsia="ja-JP"/>
    </w:rPr>
  </w:style>
  <w:style w:type="paragraph" w:styleId="TOC2">
    <w:name w:val="toc 2"/>
    <w:basedOn w:val="Normal"/>
    <w:next w:val="Normal"/>
    <w:autoRedefine/>
    <w:uiPriority w:val="39"/>
    <w:unhideWhenUsed/>
    <w:qFormat/>
    <w:rsid w:val="00AF69E1"/>
    <w:pPr>
      <w:spacing w:after="100"/>
      <w:ind w:left="220"/>
    </w:pPr>
    <w:rPr>
      <w:rFonts w:eastAsiaTheme="minorEastAsia"/>
      <w:lang w:val="en-US" w:eastAsia="ja-JP"/>
    </w:rPr>
  </w:style>
  <w:style w:type="paragraph" w:styleId="TOC1">
    <w:name w:val="toc 1"/>
    <w:basedOn w:val="Normal"/>
    <w:next w:val="Normal"/>
    <w:autoRedefine/>
    <w:uiPriority w:val="39"/>
    <w:unhideWhenUsed/>
    <w:qFormat/>
    <w:rsid w:val="00AF69E1"/>
    <w:pPr>
      <w:tabs>
        <w:tab w:val="left" w:pos="426"/>
        <w:tab w:val="right" w:leader="dot" w:pos="9016"/>
      </w:tabs>
      <w:spacing w:after="100"/>
    </w:pPr>
    <w:rPr>
      <w:rFonts w:eastAsiaTheme="minorEastAsia"/>
      <w:lang w:val="en-US" w:eastAsia="ja-JP"/>
    </w:rPr>
  </w:style>
  <w:style w:type="character" w:customStyle="1" w:styleId="ListParagraphChar">
    <w:name w:val="List Paragraph Char"/>
    <w:basedOn w:val="DefaultParagraphFont"/>
    <w:link w:val="ListParagraph"/>
    <w:uiPriority w:val="34"/>
    <w:locked/>
    <w:rsid w:val="00740CC5"/>
    <w:rPr>
      <w:rFonts w:ascii="Arial" w:hAnsi="Arial"/>
      <w:sz w:val="24"/>
    </w:rPr>
  </w:style>
  <w:style w:type="character" w:styleId="CommentReference">
    <w:name w:val="annotation reference"/>
    <w:basedOn w:val="DefaultParagraphFont"/>
    <w:uiPriority w:val="99"/>
    <w:semiHidden/>
    <w:unhideWhenUsed/>
    <w:rsid w:val="00740CC5"/>
    <w:rPr>
      <w:sz w:val="16"/>
      <w:szCs w:val="16"/>
    </w:rPr>
  </w:style>
  <w:style w:type="paragraph" w:styleId="CommentText">
    <w:name w:val="annotation text"/>
    <w:basedOn w:val="Normal"/>
    <w:link w:val="CommentTextChar"/>
    <w:uiPriority w:val="99"/>
    <w:unhideWhenUsed/>
    <w:rsid w:val="00740CC5"/>
    <w:pPr>
      <w:spacing w:after="160"/>
    </w:pPr>
    <w:rPr>
      <w:rFonts w:asciiTheme="minorHAnsi" w:hAnsiTheme="minorHAnsi"/>
      <w:sz w:val="20"/>
    </w:rPr>
  </w:style>
  <w:style w:type="character" w:customStyle="1" w:styleId="CommentTextChar">
    <w:name w:val="Comment Text Char"/>
    <w:basedOn w:val="DefaultParagraphFont"/>
    <w:link w:val="CommentText"/>
    <w:uiPriority w:val="99"/>
    <w:rsid w:val="00740CC5"/>
    <w:rPr>
      <w:sz w:val="20"/>
      <w:szCs w:val="20"/>
    </w:rPr>
  </w:style>
  <w:style w:type="paragraph" w:styleId="BalloonText">
    <w:name w:val="Balloon Text"/>
    <w:basedOn w:val="Normal"/>
    <w:link w:val="BalloonTextChar"/>
    <w:uiPriority w:val="99"/>
    <w:semiHidden/>
    <w:unhideWhenUsed/>
    <w:rsid w:val="00740C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CC5"/>
    <w:rPr>
      <w:rFonts w:ascii="Segoe UI" w:hAnsi="Segoe UI" w:cs="Segoe UI"/>
      <w:sz w:val="18"/>
      <w:szCs w:val="18"/>
    </w:rPr>
  </w:style>
  <w:style w:type="paragraph" w:customStyle="1" w:styleId="CM78">
    <w:name w:val="CM78"/>
    <w:basedOn w:val="Normal"/>
    <w:next w:val="Normal"/>
    <w:rsid w:val="00FB6917"/>
    <w:pPr>
      <w:widowControl w:val="0"/>
      <w:autoSpaceDE w:val="0"/>
      <w:autoSpaceDN w:val="0"/>
      <w:adjustRightInd w:val="0"/>
      <w:spacing w:after="170"/>
    </w:pPr>
    <w:rPr>
      <w:rFonts w:ascii="Univers 55" w:hAnsi="Univers 55"/>
      <w:szCs w:val="24"/>
    </w:rPr>
  </w:style>
  <w:style w:type="character" w:styleId="UnresolvedMention">
    <w:name w:val="Unresolved Mention"/>
    <w:basedOn w:val="DefaultParagraphFont"/>
    <w:uiPriority w:val="99"/>
    <w:semiHidden/>
    <w:unhideWhenUsed/>
    <w:rsid w:val="00A44245"/>
    <w:rPr>
      <w:color w:val="605E5C"/>
      <w:shd w:val="clear" w:color="auto" w:fill="E1DFDD"/>
    </w:rPr>
  </w:style>
  <w:style w:type="table" w:styleId="TableGrid">
    <w:name w:val="Table Grid"/>
    <w:basedOn w:val="TableNormal"/>
    <w:uiPriority w:val="39"/>
    <w:rsid w:val="00CB18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78565F"/>
    <w:pPr>
      <w:numPr>
        <w:numId w:val="19"/>
      </w:numPr>
      <w:contextualSpacing/>
    </w:pPr>
  </w:style>
  <w:style w:type="paragraph" w:styleId="CommentSubject">
    <w:name w:val="annotation subject"/>
    <w:basedOn w:val="CommentText"/>
    <w:next w:val="CommentText"/>
    <w:link w:val="CommentSubjectChar"/>
    <w:uiPriority w:val="99"/>
    <w:semiHidden/>
    <w:unhideWhenUsed/>
    <w:rsid w:val="00C26664"/>
    <w:pPr>
      <w:spacing w:after="0"/>
    </w:pPr>
    <w:rPr>
      <w:rFonts w:ascii="Arial" w:hAnsi="Arial"/>
      <w:b/>
      <w:bCs/>
    </w:rPr>
  </w:style>
  <w:style w:type="character" w:customStyle="1" w:styleId="CommentSubjectChar">
    <w:name w:val="Comment Subject Char"/>
    <w:basedOn w:val="CommentTextChar"/>
    <w:link w:val="CommentSubject"/>
    <w:uiPriority w:val="99"/>
    <w:semiHidden/>
    <w:rsid w:val="00C26664"/>
    <w:rPr>
      <w:rFonts w:ascii="Arial" w:hAnsi="Arial"/>
      <w:b/>
      <w:bCs/>
      <w:sz w:val="20"/>
      <w:szCs w:val="20"/>
    </w:rPr>
  </w:style>
  <w:style w:type="character" w:customStyle="1" w:styleId="Heading3Char">
    <w:name w:val="Heading 3 Char"/>
    <w:basedOn w:val="DefaultParagraphFont"/>
    <w:link w:val="Heading3"/>
    <w:rsid w:val="004F18B6"/>
    <w:rPr>
      <w:rFonts w:ascii="Arial" w:eastAsia="Times New Roman" w:hAnsi="Arial" w:cs="Arial"/>
      <w:b/>
      <w:bCs/>
      <w:color w:val="6E6C71"/>
      <w:sz w:val="26"/>
      <w:szCs w:val="28"/>
      <w:lang w:eastAsia="en-AU"/>
    </w:rPr>
  </w:style>
  <w:style w:type="paragraph" w:styleId="TOC3">
    <w:name w:val="toc 3"/>
    <w:basedOn w:val="Normal"/>
    <w:next w:val="Normal"/>
    <w:autoRedefine/>
    <w:uiPriority w:val="39"/>
    <w:unhideWhenUsed/>
    <w:rsid w:val="00635536"/>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yperlink" Target="https://www.dlgsc.wa.gov.au/localgovernment/forcouncils/Pages/LG-Grants-Commission.aspx"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yperlink" Target="https://www.legislation.wa.gov.au/legislation/statutes.nsf/main_mrtitle_551_homepage.html"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dlgsc.wa.gov.au"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mailto:daip@dlgsc.wa.gov.au"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96224-E8AB-4C41-95FC-01059522B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3064</Words>
  <Characters>17467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B</dc:creator>
  <cp:keywords/>
  <dc:description/>
  <cp:lastModifiedBy>Derren Foster</cp:lastModifiedBy>
  <cp:revision>3</cp:revision>
  <cp:lastPrinted>2019-05-28T02:21:00Z</cp:lastPrinted>
  <dcterms:created xsi:type="dcterms:W3CDTF">2019-06-04T06:54:00Z</dcterms:created>
  <dcterms:modified xsi:type="dcterms:W3CDTF">2019-06-04T06:54:00Z</dcterms:modified>
</cp:coreProperties>
</file>