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085D" w14:textId="0C2727F7" w:rsidR="001F5F29" w:rsidRDefault="00873CA6" w:rsidP="00873CA6">
      <w:pPr>
        <w:pStyle w:val="Heading1"/>
        <w:pBdr>
          <w:bottom w:val="single" w:sz="4" w:space="1" w:color="auto"/>
        </w:pBdr>
      </w:pPr>
      <w:r>
        <w:t>CONSULTATION ON OPTIONS TO STRENGTHEN THE BANNED DRINKERS REGISTER TRIAL</w:t>
      </w:r>
    </w:p>
    <w:p w14:paraId="071D50E4" w14:textId="0AB4F26E" w:rsidR="001F5F29" w:rsidRDefault="001F5F29" w:rsidP="00326FA2">
      <w:pPr>
        <w:ind w:firstLine="720"/>
      </w:pPr>
    </w:p>
    <w:p w14:paraId="5AC510E5" w14:textId="5525FE1A" w:rsidR="001F5F29" w:rsidRDefault="001F5F29" w:rsidP="00BA67A7"/>
    <w:p w14:paraId="2D920E47" w14:textId="573A83AC" w:rsidR="001F5F29" w:rsidRDefault="001F5F29" w:rsidP="00BA67A7"/>
    <w:p w14:paraId="7ADA3B11" w14:textId="2118F65C" w:rsidR="001F5F29" w:rsidRDefault="001F5F29" w:rsidP="00BA67A7"/>
    <w:p w14:paraId="55AFF293" w14:textId="59F9D25C" w:rsidR="001F5F29" w:rsidRDefault="001F5F29" w:rsidP="00BA67A7"/>
    <w:p w14:paraId="6007EEE8" w14:textId="2B65322B" w:rsidR="001F5F29" w:rsidRDefault="001F5F29" w:rsidP="00BA67A7"/>
    <w:p w14:paraId="64426712" w14:textId="62791A5E" w:rsidR="001F5F29" w:rsidRDefault="001F5F29" w:rsidP="00BA67A7"/>
    <w:p w14:paraId="5AF57983" w14:textId="16438FFA" w:rsidR="001F5F29" w:rsidRDefault="001F5F29" w:rsidP="00BA67A7"/>
    <w:p w14:paraId="38F72730" w14:textId="7CA72D35" w:rsidR="001F5F29" w:rsidRDefault="001F5F29" w:rsidP="00BA67A7"/>
    <w:p w14:paraId="347E431D" w14:textId="6AE188EC" w:rsidR="001F5F29" w:rsidRDefault="001F5F29" w:rsidP="00BA67A7"/>
    <w:p w14:paraId="694EBA52" w14:textId="0C4ECDE9" w:rsidR="001F5F29" w:rsidRDefault="001F5F29" w:rsidP="00BA67A7"/>
    <w:p w14:paraId="463E0942" w14:textId="54F609DC" w:rsidR="001F5F29" w:rsidRDefault="001F5F29" w:rsidP="00BA67A7"/>
    <w:p w14:paraId="7DE51170" w14:textId="57DAF1B1" w:rsidR="001F5F29" w:rsidRDefault="001F5F29" w:rsidP="00BA67A7"/>
    <w:p w14:paraId="057704D2" w14:textId="4200A6E2" w:rsidR="001F5F29" w:rsidRDefault="001F5F29" w:rsidP="00BA67A7"/>
    <w:p w14:paraId="2E0F0797" w14:textId="11A2FD61" w:rsidR="001F5F29" w:rsidRDefault="001F5F29" w:rsidP="00BA67A7"/>
    <w:p w14:paraId="34DF3DB1" w14:textId="734E85C4" w:rsidR="001F5F29" w:rsidRDefault="001F5F29" w:rsidP="00BA67A7"/>
    <w:p w14:paraId="266EA192" w14:textId="7D393122" w:rsidR="001F5F29" w:rsidRDefault="001F5F29" w:rsidP="00BA67A7"/>
    <w:p w14:paraId="161ED00D" w14:textId="37204F60" w:rsidR="001F5F29" w:rsidRDefault="001F5F29" w:rsidP="00BA67A7"/>
    <w:p w14:paraId="6D91E8BE" w14:textId="119ABD2F" w:rsidR="001F5F29" w:rsidRDefault="001F5F29" w:rsidP="00BA67A7"/>
    <w:p w14:paraId="785866CC" w14:textId="726C9F2F" w:rsidR="001F5F29" w:rsidRDefault="001F5F29" w:rsidP="00BA67A7"/>
    <w:p w14:paraId="4C23D0AC" w14:textId="15094767" w:rsidR="001F5F29" w:rsidRDefault="001F5F29" w:rsidP="00BA67A7"/>
    <w:p w14:paraId="200509FE" w14:textId="7C5D2B5D" w:rsidR="001F5F29" w:rsidRDefault="001F5F29" w:rsidP="00BA67A7"/>
    <w:p w14:paraId="48FCEB54" w14:textId="77777777" w:rsidR="00F20E58" w:rsidRDefault="00F20E58" w:rsidP="00BA67A7">
      <w:pPr>
        <w:sectPr w:rsidR="00F20E58" w:rsidSect="00F20E58">
          <w:headerReference w:type="even" r:id="rId11"/>
          <w:footerReference w:type="even" r:id="rId12"/>
          <w:headerReference w:type="first" r:id="rId13"/>
          <w:type w:val="continuous"/>
          <w:pgSz w:w="11907" w:h="16839" w:code="9"/>
          <w:pgMar w:top="2127" w:right="1134" w:bottom="1247" w:left="1134" w:header="284" w:footer="227" w:gutter="0"/>
          <w:cols w:space="720"/>
          <w:noEndnote/>
          <w:titlePg/>
          <w:docGrid w:linePitch="299"/>
        </w:sectPr>
      </w:pPr>
    </w:p>
    <w:p w14:paraId="35EBCABE" w14:textId="77777777" w:rsidR="00873CA6" w:rsidRDefault="00873CA6" w:rsidP="00873CA6">
      <w:pPr>
        <w:pStyle w:val="Heading2"/>
      </w:pPr>
      <w:r>
        <w:lastRenderedPageBreak/>
        <w:t>INTRODUCTION</w:t>
      </w:r>
    </w:p>
    <w:p w14:paraId="3B3E985B" w14:textId="77777777" w:rsidR="00873CA6" w:rsidRDefault="00873CA6" w:rsidP="00873CA6">
      <w:pPr>
        <w:rPr>
          <w:sz w:val="24"/>
          <w:szCs w:val="24"/>
        </w:rPr>
      </w:pPr>
      <w:r>
        <w:rPr>
          <w:sz w:val="24"/>
          <w:szCs w:val="24"/>
        </w:rPr>
        <w:t>Preventing and reducing alcohol-related harm is an ongoing priority for the McGowan Government. The State’s vastness and diversity , present unique challenges in developing policies that help protect individuals and communities at risk of alcohol-related harm</w:t>
      </w:r>
      <w:r w:rsidRPr="007C12A2">
        <w:rPr>
          <w:sz w:val="24"/>
          <w:szCs w:val="24"/>
        </w:rPr>
        <w:t xml:space="preserve">. </w:t>
      </w:r>
      <w:r>
        <w:rPr>
          <w:sz w:val="24"/>
          <w:szCs w:val="24"/>
        </w:rPr>
        <w:t xml:space="preserve">Following consultation with </w:t>
      </w:r>
      <w:r w:rsidRPr="006017D3">
        <w:rPr>
          <w:sz w:val="24"/>
          <w:szCs w:val="24"/>
        </w:rPr>
        <w:t>industry</w:t>
      </w:r>
      <w:r>
        <w:rPr>
          <w:sz w:val="24"/>
          <w:szCs w:val="24"/>
        </w:rPr>
        <w:t>,</w:t>
      </w:r>
      <w:r w:rsidRPr="006017D3">
        <w:t xml:space="preserve"> </w:t>
      </w:r>
      <w:r w:rsidRPr="006017D3">
        <w:rPr>
          <w:sz w:val="24"/>
          <w:szCs w:val="24"/>
        </w:rPr>
        <w:t>local governments, police and the community</w:t>
      </w:r>
      <w:r>
        <w:rPr>
          <w:sz w:val="24"/>
          <w:szCs w:val="24"/>
        </w:rPr>
        <w:t>,</w:t>
      </w:r>
      <w:r w:rsidRPr="006017D3">
        <w:rPr>
          <w:sz w:val="24"/>
          <w:szCs w:val="24"/>
        </w:rPr>
        <w:t xml:space="preserve"> </w:t>
      </w:r>
      <w:r>
        <w:rPr>
          <w:sz w:val="24"/>
          <w:szCs w:val="24"/>
        </w:rPr>
        <w:t xml:space="preserve">the State Government is trialling a Banned Drinkers Register (BDR) to target harmful levels of alcohol use by controlling access to takeaway packaged liquor. </w:t>
      </w:r>
    </w:p>
    <w:p w14:paraId="6B67A71C" w14:textId="77777777" w:rsidR="00873CA6" w:rsidRDefault="00873CA6" w:rsidP="00873CA6">
      <w:pPr>
        <w:rPr>
          <w:sz w:val="24"/>
          <w:szCs w:val="24"/>
        </w:rPr>
      </w:pPr>
      <w:r>
        <w:rPr>
          <w:sz w:val="24"/>
          <w:szCs w:val="24"/>
        </w:rPr>
        <w:t>In December 2020, the State</w:t>
      </w:r>
      <w:r w:rsidRPr="007C12A2">
        <w:rPr>
          <w:sz w:val="24"/>
          <w:szCs w:val="24"/>
        </w:rPr>
        <w:t xml:space="preserve"> Government, through </w:t>
      </w:r>
      <w:r>
        <w:rPr>
          <w:sz w:val="24"/>
          <w:szCs w:val="24"/>
        </w:rPr>
        <w:t xml:space="preserve">the </w:t>
      </w:r>
      <w:r w:rsidRPr="007C12A2">
        <w:rPr>
          <w:sz w:val="24"/>
          <w:szCs w:val="24"/>
        </w:rPr>
        <w:t>D</w:t>
      </w:r>
      <w:r>
        <w:rPr>
          <w:sz w:val="24"/>
          <w:szCs w:val="24"/>
        </w:rPr>
        <w:t xml:space="preserve">epartment of </w:t>
      </w:r>
      <w:r w:rsidRPr="007C12A2">
        <w:rPr>
          <w:sz w:val="24"/>
          <w:szCs w:val="24"/>
        </w:rPr>
        <w:t>L</w:t>
      </w:r>
      <w:r>
        <w:rPr>
          <w:sz w:val="24"/>
          <w:szCs w:val="24"/>
        </w:rPr>
        <w:t xml:space="preserve">ocal Government, </w:t>
      </w:r>
      <w:r w:rsidRPr="007C12A2">
        <w:rPr>
          <w:sz w:val="24"/>
          <w:szCs w:val="24"/>
        </w:rPr>
        <w:t>S</w:t>
      </w:r>
      <w:r>
        <w:rPr>
          <w:sz w:val="24"/>
          <w:szCs w:val="24"/>
        </w:rPr>
        <w:t xml:space="preserve">ports and </w:t>
      </w:r>
      <w:r w:rsidRPr="007C12A2">
        <w:rPr>
          <w:sz w:val="24"/>
          <w:szCs w:val="24"/>
        </w:rPr>
        <w:t>C</w:t>
      </w:r>
      <w:r>
        <w:rPr>
          <w:sz w:val="24"/>
          <w:szCs w:val="24"/>
        </w:rPr>
        <w:t>ultural Industries</w:t>
      </w:r>
      <w:r w:rsidRPr="007C12A2">
        <w:rPr>
          <w:sz w:val="24"/>
          <w:szCs w:val="24"/>
        </w:rPr>
        <w:t xml:space="preserve">, </w:t>
      </w:r>
      <w:r>
        <w:rPr>
          <w:sz w:val="24"/>
          <w:szCs w:val="24"/>
        </w:rPr>
        <w:t>started</w:t>
      </w:r>
      <w:r w:rsidRPr="007C12A2">
        <w:rPr>
          <w:sz w:val="24"/>
          <w:szCs w:val="24"/>
        </w:rPr>
        <w:t xml:space="preserve"> a </w:t>
      </w:r>
      <w:r w:rsidRPr="006017D3">
        <w:rPr>
          <w:sz w:val="24"/>
          <w:szCs w:val="24"/>
        </w:rPr>
        <w:t xml:space="preserve">two-year </w:t>
      </w:r>
      <w:r w:rsidRPr="007C12A2">
        <w:rPr>
          <w:sz w:val="24"/>
          <w:szCs w:val="24"/>
        </w:rPr>
        <w:t>BD</w:t>
      </w:r>
      <w:r>
        <w:rPr>
          <w:sz w:val="24"/>
          <w:szCs w:val="24"/>
        </w:rPr>
        <w:t>R trial</w:t>
      </w:r>
      <w:r w:rsidRPr="007C12A2">
        <w:rPr>
          <w:sz w:val="24"/>
          <w:szCs w:val="24"/>
        </w:rPr>
        <w:t xml:space="preserve"> in the Pilbara. Subsequent BDR trials commenced in the Kimberley in July 2021, and </w:t>
      </w:r>
      <w:r>
        <w:rPr>
          <w:sz w:val="24"/>
          <w:szCs w:val="24"/>
        </w:rPr>
        <w:t xml:space="preserve">the </w:t>
      </w:r>
      <w:r w:rsidRPr="007C12A2">
        <w:rPr>
          <w:sz w:val="24"/>
          <w:szCs w:val="24"/>
        </w:rPr>
        <w:t>Goldfields</w:t>
      </w:r>
      <w:r>
        <w:rPr>
          <w:sz w:val="24"/>
          <w:szCs w:val="24"/>
        </w:rPr>
        <w:t xml:space="preserve"> </w:t>
      </w:r>
      <w:r w:rsidRPr="007C12A2">
        <w:rPr>
          <w:sz w:val="24"/>
          <w:szCs w:val="24"/>
        </w:rPr>
        <w:t xml:space="preserve">in March 2022. </w:t>
      </w:r>
    </w:p>
    <w:p w14:paraId="0282C507" w14:textId="77777777" w:rsidR="00873CA6" w:rsidRDefault="00873CA6" w:rsidP="00873CA6">
      <w:pPr>
        <w:rPr>
          <w:sz w:val="24"/>
          <w:szCs w:val="24"/>
        </w:rPr>
      </w:pPr>
      <w:r>
        <w:rPr>
          <w:sz w:val="24"/>
          <w:szCs w:val="24"/>
        </w:rPr>
        <w:t xml:space="preserve">The </w:t>
      </w:r>
      <w:r w:rsidRPr="0003332C">
        <w:rPr>
          <w:sz w:val="24"/>
          <w:szCs w:val="24"/>
        </w:rPr>
        <w:t>DLGSC engaged the University of Western Australia (UWA) to undertake an</w:t>
      </w:r>
      <w:r>
        <w:rPr>
          <w:sz w:val="24"/>
          <w:szCs w:val="24"/>
        </w:rPr>
        <w:t xml:space="preserve"> independent</w:t>
      </w:r>
      <w:r w:rsidRPr="0003332C">
        <w:rPr>
          <w:sz w:val="24"/>
          <w:szCs w:val="24"/>
        </w:rPr>
        <w:t xml:space="preserve"> evaluation of the BDR Pilbara and Kimberley program</w:t>
      </w:r>
      <w:r>
        <w:rPr>
          <w:sz w:val="24"/>
          <w:szCs w:val="24"/>
        </w:rPr>
        <w:t xml:space="preserve"> trials</w:t>
      </w:r>
      <w:r w:rsidRPr="0003332C">
        <w:rPr>
          <w:sz w:val="24"/>
          <w:szCs w:val="24"/>
        </w:rPr>
        <w:t>. The Kimberl</w:t>
      </w:r>
      <w:r>
        <w:rPr>
          <w:sz w:val="24"/>
          <w:szCs w:val="24"/>
        </w:rPr>
        <w:t>e</w:t>
      </w:r>
      <w:r w:rsidRPr="0003332C">
        <w:rPr>
          <w:sz w:val="24"/>
          <w:szCs w:val="24"/>
        </w:rPr>
        <w:t xml:space="preserve">y evaluation also includes the Takeaway Alcohol Management System, and </w:t>
      </w:r>
      <w:r>
        <w:rPr>
          <w:sz w:val="24"/>
          <w:szCs w:val="24"/>
        </w:rPr>
        <w:t>is expected to</w:t>
      </w:r>
      <w:r w:rsidRPr="0003332C">
        <w:rPr>
          <w:sz w:val="24"/>
          <w:szCs w:val="24"/>
        </w:rPr>
        <w:t xml:space="preserve"> be finalised </w:t>
      </w:r>
      <w:r>
        <w:rPr>
          <w:sz w:val="24"/>
          <w:szCs w:val="24"/>
        </w:rPr>
        <w:t>in late 2022</w:t>
      </w:r>
      <w:r w:rsidRPr="0003332C">
        <w:rPr>
          <w:sz w:val="24"/>
          <w:szCs w:val="24"/>
        </w:rPr>
        <w:t>.</w:t>
      </w:r>
    </w:p>
    <w:p w14:paraId="6DCD47BA" w14:textId="77777777" w:rsidR="00873CA6" w:rsidRPr="007C12A2" w:rsidRDefault="00873CA6" w:rsidP="00873CA6">
      <w:pPr>
        <w:rPr>
          <w:sz w:val="24"/>
          <w:szCs w:val="24"/>
        </w:rPr>
      </w:pPr>
      <w:r w:rsidRPr="007C12A2">
        <w:rPr>
          <w:sz w:val="24"/>
          <w:szCs w:val="24"/>
        </w:rPr>
        <w:t xml:space="preserve">The </w:t>
      </w:r>
      <w:r>
        <w:rPr>
          <w:sz w:val="24"/>
          <w:szCs w:val="24"/>
        </w:rPr>
        <w:t xml:space="preserve">interim </w:t>
      </w:r>
      <w:r w:rsidRPr="007C12A2">
        <w:rPr>
          <w:sz w:val="24"/>
          <w:szCs w:val="24"/>
        </w:rPr>
        <w:t>evaluation of the Pilbara BDR</w:t>
      </w:r>
      <w:r>
        <w:rPr>
          <w:sz w:val="24"/>
          <w:szCs w:val="24"/>
        </w:rPr>
        <w:t xml:space="preserve"> trial’s </w:t>
      </w:r>
      <w:r w:rsidRPr="007C12A2">
        <w:rPr>
          <w:sz w:val="24"/>
          <w:szCs w:val="24"/>
        </w:rPr>
        <w:t>first year of operation</w:t>
      </w:r>
      <w:r>
        <w:rPr>
          <w:sz w:val="24"/>
          <w:szCs w:val="24"/>
        </w:rPr>
        <w:t xml:space="preserve"> </w:t>
      </w:r>
      <w:r w:rsidRPr="007C12A2">
        <w:rPr>
          <w:sz w:val="24"/>
          <w:szCs w:val="24"/>
        </w:rPr>
        <w:t xml:space="preserve">identified a range of </w:t>
      </w:r>
      <w:r>
        <w:rPr>
          <w:sz w:val="24"/>
          <w:szCs w:val="24"/>
        </w:rPr>
        <w:t>opportunities to enhance the program’s</w:t>
      </w:r>
      <w:r w:rsidRPr="007C12A2">
        <w:rPr>
          <w:sz w:val="24"/>
          <w:szCs w:val="24"/>
        </w:rPr>
        <w:t xml:space="preserve"> effectiveness </w:t>
      </w:r>
      <w:r>
        <w:rPr>
          <w:sz w:val="24"/>
          <w:szCs w:val="24"/>
        </w:rPr>
        <w:t>as a</w:t>
      </w:r>
      <w:r w:rsidRPr="007C12A2">
        <w:rPr>
          <w:sz w:val="24"/>
          <w:szCs w:val="24"/>
        </w:rPr>
        <w:t xml:space="preserve"> harm minimisation tool. Th</w:t>
      </w:r>
      <w:r>
        <w:rPr>
          <w:sz w:val="24"/>
          <w:szCs w:val="24"/>
        </w:rPr>
        <w:t xml:space="preserve">is consultation seeks feedback on a suite of reform options to improve and strengthen the BDR. </w:t>
      </w:r>
    </w:p>
    <w:p w14:paraId="77458E86" w14:textId="77777777" w:rsidR="00873CA6" w:rsidRDefault="00873CA6" w:rsidP="00873CA6">
      <w:pPr>
        <w:pStyle w:val="Heading2"/>
      </w:pPr>
      <w:r>
        <w:t>THE BDR</w:t>
      </w:r>
    </w:p>
    <w:p w14:paraId="4279A76F" w14:textId="77777777" w:rsidR="00873CA6" w:rsidRPr="0092352C" w:rsidRDefault="00873CA6" w:rsidP="00873CA6">
      <w:pPr>
        <w:rPr>
          <w:sz w:val="24"/>
          <w:szCs w:val="24"/>
        </w:rPr>
      </w:pPr>
      <w:r w:rsidRPr="007C12A2">
        <w:rPr>
          <w:sz w:val="24"/>
          <w:szCs w:val="24"/>
        </w:rPr>
        <w:t xml:space="preserve">The BDR is a register of Western Australians who are </w:t>
      </w:r>
      <w:r>
        <w:rPr>
          <w:sz w:val="24"/>
          <w:szCs w:val="24"/>
        </w:rPr>
        <w:t xml:space="preserve">banned from purchasing takeaway alcohol. </w:t>
      </w:r>
    </w:p>
    <w:p w14:paraId="501937CC" w14:textId="77777777" w:rsidR="00873CA6" w:rsidRPr="0092352C" w:rsidRDefault="00873CA6" w:rsidP="00873CA6">
      <w:pPr>
        <w:rPr>
          <w:sz w:val="24"/>
          <w:szCs w:val="24"/>
        </w:rPr>
      </w:pPr>
      <w:r w:rsidRPr="0092352C">
        <w:rPr>
          <w:sz w:val="24"/>
          <w:szCs w:val="24"/>
        </w:rPr>
        <w:t xml:space="preserve">The BDR has been extended to packaged liquor retailers in areas where a BDR is in operation. There are three pathways to BDR registration: being subject to </w:t>
      </w:r>
      <w:r>
        <w:rPr>
          <w:sz w:val="24"/>
          <w:szCs w:val="24"/>
        </w:rPr>
        <w:t>P</w:t>
      </w:r>
      <w:r w:rsidRPr="0092352C">
        <w:rPr>
          <w:sz w:val="24"/>
          <w:szCs w:val="24"/>
        </w:rPr>
        <w:t xml:space="preserve">rohibition </w:t>
      </w:r>
      <w:r>
        <w:rPr>
          <w:sz w:val="24"/>
          <w:szCs w:val="24"/>
        </w:rPr>
        <w:t>O</w:t>
      </w:r>
      <w:r w:rsidRPr="0092352C">
        <w:rPr>
          <w:sz w:val="24"/>
          <w:szCs w:val="24"/>
        </w:rPr>
        <w:t xml:space="preserve">rders or </w:t>
      </w:r>
      <w:r>
        <w:rPr>
          <w:sz w:val="24"/>
          <w:szCs w:val="24"/>
        </w:rPr>
        <w:t>B</w:t>
      </w:r>
      <w:r w:rsidRPr="0092352C">
        <w:rPr>
          <w:sz w:val="24"/>
          <w:szCs w:val="24"/>
        </w:rPr>
        <w:t xml:space="preserve">arring </w:t>
      </w:r>
      <w:r>
        <w:rPr>
          <w:sz w:val="24"/>
          <w:szCs w:val="24"/>
        </w:rPr>
        <w:t>N</w:t>
      </w:r>
      <w:r w:rsidRPr="0092352C">
        <w:rPr>
          <w:sz w:val="24"/>
          <w:szCs w:val="24"/>
        </w:rPr>
        <w:t xml:space="preserve">otices, or through voluntary self-nomination. </w:t>
      </w:r>
      <w:r>
        <w:rPr>
          <w:sz w:val="24"/>
          <w:szCs w:val="24"/>
        </w:rPr>
        <w:t>By</w:t>
      </w:r>
      <w:r w:rsidRPr="0092352C">
        <w:rPr>
          <w:sz w:val="24"/>
          <w:szCs w:val="24"/>
        </w:rPr>
        <w:t xml:space="preserve"> prohibiting purchases, the BDR aims to restrict access to alcohol in cases where consumption </w:t>
      </w:r>
      <w:r>
        <w:rPr>
          <w:sz w:val="24"/>
          <w:szCs w:val="24"/>
        </w:rPr>
        <w:t xml:space="preserve">levels are </w:t>
      </w:r>
      <w:r w:rsidRPr="0092352C">
        <w:rPr>
          <w:sz w:val="24"/>
          <w:szCs w:val="24"/>
        </w:rPr>
        <w:t>causing harm.</w:t>
      </w:r>
    </w:p>
    <w:p w14:paraId="727E6B37" w14:textId="77777777" w:rsidR="00873CA6" w:rsidRPr="007C12A2" w:rsidRDefault="00873CA6" w:rsidP="00873CA6">
      <w:pPr>
        <w:rPr>
          <w:sz w:val="24"/>
          <w:szCs w:val="24"/>
        </w:rPr>
      </w:pPr>
      <w:r w:rsidRPr="007C12A2">
        <w:rPr>
          <w:sz w:val="24"/>
          <w:szCs w:val="24"/>
        </w:rPr>
        <w:t xml:space="preserve">In areas where </w:t>
      </w:r>
      <w:r>
        <w:rPr>
          <w:sz w:val="24"/>
          <w:szCs w:val="24"/>
        </w:rPr>
        <w:t xml:space="preserve">the </w:t>
      </w:r>
      <w:r w:rsidRPr="007C12A2">
        <w:rPr>
          <w:sz w:val="24"/>
          <w:szCs w:val="24"/>
        </w:rPr>
        <w:t xml:space="preserve">BDR operates, </w:t>
      </w:r>
      <w:r>
        <w:rPr>
          <w:sz w:val="24"/>
          <w:szCs w:val="24"/>
        </w:rPr>
        <w:t xml:space="preserve">anyone purchasing takeaway packaged liquor must </w:t>
      </w:r>
      <w:r w:rsidRPr="007C12A2">
        <w:rPr>
          <w:sz w:val="24"/>
          <w:szCs w:val="24"/>
        </w:rPr>
        <w:t>present</w:t>
      </w:r>
      <w:r>
        <w:rPr>
          <w:sz w:val="24"/>
          <w:szCs w:val="24"/>
        </w:rPr>
        <w:t xml:space="preserve"> an </w:t>
      </w:r>
      <w:r w:rsidRPr="007C12A2">
        <w:rPr>
          <w:sz w:val="24"/>
          <w:szCs w:val="24"/>
        </w:rPr>
        <w:t>eligible form</w:t>
      </w:r>
      <w:r>
        <w:rPr>
          <w:sz w:val="24"/>
          <w:szCs w:val="24"/>
        </w:rPr>
        <w:t xml:space="preserve"> of identification. </w:t>
      </w:r>
      <w:r w:rsidRPr="007C12A2">
        <w:rPr>
          <w:sz w:val="24"/>
          <w:szCs w:val="24"/>
        </w:rPr>
        <w:t xml:space="preserve">Staff use a BDR scanner to scan </w:t>
      </w:r>
      <w:r>
        <w:rPr>
          <w:sz w:val="24"/>
          <w:szCs w:val="24"/>
        </w:rPr>
        <w:t xml:space="preserve">the eligible </w:t>
      </w:r>
      <w:r w:rsidRPr="007C12A2">
        <w:rPr>
          <w:sz w:val="24"/>
          <w:szCs w:val="24"/>
        </w:rPr>
        <w:t xml:space="preserve">ID </w:t>
      </w:r>
      <w:r>
        <w:rPr>
          <w:sz w:val="24"/>
          <w:szCs w:val="24"/>
        </w:rPr>
        <w:t xml:space="preserve">at the </w:t>
      </w:r>
      <w:r w:rsidRPr="007C12A2">
        <w:rPr>
          <w:sz w:val="24"/>
          <w:szCs w:val="24"/>
        </w:rPr>
        <w:t xml:space="preserve">point of sale. Scanners immediately </w:t>
      </w:r>
      <w:r>
        <w:rPr>
          <w:sz w:val="24"/>
          <w:szCs w:val="24"/>
        </w:rPr>
        <w:t xml:space="preserve">notify </w:t>
      </w:r>
      <w:r w:rsidRPr="007C12A2">
        <w:rPr>
          <w:sz w:val="24"/>
          <w:szCs w:val="24"/>
        </w:rPr>
        <w:t xml:space="preserve">staff if the customer is on the BDR, </w:t>
      </w:r>
      <w:r>
        <w:rPr>
          <w:sz w:val="24"/>
          <w:szCs w:val="24"/>
        </w:rPr>
        <w:t xml:space="preserve">which </w:t>
      </w:r>
      <w:r w:rsidRPr="007C12A2">
        <w:rPr>
          <w:sz w:val="24"/>
          <w:szCs w:val="24"/>
        </w:rPr>
        <w:t>provid</w:t>
      </w:r>
      <w:r>
        <w:rPr>
          <w:sz w:val="24"/>
          <w:szCs w:val="24"/>
        </w:rPr>
        <w:t xml:space="preserve">es them with </w:t>
      </w:r>
      <w:r w:rsidRPr="007C12A2">
        <w:rPr>
          <w:sz w:val="24"/>
          <w:szCs w:val="24"/>
        </w:rPr>
        <w:t xml:space="preserve">information to determine whether the sale can proceed. A recognised strength of the BDR is its focus on restricting the </w:t>
      </w:r>
      <w:r>
        <w:rPr>
          <w:sz w:val="24"/>
          <w:szCs w:val="24"/>
        </w:rPr>
        <w:t>purchase</w:t>
      </w:r>
      <w:r w:rsidRPr="007C12A2">
        <w:rPr>
          <w:sz w:val="24"/>
          <w:szCs w:val="24"/>
        </w:rPr>
        <w:t xml:space="preserve"> of takeaway alcohol by people with harmful alcohol use</w:t>
      </w:r>
      <w:r>
        <w:rPr>
          <w:sz w:val="24"/>
          <w:szCs w:val="24"/>
        </w:rPr>
        <w:t xml:space="preserve"> and on the register</w:t>
      </w:r>
      <w:r w:rsidRPr="007C12A2">
        <w:rPr>
          <w:sz w:val="24"/>
          <w:szCs w:val="24"/>
        </w:rPr>
        <w:t xml:space="preserve">, without impacting </w:t>
      </w:r>
      <w:r>
        <w:rPr>
          <w:sz w:val="24"/>
          <w:szCs w:val="24"/>
        </w:rPr>
        <w:t xml:space="preserve">on </w:t>
      </w:r>
      <w:r w:rsidRPr="007C12A2">
        <w:rPr>
          <w:sz w:val="24"/>
          <w:szCs w:val="24"/>
        </w:rPr>
        <w:t xml:space="preserve">moderate alcohol consumers. </w:t>
      </w:r>
    </w:p>
    <w:p w14:paraId="76E42293" w14:textId="30F35E2F" w:rsidR="00873CA6" w:rsidRPr="007C12A2" w:rsidRDefault="00873CA6" w:rsidP="00873CA6">
      <w:pPr>
        <w:keepNext/>
        <w:rPr>
          <w:sz w:val="24"/>
          <w:szCs w:val="24"/>
        </w:rPr>
      </w:pPr>
      <w:r w:rsidRPr="007C12A2">
        <w:rPr>
          <w:sz w:val="24"/>
          <w:szCs w:val="24"/>
        </w:rPr>
        <w:lastRenderedPageBreak/>
        <w:t>As at</w:t>
      </w:r>
      <w:r>
        <w:rPr>
          <w:sz w:val="24"/>
          <w:szCs w:val="24"/>
        </w:rPr>
        <w:t xml:space="preserve"> 5 September</w:t>
      </w:r>
      <w:r w:rsidRPr="007C12A2">
        <w:rPr>
          <w:sz w:val="24"/>
          <w:szCs w:val="24"/>
        </w:rPr>
        <w:t xml:space="preserve"> 2022, BDR registrations per region were as follows:</w:t>
      </w:r>
    </w:p>
    <w:tbl>
      <w:tblPr>
        <w:tblStyle w:val="ListTable6Colorful"/>
        <w:tblW w:w="0" w:type="auto"/>
        <w:tblLook w:val="04A0" w:firstRow="1" w:lastRow="0" w:firstColumn="1" w:lastColumn="0" w:noHBand="0" w:noVBand="1"/>
      </w:tblPr>
      <w:tblGrid>
        <w:gridCol w:w="1413"/>
        <w:gridCol w:w="2031"/>
        <w:gridCol w:w="2032"/>
        <w:gridCol w:w="2032"/>
        <w:gridCol w:w="1508"/>
      </w:tblGrid>
      <w:tr w:rsidR="00873CA6" w:rsidRPr="00BB1F4B" w14:paraId="2A1B172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0F5C83" w14:textId="77777777" w:rsidR="00873CA6" w:rsidRPr="00BB1F4B" w:rsidRDefault="00873CA6">
            <w:pPr>
              <w:jc w:val="center"/>
            </w:pPr>
            <w:r w:rsidRPr="00BB1F4B">
              <w:t>Region</w:t>
            </w:r>
          </w:p>
        </w:tc>
        <w:tc>
          <w:tcPr>
            <w:tcW w:w="2031" w:type="dxa"/>
          </w:tcPr>
          <w:p w14:paraId="4D5CD1D9" w14:textId="77777777" w:rsidR="00873CA6" w:rsidRPr="00BB1F4B" w:rsidRDefault="00873CA6">
            <w:pPr>
              <w:jc w:val="center"/>
              <w:cnfStyle w:val="100000000000" w:firstRow="1" w:lastRow="0" w:firstColumn="0" w:lastColumn="0" w:oddVBand="0" w:evenVBand="0" w:oddHBand="0" w:evenHBand="0" w:firstRowFirstColumn="0" w:firstRowLastColumn="0" w:lastRowFirstColumn="0" w:lastRowLastColumn="0"/>
            </w:pPr>
            <w:r w:rsidRPr="00BB1F4B">
              <w:t>Barring Notice</w:t>
            </w:r>
          </w:p>
        </w:tc>
        <w:tc>
          <w:tcPr>
            <w:tcW w:w="2032" w:type="dxa"/>
          </w:tcPr>
          <w:p w14:paraId="7CEB5DE0" w14:textId="77777777" w:rsidR="00873CA6" w:rsidRPr="00BB1F4B" w:rsidRDefault="00873CA6">
            <w:pPr>
              <w:jc w:val="center"/>
              <w:cnfStyle w:val="100000000000" w:firstRow="1" w:lastRow="0" w:firstColumn="0" w:lastColumn="0" w:oddVBand="0" w:evenVBand="0" w:oddHBand="0" w:evenHBand="0" w:firstRowFirstColumn="0" w:firstRowLastColumn="0" w:lastRowFirstColumn="0" w:lastRowLastColumn="0"/>
            </w:pPr>
            <w:r w:rsidRPr="00BB1F4B">
              <w:t>Prohibition Order</w:t>
            </w:r>
          </w:p>
        </w:tc>
        <w:tc>
          <w:tcPr>
            <w:tcW w:w="2032" w:type="dxa"/>
          </w:tcPr>
          <w:p w14:paraId="6C7D57BA" w14:textId="77777777" w:rsidR="00873CA6" w:rsidRPr="00BB1F4B" w:rsidRDefault="00873CA6">
            <w:pPr>
              <w:jc w:val="center"/>
              <w:cnfStyle w:val="100000000000" w:firstRow="1" w:lastRow="0" w:firstColumn="0" w:lastColumn="0" w:oddVBand="0" w:evenVBand="0" w:oddHBand="0" w:evenHBand="0" w:firstRowFirstColumn="0" w:firstRowLastColumn="0" w:lastRowFirstColumn="0" w:lastRowLastColumn="0"/>
            </w:pPr>
            <w:r w:rsidRPr="00BB1F4B">
              <w:t>Voluntary Referral</w:t>
            </w:r>
          </w:p>
        </w:tc>
        <w:tc>
          <w:tcPr>
            <w:tcW w:w="1508" w:type="dxa"/>
          </w:tcPr>
          <w:p w14:paraId="1F9B766E" w14:textId="77777777" w:rsidR="00873CA6" w:rsidRPr="00BB1F4B" w:rsidRDefault="00873CA6">
            <w:pPr>
              <w:jc w:val="center"/>
              <w:cnfStyle w:val="100000000000" w:firstRow="1" w:lastRow="0" w:firstColumn="0" w:lastColumn="0" w:oddVBand="0" w:evenVBand="0" w:oddHBand="0" w:evenHBand="0" w:firstRowFirstColumn="0" w:firstRowLastColumn="0" w:lastRowFirstColumn="0" w:lastRowLastColumn="0"/>
            </w:pPr>
            <w:r w:rsidRPr="00BB1F4B">
              <w:t>Total</w:t>
            </w:r>
          </w:p>
        </w:tc>
      </w:tr>
      <w:tr w:rsidR="00873CA6" w:rsidRPr="00BB1F4B" w14:paraId="02683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55028B" w14:textId="77777777" w:rsidR="00873CA6" w:rsidRPr="00BB1F4B" w:rsidRDefault="00873CA6">
            <w:r w:rsidRPr="00BB1F4B">
              <w:t>Pilbara</w:t>
            </w:r>
          </w:p>
        </w:tc>
        <w:tc>
          <w:tcPr>
            <w:tcW w:w="2031" w:type="dxa"/>
          </w:tcPr>
          <w:p w14:paraId="144F8F9A" w14:textId="77777777"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t>5</w:t>
            </w:r>
          </w:p>
        </w:tc>
        <w:tc>
          <w:tcPr>
            <w:tcW w:w="2032" w:type="dxa"/>
          </w:tcPr>
          <w:p w14:paraId="4B44B939" w14:textId="77777777"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rsidRPr="00BB1F4B">
              <w:t>4</w:t>
            </w:r>
            <w:r>
              <w:t>7</w:t>
            </w:r>
          </w:p>
        </w:tc>
        <w:tc>
          <w:tcPr>
            <w:tcW w:w="2032" w:type="dxa"/>
          </w:tcPr>
          <w:p w14:paraId="268294FA" w14:textId="77777777"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t>7</w:t>
            </w:r>
          </w:p>
        </w:tc>
        <w:tc>
          <w:tcPr>
            <w:tcW w:w="1508" w:type="dxa"/>
          </w:tcPr>
          <w:p w14:paraId="7A9A096B" w14:textId="77777777"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t>59</w:t>
            </w:r>
          </w:p>
        </w:tc>
      </w:tr>
      <w:tr w:rsidR="00873CA6" w:rsidRPr="00BB1F4B" w14:paraId="57153241" w14:textId="77777777">
        <w:tc>
          <w:tcPr>
            <w:cnfStyle w:val="001000000000" w:firstRow="0" w:lastRow="0" w:firstColumn="1" w:lastColumn="0" w:oddVBand="0" w:evenVBand="0" w:oddHBand="0" w:evenHBand="0" w:firstRowFirstColumn="0" w:firstRowLastColumn="0" w:lastRowFirstColumn="0" w:lastRowLastColumn="0"/>
            <w:tcW w:w="1413" w:type="dxa"/>
          </w:tcPr>
          <w:p w14:paraId="73E47EF7" w14:textId="77777777" w:rsidR="00873CA6" w:rsidRPr="00BB1F4B" w:rsidRDefault="00873CA6">
            <w:r w:rsidRPr="00BB1F4B">
              <w:t>Kimberley</w:t>
            </w:r>
          </w:p>
        </w:tc>
        <w:tc>
          <w:tcPr>
            <w:tcW w:w="2031" w:type="dxa"/>
          </w:tcPr>
          <w:p w14:paraId="1FE7AC7E" w14:textId="77777777" w:rsidR="00873CA6" w:rsidRPr="00BB1F4B" w:rsidRDefault="00873CA6">
            <w:pPr>
              <w:jc w:val="center"/>
              <w:cnfStyle w:val="000000000000" w:firstRow="0" w:lastRow="0" w:firstColumn="0" w:lastColumn="0" w:oddVBand="0" w:evenVBand="0" w:oddHBand="0" w:evenHBand="0" w:firstRowFirstColumn="0" w:firstRowLastColumn="0" w:lastRowFirstColumn="0" w:lastRowLastColumn="0"/>
            </w:pPr>
            <w:r w:rsidRPr="00BB1F4B">
              <w:t>1</w:t>
            </w:r>
            <w:r>
              <w:t>0</w:t>
            </w:r>
          </w:p>
        </w:tc>
        <w:tc>
          <w:tcPr>
            <w:tcW w:w="2032" w:type="dxa"/>
          </w:tcPr>
          <w:p w14:paraId="15D11167" w14:textId="1EF6B023" w:rsidR="00873CA6" w:rsidRPr="00BB1F4B" w:rsidRDefault="00873CA6">
            <w:pPr>
              <w:jc w:val="center"/>
              <w:cnfStyle w:val="000000000000" w:firstRow="0" w:lastRow="0" w:firstColumn="0" w:lastColumn="0" w:oddVBand="0" w:evenVBand="0" w:oddHBand="0" w:evenHBand="0" w:firstRowFirstColumn="0" w:firstRowLastColumn="0" w:lastRowFirstColumn="0" w:lastRowLastColumn="0"/>
            </w:pPr>
            <w:r w:rsidRPr="00BB1F4B">
              <w:t>4</w:t>
            </w:r>
            <w:r>
              <w:t>4</w:t>
            </w:r>
          </w:p>
        </w:tc>
        <w:tc>
          <w:tcPr>
            <w:tcW w:w="2032" w:type="dxa"/>
          </w:tcPr>
          <w:p w14:paraId="109555AB" w14:textId="77777777" w:rsidR="00873CA6" w:rsidRPr="00BB1F4B" w:rsidRDefault="00873CA6">
            <w:pPr>
              <w:jc w:val="center"/>
              <w:cnfStyle w:val="000000000000" w:firstRow="0" w:lastRow="0" w:firstColumn="0" w:lastColumn="0" w:oddVBand="0" w:evenVBand="0" w:oddHBand="0" w:evenHBand="0" w:firstRowFirstColumn="0" w:firstRowLastColumn="0" w:lastRowFirstColumn="0" w:lastRowLastColumn="0"/>
            </w:pPr>
            <w:r w:rsidRPr="00BB1F4B">
              <w:t>2</w:t>
            </w:r>
            <w:r>
              <w:t>9</w:t>
            </w:r>
          </w:p>
        </w:tc>
        <w:tc>
          <w:tcPr>
            <w:tcW w:w="1508" w:type="dxa"/>
          </w:tcPr>
          <w:p w14:paraId="4C042BE8" w14:textId="5FDB1712" w:rsidR="00873CA6" w:rsidRPr="00BB1F4B" w:rsidRDefault="00873CA6">
            <w:pPr>
              <w:jc w:val="center"/>
              <w:cnfStyle w:val="000000000000" w:firstRow="0" w:lastRow="0" w:firstColumn="0" w:lastColumn="0" w:oddVBand="0" w:evenVBand="0" w:oddHBand="0" w:evenHBand="0" w:firstRowFirstColumn="0" w:firstRowLastColumn="0" w:lastRowFirstColumn="0" w:lastRowLastColumn="0"/>
            </w:pPr>
            <w:r w:rsidRPr="00BB1F4B">
              <w:t>8</w:t>
            </w:r>
            <w:r>
              <w:t>3</w:t>
            </w:r>
          </w:p>
        </w:tc>
      </w:tr>
      <w:tr w:rsidR="00873CA6" w:rsidRPr="00BB1F4B" w14:paraId="2CE959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335D2AF" w14:textId="77777777" w:rsidR="00873CA6" w:rsidRPr="00BB1F4B" w:rsidRDefault="00873CA6">
            <w:r w:rsidRPr="00BB1F4B">
              <w:t>Goldfields</w:t>
            </w:r>
          </w:p>
        </w:tc>
        <w:tc>
          <w:tcPr>
            <w:tcW w:w="2031" w:type="dxa"/>
          </w:tcPr>
          <w:p w14:paraId="22E07312" w14:textId="77777777"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t>15</w:t>
            </w:r>
          </w:p>
        </w:tc>
        <w:tc>
          <w:tcPr>
            <w:tcW w:w="2032" w:type="dxa"/>
          </w:tcPr>
          <w:p w14:paraId="17AB37CF" w14:textId="5A9DFE0A"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t>8</w:t>
            </w:r>
          </w:p>
        </w:tc>
        <w:tc>
          <w:tcPr>
            <w:tcW w:w="2032" w:type="dxa"/>
          </w:tcPr>
          <w:p w14:paraId="1E88B181" w14:textId="77777777"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t>4</w:t>
            </w:r>
          </w:p>
        </w:tc>
        <w:tc>
          <w:tcPr>
            <w:tcW w:w="1508" w:type="dxa"/>
          </w:tcPr>
          <w:p w14:paraId="7D0E6944" w14:textId="6F07122D" w:rsidR="00873CA6" w:rsidRPr="00BB1F4B" w:rsidRDefault="00873CA6">
            <w:pPr>
              <w:jc w:val="center"/>
              <w:cnfStyle w:val="000000100000" w:firstRow="0" w:lastRow="0" w:firstColumn="0" w:lastColumn="0" w:oddVBand="0" w:evenVBand="0" w:oddHBand="1" w:evenHBand="0" w:firstRowFirstColumn="0" w:firstRowLastColumn="0" w:lastRowFirstColumn="0" w:lastRowLastColumn="0"/>
            </w:pPr>
            <w:r w:rsidRPr="00BB1F4B">
              <w:t>2</w:t>
            </w:r>
            <w:r>
              <w:t>7</w:t>
            </w:r>
          </w:p>
        </w:tc>
      </w:tr>
    </w:tbl>
    <w:p w14:paraId="0F29D01A" w14:textId="77777777" w:rsidR="00873CA6" w:rsidRDefault="00873CA6" w:rsidP="00873CA6">
      <w:pPr>
        <w:pStyle w:val="Heading2"/>
      </w:pPr>
    </w:p>
    <w:p w14:paraId="5221343C" w14:textId="77777777" w:rsidR="00873CA6" w:rsidRPr="00873CA6" w:rsidRDefault="00873CA6" w:rsidP="00873CA6">
      <w:pPr>
        <w:pStyle w:val="Heading2"/>
      </w:pPr>
      <w:r w:rsidRPr="00873CA6">
        <w:t>BDR Pilbara Trial Interim Evaluation: Observations and recommendations</w:t>
      </w:r>
    </w:p>
    <w:p w14:paraId="5EDDC3E0" w14:textId="77777777" w:rsidR="00873CA6" w:rsidRPr="009E77EC" w:rsidRDefault="00873CA6" w:rsidP="00873CA6">
      <w:pPr>
        <w:rPr>
          <w:sz w:val="24"/>
          <w:szCs w:val="24"/>
        </w:rPr>
      </w:pPr>
      <w:r w:rsidRPr="009E77EC">
        <w:rPr>
          <w:sz w:val="24"/>
          <w:szCs w:val="24"/>
        </w:rPr>
        <w:t xml:space="preserve">The </w:t>
      </w:r>
      <w:r>
        <w:rPr>
          <w:sz w:val="24"/>
          <w:szCs w:val="24"/>
        </w:rPr>
        <w:t xml:space="preserve">Pilbara </w:t>
      </w:r>
      <w:r w:rsidRPr="009E77EC">
        <w:rPr>
          <w:sz w:val="24"/>
          <w:szCs w:val="24"/>
        </w:rPr>
        <w:t xml:space="preserve">evaluation </w:t>
      </w:r>
      <w:r w:rsidRPr="004B616F">
        <w:rPr>
          <w:sz w:val="24"/>
          <w:szCs w:val="24"/>
        </w:rPr>
        <w:t xml:space="preserve">focused on the BDR technology and system from an industry perspective, noting that this stakeholder group, as the </w:t>
      </w:r>
      <w:r>
        <w:rPr>
          <w:sz w:val="24"/>
          <w:szCs w:val="24"/>
        </w:rPr>
        <w:t xml:space="preserve">system’s </w:t>
      </w:r>
      <w:r w:rsidRPr="004B616F">
        <w:rPr>
          <w:sz w:val="24"/>
          <w:szCs w:val="24"/>
        </w:rPr>
        <w:t>main users</w:t>
      </w:r>
      <w:r>
        <w:rPr>
          <w:sz w:val="24"/>
          <w:szCs w:val="24"/>
        </w:rPr>
        <w:t xml:space="preserve">, </w:t>
      </w:r>
      <w:r w:rsidRPr="004B616F">
        <w:rPr>
          <w:sz w:val="24"/>
          <w:szCs w:val="24"/>
        </w:rPr>
        <w:t xml:space="preserve">was </w:t>
      </w:r>
      <w:r>
        <w:rPr>
          <w:sz w:val="24"/>
          <w:szCs w:val="24"/>
        </w:rPr>
        <w:t>well</w:t>
      </w:r>
      <w:r w:rsidRPr="004B616F">
        <w:rPr>
          <w:sz w:val="24"/>
          <w:szCs w:val="24"/>
        </w:rPr>
        <w:t xml:space="preserve"> placed to identify issues with, and improvements to, its operation. </w:t>
      </w:r>
    </w:p>
    <w:p w14:paraId="7CB05FA8" w14:textId="77777777" w:rsidR="00873CA6" w:rsidRPr="007C12A2" w:rsidRDefault="00873CA6" w:rsidP="00873CA6">
      <w:pPr>
        <w:rPr>
          <w:sz w:val="24"/>
          <w:szCs w:val="24"/>
        </w:rPr>
      </w:pPr>
      <w:r w:rsidRPr="007C12A2">
        <w:rPr>
          <w:sz w:val="24"/>
          <w:szCs w:val="24"/>
        </w:rPr>
        <w:t>The evaluators observed that after 12 months of operation:</w:t>
      </w:r>
    </w:p>
    <w:p w14:paraId="1552B6D5" w14:textId="77777777" w:rsidR="00873CA6" w:rsidRDefault="00873CA6" w:rsidP="006A27BA">
      <w:pPr>
        <w:pStyle w:val="ListParagraph"/>
        <w:numPr>
          <w:ilvl w:val="0"/>
          <w:numId w:val="8"/>
        </w:numPr>
        <w:spacing w:before="0" w:after="160" w:line="259" w:lineRule="auto"/>
        <w:rPr>
          <w:sz w:val="24"/>
          <w:szCs w:val="24"/>
        </w:rPr>
      </w:pPr>
      <w:r>
        <w:rPr>
          <w:sz w:val="24"/>
          <w:szCs w:val="24"/>
        </w:rPr>
        <w:t>The BDR program has been implemented as industry stakeholders expected.</w:t>
      </w:r>
    </w:p>
    <w:p w14:paraId="213CB42A" w14:textId="77777777" w:rsidR="00873CA6" w:rsidRDefault="00873CA6" w:rsidP="006A27BA">
      <w:pPr>
        <w:pStyle w:val="ListParagraph"/>
        <w:numPr>
          <w:ilvl w:val="0"/>
          <w:numId w:val="8"/>
        </w:numPr>
        <w:spacing w:before="0" w:after="160" w:line="259" w:lineRule="auto"/>
        <w:rPr>
          <w:sz w:val="24"/>
          <w:szCs w:val="24"/>
        </w:rPr>
      </w:pPr>
      <w:r>
        <w:rPr>
          <w:sz w:val="24"/>
          <w:szCs w:val="24"/>
        </w:rPr>
        <w:t xml:space="preserve">Industry stakeholders had anticipated a greater number of people being registered on the BDR. </w:t>
      </w:r>
    </w:p>
    <w:p w14:paraId="30D87E3C" w14:textId="77777777" w:rsidR="00873CA6" w:rsidRPr="007C12A2" w:rsidRDefault="00873CA6" w:rsidP="006A27BA">
      <w:pPr>
        <w:pStyle w:val="ListParagraph"/>
        <w:numPr>
          <w:ilvl w:val="0"/>
          <w:numId w:val="8"/>
        </w:numPr>
        <w:spacing w:before="0" w:after="160" w:line="259" w:lineRule="auto"/>
        <w:rPr>
          <w:sz w:val="24"/>
          <w:szCs w:val="24"/>
        </w:rPr>
      </w:pPr>
      <w:r w:rsidRPr="007C12A2">
        <w:rPr>
          <w:sz w:val="24"/>
          <w:szCs w:val="24"/>
        </w:rPr>
        <w:t xml:space="preserve">The number of </w:t>
      </w:r>
      <w:r>
        <w:rPr>
          <w:sz w:val="24"/>
          <w:szCs w:val="24"/>
        </w:rPr>
        <w:t xml:space="preserve">people registered on the </w:t>
      </w:r>
      <w:r w:rsidRPr="007C12A2">
        <w:rPr>
          <w:sz w:val="24"/>
          <w:szCs w:val="24"/>
        </w:rPr>
        <w:t>BDR presenting to stores was relatively low.</w:t>
      </w:r>
    </w:p>
    <w:p w14:paraId="7C6F8881" w14:textId="77777777" w:rsidR="00873CA6" w:rsidRPr="007C12A2" w:rsidRDefault="00873CA6" w:rsidP="006A27BA">
      <w:pPr>
        <w:pStyle w:val="ListParagraph"/>
        <w:numPr>
          <w:ilvl w:val="0"/>
          <w:numId w:val="8"/>
        </w:numPr>
        <w:spacing w:before="0" w:after="160" w:line="259" w:lineRule="auto"/>
        <w:rPr>
          <w:sz w:val="24"/>
          <w:szCs w:val="24"/>
        </w:rPr>
      </w:pPr>
      <w:r w:rsidRPr="007C12A2">
        <w:rPr>
          <w:sz w:val="24"/>
          <w:szCs w:val="24"/>
        </w:rPr>
        <w:t xml:space="preserve">There were indications </w:t>
      </w:r>
      <w:r>
        <w:rPr>
          <w:sz w:val="24"/>
          <w:szCs w:val="24"/>
        </w:rPr>
        <w:t xml:space="preserve">people on the </w:t>
      </w:r>
      <w:r w:rsidRPr="007C12A2">
        <w:rPr>
          <w:sz w:val="24"/>
          <w:szCs w:val="24"/>
        </w:rPr>
        <w:t xml:space="preserve">BDR were accessing alcohol through store hopping and/or secondary supply, albeit in small numbers.  </w:t>
      </w:r>
    </w:p>
    <w:p w14:paraId="5DD4AC5B" w14:textId="77777777" w:rsidR="00873CA6" w:rsidRPr="00A65005" w:rsidRDefault="00873CA6" w:rsidP="006A27BA">
      <w:pPr>
        <w:pStyle w:val="ListParagraph"/>
        <w:numPr>
          <w:ilvl w:val="0"/>
          <w:numId w:val="8"/>
        </w:numPr>
        <w:spacing w:before="0" w:after="160" w:line="259" w:lineRule="auto"/>
        <w:rPr>
          <w:sz w:val="24"/>
          <w:szCs w:val="24"/>
        </w:rPr>
      </w:pPr>
      <w:r w:rsidRPr="00A65005">
        <w:rPr>
          <w:sz w:val="24"/>
          <w:szCs w:val="24"/>
        </w:rPr>
        <w:t>Linkage of people on the BDR to support services was not strong</w:t>
      </w:r>
    </w:p>
    <w:p w14:paraId="42E503B0" w14:textId="77777777" w:rsidR="00873CA6" w:rsidRPr="00A65005" w:rsidRDefault="00873CA6" w:rsidP="006A27BA">
      <w:pPr>
        <w:pStyle w:val="ListParagraph"/>
        <w:numPr>
          <w:ilvl w:val="0"/>
          <w:numId w:val="8"/>
        </w:numPr>
        <w:spacing w:before="0" w:after="160" w:line="259" w:lineRule="auto"/>
        <w:rPr>
          <w:sz w:val="24"/>
          <w:szCs w:val="24"/>
        </w:rPr>
      </w:pPr>
      <w:r w:rsidRPr="00A65005">
        <w:rPr>
          <w:sz w:val="24"/>
          <w:szCs w:val="24"/>
        </w:rPr>
        <w:t xml:space="preserve">Scanners did not operate, or were not operated correctly, in a small number of cases. </w:t>
      </w:r>
    </w:p>
    <w:p w14:paraId="66CB4E9A" w14:textId="77777777" w:rsidR="00873CA6" w:rsidRPr="00A65005" w:rsidRDefault="00873CA6" w:rsidP="006A27BA">
      <w:pPr>
        <w:pStyle w:val="ListParagraph"/>
        <w:numPr>
          <w:ilvl w:val="0"/>
          <w:numId w:val="8"/>
        </w:numPr>
        <w:spacing w:before="0" w:after="160" w:line="259" w:lineRule="auto"/>
        <w:rPr>
          <w:sz w:val="24"/>
          <w:szCs w:val="24"/>
        </w:rPr>
      </w:pPr>
      <w:r w:rsidRPr="00A65005">
        <w:rPr>
          <w:sz w:val="24"/>
          <w:szCs w:val="24"/>
        </w:rPr>
        <w:t xml:space="preserve">Scanners did not work and/or did not connect to the internet for extended periods in some locations. </w:t>
      </w:r>
    </w:p>
    <w:p w14:paraId="209357B8" w14:textId="77777777" w:rsidR="00873CA6" w:rsidRPr="00A65005" w:rsidRDefault="00873CA6" w:rsidP="006A27BA">
      <w:pPr>
        <w:pStyle w:val="ListParagraph"/>
        <w:numPr>
          <w:ilvl w:val="0"/>
          <w:numId w:val="8"/>
        </w:numPr>
        <w:spacing w:before="0" w:after="160" w:line="259" w:lineRule="auto"/>
        <w:rPr>
          <w:sz w:val="24"/>
          <w:szCs w:val="24"/>
        </w:rPr>
      </w:pPr>
      <w:r w:rsidRPr="00A65005">
        <w:rPr>
          <w:sz w:val="24"/>
          <w:szCs w:val="24"/>
        </w:rPr>
        <w:t xml:space="preserve">There was no evident reduction in major crime categories relative to other regional locations without a BDR. </w:t>
      </w:r>
    </w:p>
    <w:p w14:paraId="4F98E54A" w14:textId="77777777" w:rsidR="00873CA6" w:rsidRPr="00DE13FA" w:rsidRDefault="00873CA6" w:rsidP="006A27BA">
      <w:pPr>
        <w:pStyle w:val="ListParagraph"/>
        <w:numPr>
          <w:ilvl w:val="0"/>
          <w:numId w:val="8"/>
        </w:numPr>
        <w:spacing w:before="0" w:after="160" w:line="259" w:lineRule="auto"/>
        <w:rPr>
          <w:sz w:val="24"/>
          <w:szCs w:val="24"/>
        </w:rPr>
      </w:pPr>
      <w:r w:rsidRPr="00A65005">
        <w:rPr>
          <w:sz w:val="24"/>
          <w:szCs w:val="24"/>
        </w:rPr>
        <w:t>The number of</w:t>
      </w:r>
      <w:r>
        <w:rPr>
          <w:sz w:val="24"/>
          <w:szCs w:val="24"/>
        </w:rPr>
        <w:t xml:space="preserve"> people registered on the</w:t>
      </w:r>
      <w:r w:rsidRPr="00A65005">
        <w:rPr>
          <w:sz w:val="24"/>
          <w:szCs w:val="24"/>
        </w:rPr>
        <w:t xml:space="preserve"> BDR had stabilised at a relatively low number. This was attributed to limited pathways to registration. </w:t>
      </w:r>
    </w:p>
    <w:p w14:paraId="37A1319C" w14:textId="77777777" w:rsidR="00873CA6" w:rsidRPr="007C12A2" w:rsidRDefault="00873CA6" w:rsidP="00873CA6">
      <w:pPr>
        <w:rPr>
          <w:sz w:val="24"/>
          <w:szCs w:val="24"/>
        </w:rPr>
      </w:pPr>
      <w:r w:rsidRPr="007C12A2">
        <w:rPr>
          <w:sz w:val="24"/>
          <w:szCs w:val="24"/>
        </w:rPr>
        <w:t xml:space="preserve">The evaluators </w:t>
      </w:r>
      <w:r>
        <w:rPr>
          <w:sz w:val="24"/>
          <w:szCs w:val="24"/>
        </w:rPr>
        <w:t>recommended</w:t>
      </w:r>
      <w:r w:rsidRPr="007C12A2">
        <w:rPr>
          <w:sz w:val="24"/>
          <w:szCs w:val="24"/>
        </w:rPr>
        <w:t xml:space="preserve"> </w:t>
      </w:r>
      <w:r>
        <w:rPr>
          <w:sz w:val="24"/>
          <w:szCs w:val="24"/>
        </w:rPr>
        <w:t xml:space="preserve">the </w:t>
      </w:r>
      <w:r w:rsidRPr="007C12A2">
        <w:rPr>
          <w:sz w:val="24"/>
          <w:szCs w:val="24"/>
        </w:rPr>
        <w:t xml:space="preserve">following broad courses of </w:t>
      </w:r>
      <w:r>
        <w:rPr>
          <w:sz w:val="24"/>
          <w:szCs w:val="24"/>
        </w:rPr>
        <w:t>action</w:t>
      </w:r>
      <w:r w:rsidRPr="007C12A2">
        <w:rPr>
          <w:sz w:val="24"/>
          <w:szCs w:val="24"/>
        </w:rPr>
        <w:t>:</w:t>
      </w:r>
    </w:p>
    <w:p w14:paraId="3DF8EC76" w14:textId="77777777" w:rsidR="00873CA6" w:rsidRPr="007C12A2" w:rsidRDefault="00873CA6" w:rsidP="006A27BA">
      <w:pPr>
        <w:pStyle w:val="ListParagraph"/>
        <w:numPr>
          <w:ilvl w:val="0"/>
          <w:numId w:val="9"/>
        </w:numPr>
        <w:spacing w:before="0" w:after="160" w:line="259" w:lineRule="auto"/>
        <w:rPr>
          <w:sz w:val="24"/>
          <w:szCs w:val="24"/>
        </w:rPr>
      </w:pPr>
      <w:r>
        <w:rPr>
          <w:sz w:val="24"/>
          <w:szCs w:val="24"/>
        </w:rPr>
        <w:t xml:space="preserve">Introduce </w:t>
      </w:r>
      <w:r w:rsidRPr="007C12A2">
        <w:rPr>
          <w:sz w:val="24"/>
          <w:szCs w:val="24"/>
        </w:rPr>
        <w:t>a framework to expand</w:t>
      </w:r>
      <w:r>
        <w:rPr>
          <w:sz w:val="24"/>
          <w:szCs w:val="24"/>
        </w:rPr>
        <w:t xml:space="preserve"> </w:t>
      </w:r>
      <w:r w:rsidRPr="007C12A2">
        <w:rPr>
          <w:sz w:val="24"/>
          <w:szCs w:val="24"/>
        </w:rPr>
        <w:t xml:space="preserve">pathways to BDR registration. </w:t>
      </w:r>
    </w:p>
    <w:p w14:paraId="11944CF4" w14:textId="77777777" w:rsidR="00873CA6" w:rsidRPr="007C12A2" w:rsidRDefault="00873CA6" w:rsidP="006A27BA">
      <w:pPr>
        <w:pStyle w:val="ListParagraph"/>
        <w:numPr>
          <w:ilvl w:val="0"/>
          <w:numId w:val="9"/>
        </w:numPr>
        <w:spacing w:before="0" w:after="160" w:line="259" w:lineRule="auto"/>
        <w:rPr>
          <w:sz w:val="24"/>
          <w:szCs w:val="24"/>
        </w:rPr>
      </w:pPr>
      <w:r w:rsidRPr="007C12A2">
        <w:rPr>
          <w:sz w:val="24"/>
          <w:szCs w:val="24"/>
        </w:rPr>
        <w:t>Increase engagement with designated liquo</w:t>
      </w:r>
      <w:r>
        <w:rPr>
          <w:sz w:val="24"/>
          <w:szCs w:val="24"/>
        </w:rPr>
        <w:t>r-</w:t>
      </w:r>
      <w:r w:rsidRPr="007C12A2">
        <w:rPr>
          <w:sz w:val="24"/>
          <w:szCs w:val="24"/>
        </w:rPr>
        <w:t>restricted premises (</w:t>
      </w:r>
      <w:r>
        <w:rPr>
          <w:sz w:val="24"/>
          <w:szCs w:val="24"/>
        </w:rPr>
        <w:t xml:space="preserve">under </w:t>
      </w:r>
      <w:r w:rsidRPr="007C12A2">
        <w:rPr>
          <w:sz w:val="24"/>
          <w:szCs w:val="24"/>
        </w:rPr>
        <w:t>Part 5B of the</w:t>
      </w:r>
      <w:r>
        <w:rPr>
          <w:sz w:val="24"/>
          <w:szCs w:val="24"/>
        </w:rPr>
        <w:t xml:space="preserve"> </w:t>
      </w:r>
      <w:r w:rsidRPr="00152F1B">
        <w:rPr>
          <w:i/>
          <w:iCs/>
          <w:sz w:val="24"/>
          <w:szCs w:val="24"/>
        </w:rPr>
        <w:t>Liquor Control Act</w:t>
      </w:r>
      <w:r>
        <w:rPr>
          <w:i/>
          <w:iCs/>
          <w:sz w:val="24"/>
          <w:szCs w:val="24"/>
        </w:rPr>
        <w:t xml:space="preserve"> 1988</w:t>
      </w:r>
      <w:r w:rsidRPr="007C12A2">
        <w:rPr>
          <w:sz w:val="24"/>
          <w:szCs w:val="24"/>
        </w:rPr>
        <w:t xml:space="preserve">) to create an additional pathway to BDR registration. </w:t>
      </w:r>
    </w:p>
    <w:p w14:paraId="0158D734" w14:textId="77777777" w:rsidR="00873CA6" w:rsidRPr="007C12A2" w:rsidRDefault="00873CA6" w:rsidP="006A27BA">
      <w:pPr>
        <w:pStyle w:val="ListParagraph"/>
        <w:numPr>
          <w:ilvl w:val="0"/>
          <w:numId w:val="9"/>
        </w:numPr>
        <w:spacing w:before="0" w:after="160" w:line="259" w:lineRule="auto"/>
        <w:rPr>
          <w:sz w:val="24"/>
          <w:szCs w:val="24"/>
        </w:rPr>
      </w:pPr>
      <w:r w:rsidRPr="007C12A2">
        <w:rPr>
          <w:sz w:val="24"/>
          <w:szCs w:val="24"/>
        </w:rPr>
        <w:t xml:space="preserve">Strengthen linkages between </w:t>
      </w:r>
      <w:r>
        <w:rPr>
          <w:sz w:val="24"/>
          <w:szCs w:val="24"/>
        </w:rPr>
        <w:t xml:space="preserve">people on the </w:t>
      </w:r>
      <w:r w:rsidRPr="007C12A2">
        <w:rPr>
          <w:sz w:val="24"/>
          <w:szCs w:val="24"/>
        </w:rPr>
        <w:t>BDR</w:t>
      </w:r>
      <w:r>
        <w:rPr>
          <w:sz w:val="24"/>
          <w:szCs w:val="24"/>
        </w:rPr>
        <w:t xml:space="preserve"> </w:t>
      </w:r>
      <w:r w:rsidRPr="007C12A2">
        <w:rPr>
          <w:sz w:val="24"/>
          <w:szCs w:val="24"/>
        </w:rPr>
        <w:t xml:space="preserve">and a range of services to support them to address their harmful alcohol consumption. </w:t>
      </w:r>
    </w:p>
    <w:p w14:paraId="48449FF6" w14:textId="77777777" w:rsidR="00873CA6" w:rsidRPr="007C12A2" w:rsidRDefault="00873CA6" w:rsidP="006A27BA">
      <w:pPr>
        <w:pStyle w:val="ListParagraph"/>
        <w:numPr>
          <w:ilvl w:val="0"/>
          <w:numId w:val="9"/>
        </w:numPr>
        <w:spacing w:before="0" w:after="160" w:line="259" w:lineRule="auto"/>
        <w:rPr>
          <w:sz w:val="24"/>
          <w:szCs w:val="24"/>
        </w:rPr>
      </w:pPr>
      <w:r w:rsidRPr="007C12A2">
        <w:rPr>
          <w:sz w:val="24"/>
          <w:szCs w:val="24"/>
        </w:rPr>
        <w:t xml:space="preserve">Implement a standardised automated </w:t>
      </w:r>
      <w:r>
        <w:rPr>
          <w:sz w:val="24"/>
          <w:szCs w:val="24"/>
        </w:rPr>
        <w:t>store-level</w:t>
      </w:r>
      <w:r w:rsidRPr="007C12A2">
        <w:rPr>
          <w:sz w:val="24"/>
          <w:szCs w:val="24"/>
        </w:rPr>
        <w:t xml:space="preserve"> reporting framework that can more efficiently identify and resolve scanner technology issues.</w:t>
      </w:r>
    </w:p>
    <w:p w14:paraId="0BB97172" w14:textId="77777777" w:rsidR="00873CA6" w:rsidRDefault="00873CA6" w:rsidP="006A27BA">
      <w:pPr>
        <w:pStyle w:val="ListParagraph"/>
        <w:numPr>
          <w:ilvl w:val="0"/>
          <w:numId w:val="9"/>
        </w:numPr>
        <w:spacing w:before="0" w:after="160" w:line="259" w:lineRule="auto"/>
        <w:rPr>
          <w:sz w:val="24"/>
          <w:szCs w:val="24"/>
        </w:rPr>
      </w:pPr>
      <w:r>
        <w:rPr>
          <w:sz w:val="24"/>
          <w:szCs w:val="24"/>
        </w:rPr>
        <w:t>Further investigate incidents of</w:t>
      </w:r>
      <w:r w:rsidRPr="007C12A2">
        <w:rPr>
          <w:sz w:val="24"/>
          <w:szCs w:val="24"/>
        </w:rPr>
        <w:t xml:space="preserve"> ‘store-hopping’ and secondary supply</w:t>
      </w:r>
      <w:r>
        <w:rPr>
          <w:sz w:val="24"/>
          <w:szCs w:val="24"/>
        </w:rPr>
        <w:t>.</w:t>
      </w:r>
    </w:p>
    <w:p w14:paraId="6441CF85" w14:textId="77777777" w:rsidR="00873CA6" w:rsidRPr="00152F1B" w:rsidRDefault="00873CA6" w:rsidP="00873CA6">
      <w:pPr>
        <w:rPr>
          <w:sz w:val="24"/>
          <w:szCs w:val="24"/>
        </w:rPr>
      </w:pPr>
      <w:r>
        <w:rPr>
          <w:sz w:val="24"/>
          <w:szCs w:val="24"/>
        </w:rPr>
        <w:t>S</w:t>
      </w:r>
      <w:r w:rsidRPr="00152F1B">
        <w:rPr>
          <w:sz w:val="24"/>
          <w:szCs w:val="24"/>
        </w:rPr>
        <w:t xml:space="preserve">imilar improvements to the BDR </w:t>
      </w:r>
      <w:r>
        <w:rPr>
          <w:sz w:val="24"/>
          <w:szCs w:val="24"/>
        </w:rPr>
        <w:t xml:space="preserve">have been suggested by other </w:t>
      </w:r>
      <w:r w:rsidRPr="00152F1B">
        <w:rPr>
          <w:sz w:val="24"/>
          <w:szCs w:val="24"/>
        </w:rPr>
        <w:t>stakeholders</w:t>
      </w:r>
      <w:r>
        <w:rPr>
          <w:sz w:val="24"/>
          <w:szCs w:val="24"/>
        </w:rPr>
        <w:t xml:space="preserve"> outside of the interim evaluation process. </w:t>
      </w:r>
    </w:p>
    <w:p w14:paraId="4BC3087E" w14:textId="77777777" w:rsidR="00873CA6" w:rsidRDefault="00873CA6" w:rsidP="00873CA6">
      <w:pPr>
        <w:pStyle w:val="Heading2"/>
      </w:pPr>
      <w:r w:rsidRPr="00873CA6">
        <w:t>Proposed Changes to Optimise the</w:t>
      </w:r>
      <w:r>
        <w:t xml:space="preserve"> BDR </w:t>
      </w:r>
    </w:p>
    <w:p w14:paraId="1429A830" w14:textId="77777777" w:rsidR="00873CA6" w:rsidRPr="00A65005" w:rsidRDefault="00873CA6" w:rsidP="00873CA6">
      <w:pPr>
        <w:rPr>
          <w:sz w:val="24"/>
          <w:szCs w:val="24"/>
        </w:rPr>
      </w:pPr>
      <w:r>
        <w:rPr>
          <w:sz w:val="24"/>
          <w:szCs w:val="24"/>
        </w:rPr>
        <w:t xml:space="preserve">In response to the interim evaluation findings, the State Government is considering a suite of legislative changes to optimise the BDR. </w:t>
      </w:r>
      <w:r w:rsidRPr="00A65005">
        <w:rPr>
          <w:sz w:val="24"/>
          <w:szCs w:val="24"/>
        </w:rPr>
        <w:t xml:space="preserve"> </w:t>
      </w:r>
      <w:r>
        <w:rPr>
          <w:sz w:val="24"/>
          <w:szCs w:val="24"/>
        </w:rPr>
        <w:t xml:space="preserve">These legislative options are </w:t>
      </w:r>
      <w:r w:rsidRPr="00A65005">
        <w:rPr>
          <w:sz w:val="24"/>
          <w:szCs w:val="24"/>
        </w:rPr>
        <w:t xml:space="preserve">highlighted below and detailed in the attached Table. </w:t>
      </w:r>
    </w:p>
    <w:p w14:paraId="1D25E7D2" w14:textId="77777777" w:rsidR="00873CA6" w:rsidRPr="00A65005" w:rsidRDefault="00873CA6" w:rsidP="006A27BA">
      <w:pPr>
        <w:pStyle w:val="Heading3"/>
        <w:numPr>
          <w:ilvl w:val="0"/>
          <w:numId w:val="19"/>
        </w:numPr>
        <w:ind w:left="720"/>
      </w:pPr>
      <w:r w:rsidRPr="00A65005">
        <w:t>Mandatory BDR Participation</w:t>
      </w:r>
    </w:p>
    <w:p w14:paraId="523B2779" w14:textId="77777777" w:rsidR="00873CA6" w:rsidRPr="00A65005" w:rsidRDefault="00873CA6" w:rsidP="006A27BA">
      <w:pPr>
        <w:pStyle w:val="ListParagraph"/>
        <w:numPr>
          <w:ilvl w:val="0"/>
          <w:numId w:val="10"/>
        </w:numPr>
        <w:spacing w:before="0" w:after="160" w:line="259" w:lineRule="auto"/>
        <w:rPr>
          <w:sz w:val="24"/>
          <w:szCs w:val="24"/>
        </w:rPr>
      </w:pPr>
      <w:r w:rsidRPr="00A65005">
        <w:rPr>
          <w:sz w:val="24"/>
          <w:szCs w:val="24"/>
        </w:rPr>
        <w:t xml:space="preserve">Provide the Minster or Director of Liquor Licensing with the power to </w:t>
      </w:r>
      <w:r>
        <w:rPr>
          <w:sz w:val="24"/>
          <w:szCs w:val="24"/>
        </w:rPr>
        <w:t xml:space="preserve">mandate </w:t>
      </w:r>
      <w:r w:rsidRPr="00A65005">
        <w:rPr>
          <w:sz w:val="24"/>
          <w:szCs w:val="24"/>
        </w:rPr>
        <w:t>licensees to participate in BDR trials or programs</w:t>
      </w:r>
      <w:r>
        <w:rPr>
          <w:sz w:val="24"/>
          <w:szCs w:val="24"/>
        </w:rPr>
        <w:t xml:space="preserve"> in the regions or locations where the BDR operates</w:t>
      </w:r>
      <w:r w:rsidRPr="00A65005">
        <w:rPr>
          <w:sz w:val="24"/>
          <w:szCs w:val="24"/>
        </w:rPr>
        <w:t xml:space="preserve">. </w:t>
      </w:r>
    </w:p>
    <w:p w14:paraId="42663209" w14:textId="77777777" w:rsidR="00873CA6" w:rsidRPr="00A65005" w:rsidRDefault="00873CA6" w:rsidP="006A27BA">
      <w:pPr>
        <w:pStyle w:val="ListParagraph"/>
        <w:numPr>
          <w:ilvl w:val="0"/>
          <w:numId w:val="10"/>
        </w:numPr>
        <w:spacing w:before="0" w:after="160" w:line="259" w:lineRule="auto"/>
        <w:rPr>
          <w:sz w:val="24"/>
          <w:szCs w:val="24"/>
        </w:rPr>
      </w:pPr>
      <w:r w:rsidRPr="00A65005">
        <w:rPr>
          <w:sz w:val="24"/>
          <w:szCs w:val="24"/>
        </w:rPr>
        <w:t>Include a sunset clause limiting</w:t>
      </w:r>
      <w:r>
        <w:rPr>
          <w:sz w:val="24"/>
          <w:szCs w:val="24"/>
        </w:rPr>
        <w:t xml:space="preserve"> the mandatory participation requirements to</w:t>
      </w:r>
      <w:r w:rsidRPr="00A65005">
        <w:rPr>
          <w:sz w:val="24"/>
          <w:szCs w:val="24"/>
        </w:rPr>
        <w:t xml:space="preserve"> the duration of the BDR trial</w:t>
      </w:r>
      <w:r>
        <w:rPr>
          <w:sz w:val="24"/>
          <w:szCs w:val="24"/>
        </w:rPr>
        <w:t xml:space="preserve">. If </w:t>
      </w:r>
      <w:r w:rsidRPr="00A65005">
        <w:rPr>
          <w:sz w:val="24"/>
          <w:szCs w:val="24"/>
        </w:rPr>
        <w:t>the program is established as an ongoing initiative</w:t>
      </w:r>
      <w:r>
        <w:rPr>
          <w:sz w:val="24"/>
          <w:szCs w:val="24"/>
        </w:rPr>
        <w:t>, the sunset clause could be amended or repealed</w:t>
      </w:r>
      <w:r w:rsidRPr="00A65005">
        <w:rPr>
          <w:sz w:val="24"/>
          <w:szCs w:val="24"/>
        </w:rPr>
        <w:t xml:space="preserve">. </w:t>
      </w:r>
    </w:p>
    <w:p w14:paraId="659A5E61" w14:textId="77777777" w:rsidR="00873CA6" w:rsidRDefault="00873CA6" w:rsidP="006A27BA">
      <w:pPr>
        <w:pStyle w:val="Heading3"/>
        <w:numPr>
          <w:ilvl w:val="0"/>
          <w:numId w:val="19"/>
        </w:numPr>
        <w:ind w:left="720"/>
      </w:pPr>
      <w:r>
        <w:t xml:space="preserve">Enhance and Expand Registration Pathways </w:t>
      </w:r>
    </w:p>
    <w:p w14:paraId="6E23AAA5" w14:textId="77777777" w:rsidR="00873CA6" w:rsidRPr="007C12A2" w:rsidRDefault="00873CA6" w:rsidP="006A27BA">
      <w:pPr>
        <w:pStyle w:val="ListParagraph"/>
        <w:numPr>
          <w:ilvl w:val="0"/>
          <w:numId w:val="11"/>
        </w:numPr>
        <w:spacing w:before="0" w:after="160" w:line="259" w:lineRule="auto"/>
        <w:rPr>
          <w:sz w:val="24"/>
          <w:szCs w:val="24"/>
        </w:rPr>
      </w:pPr>
      <w:r>
        <w:rPr>
          <w:sz w:val="24"/>
          <w:szCs w:val="24"/>
        </w:rPr>
        <w:t>Enact</w:t>
      </w:r>
      <w:r w:rsidRPr="007C12A2">
        <w:rPr>
          <w:sz w:val="24"/>
          <w:szCs w:val="24"/>
        </w:rPr>
        <w:t xml:space="preserve"> </w:t>
      </w:r>
      <w:r>
        <w:rPr>
          <w:sz w:val="24"/>
          <w:szCs w:val="24"/>
        </w:rPr>
        <w:t xml:space="preserve">additional </w:t>
      </w:r>
      <w:r w:rsidRPr="007C12A2">
        <w:rPr>
          <w:sz w:val="24"/>
          <w:szCs w:val="24"/>
        </w:rPr>
        <w:t>BDR pathways in WA, such as:</w:t>
      </w:r>
    </w:p>
    <w:p w14:paraId="69565BFF" w14:textId="77777777" w:rsidR="00873CA6" w:rsidRPr="007C12A2" w:rsidRDefault="00873CA6" w:rsidP="006A27BA">
      <w:pPr>
        <w:pStyle w:val="ListParagraph"/>
        <w:numPr>
          <w:ilvl w:val="1"/>
          <w:numId w:val="11"/>
        </w:numPr>
        <w:spacing w:before="0" w:after="160" w:line="259" w:lineRule="auto"/>
        <w:ind w:left="714" w:hanging="357"/>
        <w:rPr>
          <w:sz w:val="24"/>
          <w:szCs w:val="24"/>
        </w:rPr>
      </w:pPr>
      <w:r w:rsidRPr="007C12A2">
        <w:rPr>
          <w:sz w:val="24"/>
          <w:szCs w:val="24"/>
        </w:rPr>
        <w:t xml:space="preserve">Options for police and </w:t>
      </w:r>
      <w:r>
        <w:rPr>
          <w:sz w:val="24"/>
          <w:szCs w:val="24"/>
        </w:rPr>
        <w:t>court-related</w:t>
      </w:r>
      <w:r w:rsidRPr="007C12A2">
        <w:rPr>
          <w:sz w:val="24"/>
          <w:szCs w:val="24"/>
        </w:rPr>
        <w:t xml:space="preserve"> pathways to the BDR.</w:t>
      </w:r>
    </w:p>
    <w:p w14:paraId="311440BF" w14:textId="77777777" w:rsidR="00873CA6" w:rsidRPr="00146DC0" w:rsidRDefault="00873CA6" w:rsidP="006A27BA">
      <w:pPr>
        <w:pStyle w:val="ListParagraph"/>
        <w:numPr>
          <w:ilvl w:val="1"/>
          <w:numId w:val="11"/>
        </w:numPr>
        <w:spacing w:before="0" w:after="160" w:line="259" w:lineRule="auto"/>
        <w:ind w:left="714" w:hanging="357"/>
        <w:rPr>
          <w:sz w:val="24"/>
          <w:szCs w:val="24"/>
        </w:rPr>
      </w:pPr>
      <w:r w:rsidRPr="007C12A2">
        <w:rPr>
          <w:sz w:val="24"/>
          <w:szCs w:val="24"/>
        </w:rPr>
        <w:t>Expanding the range of people who can seek to place a person on the BDR.</w:t>
      </w:r>
    </w:p>
    <w:p w14:paraId="7104A392" w14:textId="77777777" w:rsidR="00873CA6" w:rsidRPr="00146DC0" w:rsidRDefault="00873CA6" w:rsidP="006A27BA">
      <w:pPr>
        <w:pStyle w:val="ListParagraph"/>
        <w:numPr>
          <w:ilvl w:val="0"/>
          <w:numId w:val="11"/>
        </w:numPr>
        <w:spacing w:before="0" w:after="160" w:line="259" w:lineRule="auto"/>
        <w:rPr>
          <w:i/>
          <w:iCs/>
          <w:sz w:val="24"/>
          <w:szCs w:val="24"/>
        </w:rPr>
      </w:pPr>
      <w:r>
        <w:rPr>
          <w:sz w:val="24"/>
          <w:szCs w:val="24"/>
        </w:rPr>
        <w:t xml:space="preserve">Examine elements of the </w:t>
      </w:r>
      <w:r w:rsidRPr="00146DC0">
        <w:rPr>
          <w:i/>
          <w:iCs/>
          <w:sz w:val="24"/>
          <w:szCs w:val="24"/>
        </w:rPr>
        <w:t xml:space="preserve">Northern Territory Alcohol Harm Reduction </w:t>
      </w:r>
      <w:r>
        <w:rPr>
          <w:i/>
          <w:iCs/>
          <w:sz w:val="24"/>
          <w:szCs w:val="24"/>
        </w:rPr>
        <w:t xml:space="preserve">Act </w:t>
      </w:r>
      <w:r w:rsidRPr="00146DC0">
        <w:rPr>
          <w:i/>
          <w:iCs/>
          <w:sz w:val="24"/>
          <w:szCs w:val="24"/>
        </w:rPr>
        <w:t>2017</w:t>
      </w:r>
      <w:r>
        <w:rPr>
          <w:i/>
          <w:iCs/>
          <w:sz w:val="24"/>
          <w:szCs w:val="24"/>
        </w:rPr>
        <w:t xml:space="preserve"> </w:t>
      </w:r>
      <w:r>
        <w:rPr>
          <w:sz w:val="24"/>
          <w:szCs w:val="24"/>
        </w:rPr>
        <w:t xml:space="preserve">that could be adapted as additional BDR pathways. </w:t>
      </w:r>
    </w:p>
    <w:p w14:paraId="5A03FD1E" w14:textId="77777777" w:rsidR="00873CA6" w:rsidRPr="007C12A2" w:rsidRDefault="00873CA6" w:rsidP="006A27BA">
      <w:pPr>
        <w:pStyle w:val="ListParagraph"/>
        <w:numPr>
          <w:ilvl w:val="0"/>
          <w:numId w:val="11"/>
        </w:numPr>
        <w:spacing w:before="0" w:after="160" w:line="259" w:lineRule="auto"/>
        <w:rPr>
          <w:sz w:val="24"/>
          <w:szCs w:val="24"/>
        </w:rPr>
      </w:pPr>
      <w:r w:rsidRPr="007C12A2">
        <w:rPr>
          <w:sz w:val="24"/>
          <w:szCs w:val="24"/>
        </w:rPr>
        <w:t xml:space="preserve">Expand the criteria for the issue of a </w:t>
      </w:r>
      <w:r>
        <w:rPr>
          <w:sz w:val="24"/>
          <w:szCs w:val="24"/>
        </w:rPr>
        <w:t>P</w:t>
      </w:r>
      <w:r w:rsidRPr="007C12A2">
        <w:rPr>
          <w:sz w:val="24"/>
          <w:szCs w:val="24"/>
        </w:rPr>
        <w:t xml:space="preserve">rohibition </w:t>
      </w:r>
      <w:r>
        <w:rPr>
          <w:sz w:val="24"/>
          <w:szCs w:val="24"/>
        </w:rPr>
        <w:t>O</w:t>
      </w:r>
      <w:r w:rsidRPr="007C12A2">
        <w:rPr>
          <w:sz w:val="24"/>
          <w:szCs w:val="24"/>
        </w:rPr>
        <w:t xml:space="preserve">rder to include </w:t>
      </w:r>
      <w:r>
        <w:rPr>
          <w:sz w:val="24"/>
          <w:szCs w:val="24"/>
        </w:rPr>
        <w:t>alcohol-related</w:t>
      </w:r>
      <w:r w:rsidRPr="007C12A2">
        <w:rPr>
          <w:sz w:val="24"/>
          <w:szCs w:val="24"/>
        </w:rPr>
        <w:t xml:space="preserve"> violence, driving under the influence of alcohol and other alcohol-related offences.</w:t>
      </w:r>
    </w:p>
    <w:p w14:paraId="66124316" w14:textId="77777777" w:rsidR="00873CA6" w:rsidRPr="007C12A2" w:rsidRDefault="00873CA6" w:rsidP="006A27BA">
      <w:pPr>
        <w:pStyle w:val="ListParagraph"/>
        <w:numPr>
          <w:ilvl w:val="0"/>
          <w:numId w:val="11"/>
        </w:numPr>
        <w:spacing w:before="0" w:after="160" w:line="259" w:lineRule="auto"/>
        <w:rPr>
          <w:sz w:val="24"/>
          <w:szCs w:val="24"/>
        </w:rPr>
      </w:pPr>
      <w:r w:rsidRPr="007C12A2">
        <w:rPr>
          <w:sz w:val="24"/>
          <w:szCs w:val="24"/>
        </w:rPr>
        <w:t xml:space="preserve">Provide that causative behaviour for a </w:t>
      </w:r>
      <w:r>
        <w:rPr>
          <w:sz w:val="24"/>
          <w:szCs w:val="24"/>
        </w:rPr>
        <w:t>P</w:t>
      </w:r>
      <w:r w:rsidRPr="007C12A2">
        <w:rPr>
          <w:sz w:val="24"/>
          <w:szCs w:val="24"/>
        </w:rPr>
        <w:t xml:space="preserve">rohibition </w:t>
      </w:r>
      <w:r>
        <w:rPr>
          <w:sz w:val="24"/>
          <w:szCs w:val="24"/>
        </w:rPr>
        <w:t>O</w:t>
      </w:r>
      <w:r w:rsidRPr="007C12A2">
        <w:rPr>
          <w:sz w:val="24"/>
          <w:szCs w:val="24"/>
        </w:rPr>
        <w:t xml:space="preserve">rder or </w:t>
      </w:r>
      <w:r>
        <w:rPr>
          <w:sz w:val="24"/>
          <w:szCs w:val="24"/>
        </w:rPr>
        <w:t>B</w:t>
      </w:r>
      <w:r w:rsidRPr="007C12A2">
        <w:rPr>
          <w:sz w:val="24"/>
          <w:szCs w:val="24"/>
        </w:rPr>
        <w:t xml:space="preserve">arring </w:t>
      </w:r>
      <w:r>
        <w:rPr>
          <w:sz w:val="24"/>
          <w:szCs w:val="24"/>
        </w:rPr>
        <w:t>N</w:t>
      </w:r>
      <w:r w:rsidRPr="007C12A2">
        <w:rPr>
          <w:sz w:val="24"/>
          <w:szCs w:val="24"/>
        </w:rPr>
        <w:t xml:space="preserve">otice be linked to the consumption of liquor </w:t>
      </w:r>
      <w:r w:rsidRPr="001C0DA3">
        <w:rPr>
          <w:b/>
          <w:sz w:val="24"/>
          <w:szCs w:val="24"/>
        </w:rPr>
        <w:t>not</w:t>
      </w:r>
      <w:r w:rsidRPr="007C12A2">
        <w:rPr>
          <w:sz w:val="24"/>
          <w:szCs w:val="24"/>
        </w:rPr>
        <w:t xml:space="preserve"> on or in the vicinity of licensed premises.</w:t>
      </w:r>
    </w:p>
    <w:p w14:paraId="65A47F01" w14:textId="77777777" w:rsidR="00873CA6" w:rsidRPr="007C12A2" w:rsidRDefault="00873CA6" w:rsidP="006A27BA">
      <w:pPr>
        <w:pStyle w:val="ListParagraph"/>
        <w:numPr>
          <w:ilvl w:val="0"/>
          <w:numId w:val="11"/>
        </w:numPr>
        <w:spacing w:before="0" w:after="160" w:line="259" w:lineRule="auto"/>
        <w:rPr>
          <w:sz w:val="24"/>
          <w:szCs w:val="24"/>
        </w:rPr>
      </w:pPr>
      <w:r w:rsidRPr="007C12A2">
        <w:rPr>
          <w:sz w:val="24"/>
          <w:szCs w:val="24"/>
        </w:rPr>
        <w:t xml:space="preserve">Enable WA Police at or above </w:t>
      </w:r>
      <w:r>
        <w:rPr>
          <w:sz w:val="24"/>
          <w:szCs w:val="24"/>
        </w:rPr>
        <w:t xml:space="preserve">the </w:t>
      </w:r>
      <w:r w:rsidRPr="007C12A2">
        <w:rPr>
          <w:sz w:val="24"/>
          <w:szCs w:val="24"/>
        </w:rPr>
        <w:t>rank of Senior Sergeant, in areas subject to a BDR, to issue short</w:t>
      </w:r>
      <w:r>
        <w:rPr>
          <w:sz w:val="24"/>
          <w:szCs w:val="24"/>
        </w:rPr>
        <w:t>-</w:t>
      </w:r>
      <w:r w:rsidRPr="007C12A2">
        <w:rPr>
          <w:sz w:val="24"/>
          <w:szCs w:val="24"/>
        </w:rPr>
        <w:t>term</w:t>
      </w:r>
      <w:r>
        <w:rPr>
          <w:sz w:val="24"/>
          <w:szCs w:val="24"/>
        </w:rPr>
        <w:t xml:space="preserve">, </w:t>
      </w:r>
      <w:r w:rsidRPr="007C12A2">
        <w:rPr>
          <w:sz w:val="24"/>
          <w:szCs w:val="24"/>
        </w:rPr>
        <w:t xml:space="preserve">immediate </w:t>
      </w:r>
      <w:r>
        <w:rPr>
          <w:sz w:val="24"/>
          <w:szCs w:val="24"/>
        </w:rPr>
        <w:t>B</w:t>
      </w:r>
      <w:r w:rsidRPr="007C12A2">
        <w:rPr>
          <w:sz w:val="24"/>
          <w:szCs w:val="24"/>
        </w:rPr>
        <w:t xml:space="preserve">arring </w:t>
      </w:r>
      <w:r>
        <w:rPr>
          <w:sz w:val="24"/>
          <w:szCs w:val="24"/>
        </w:rPr>
        <w:t>N</w:t>
      </w:r>
      <w:r w:rsidRPr="007C12A2">
        <w:rPr>
          <w:sz w:val="24"/>
          <w:szCs w:val="24"/>
        </w:rPr>
        <w:t xml:space="preserve">otice(s) for up to 30 days. </w:t>
      </w:r>
    </w:p>
    <w:p w14:paraId="72A9254C" w14:textId="77777777" w:rsidR="00873CA6" w:rsidRPr="007C12A2" w:rsidRDefault="00873CA6" w:rsidP="006A27BA">
      <w:pPr>
        <w:pStyle w:val="ListParagraph"/>
        <w:numPr>
          <w:ilvl w:val="0"/>
          <w:numId w:val="11"/>
        </w:numPr>
        <w:spacing w:before="0" w:after="160" w:line="259" w:lineRule="auto"/>
        <w:rPr>
          <w:sz w:val="24"/>
          <w:szCs w:val="24"/>
        </w:rPr>
      </w:pPr>
      <w:r w:rsidRPr="007C12A2">
        <w:rPr>
          <w:sz w:val="24"/>
          <w:szCs w:val="24"/>
        </w:rPr>
        <w:t>Enable data sharing between DLGSC and other State Government agencies to create additional pathways for placement on the BDR. This could include, but not be limited to provisional voluntary referral, therapeutic referrals by health professionals, and protectionary referrals by</w:t>
      </w:r>
      <w:r>
        <w:rPr>
          <w:sz w:val="24"/>
          <w:szCs w:val="24"/>
        </w:rPr>
        <w:t xml:space="preserve">, for example, the </w:t>
      </w:r>
      <w:r w:rsidRPr="007C12A2">
        <w:rPr>
          <w:sz w:val="24"/>
          <w:szCs w:val="24"/>
        </w:rPr>
        <w:t>Department</w:t>
      </w:r>
      <w:r>
        <w:rPr>
          <w:sz w:val="24"/>
          <w:szCs w:val="24"/>
        </w:rPr>
        <w:t xml:space="preserve"> </w:t>
      </w:r>
      <w:r w:rsidRPr="007C12A2">
        <w:rPr>
          <w:sz w:val="24"/>
          <w:szCs w:val="24"/>
        </w:rPr>
        <w:t xml:space="preserve">of Communities </w:t>
      </w:r>
      <w:r>
        <w:rPr>
          <w:sz w:val="24"/>
          <w:szCs w:val="24"/>
        </w:rPr>
        <w:t xml:space="preserve">and the Department of Health specialist frontline staff </w:t>
      </w:r>
      <w:r w:rsidRPr="007C12A2">
        <w:rPr>
          <w:sz w:val="24"/>
          <w:szCs w:val="24"/>
        </w:rPr>
        <w:t>(e.g., child protection case workers</w:t>
      </w:r>
      <w:r>
        <w:rPr>
          <w:sz w:val="24"/>
          <w:szCs w:val="24"/>
        </w:rPr>
        <w:t xml:space="preserve">, emergency room health professionals), and other specialist service providers funded by State Government agencies (e.g., mental health or family and domestic services). </w:t>
      </w:r>
    </w:p>
    <w:p w14:paraId="5E08CFF1" w14:textId="77777777" w:rsidR="00873CA6" w:rsidRDefault="00873CA6" w:rsidP="006A27BA">
      <w:pPr>
        <w:pStyle w:val="Heading3"/>
        <w:numPr>
          <w:ilvl w:val="0"/>
          <w:numId w:val="19"/>
        </w:numPr>
        <w:ind w:left="720"/>
      </w:pPr>
      <w:r>
        <w:t xml:space="preserve">Minimise Secondary Supply  </w:t>
      </w:r>
    </w:p>
    <w:p w14:paraId="131E29CB" w14:textId="77777777" w:rsidR="00873CA6" w:rsidRPr="001C0DA3" w:rsidRDefault="00873CA6" w:rsidP="006A27BA">
      <w:pPr>
        <w:pStyle w:val="ListParagraph"/>
        <w:numPr>
          <w:ilvl w:val="0"/>
          <w:numId w:val="18"/>
        </w:numPr>
        <w:spacing w:before="0" w:after="160" w:line="259" w:lineRule="auto"/>
        <w:rPr>
          <w:sz w:val="24"/>
          <w:szCs w:val="24"/>
        </w:rPr>
      </w:pPr>
      <w:r w:rsidRPr="001C0DA3">
        <w:rPr>
          <w:sz w:val="24"/>
          <w:szCs w:val="24"/>
        </w:rPr>
        <w:t xml:space="preserve">Create an offence for supplying liquor to someone known to be on the BDR register, in </w:t>
      </w:r>
      <w:r>
        <w:rPr>
          <w:sz w:val="24"/>
          <w:szCs w:val="24"/>
        </w:rPr>
        <w:t xml:space="preserve">locations </w:t>
      </w:r>
      <w:r w:rsidRPr="001C0DA3">
        <w:rPr>
          <w:sz w:val="24"/>
          <w:szCs w:val="24"/>
        </w:rPr>
        <w:t xml:space="preserve">where </w:t>
      </w:r>
      <w:r>
        <w:rPr>
          <w:sz w:val="24"/>
          <w:szCs w:val="24"/>
        </w:rPr>
        <w:t xml:space="preserve">the </w:t>
      </w:r>
      <w:r w:rsidRPr="001C0DA3">
        <w:rPr>
          <w:sz w:val="24"/>
          <w:szCs w:val="24"/>
        </w:rPr>
        <w:t>BDR is operating.</w:t>
      </w:r>
    </w:p>
    <w:p w14:paraId="0736110A" w14:textId="77777777" w:rsidR="00873CA6" w:rsidRPr="001C0DA3" w:rsidRDefault="00873CA6" w:rsidP="006A27BA">
      <w:pPr>
        <w:pStyle w:val="ListParagraph"/>
        <w:numPr>
          <w:ilvl w:val="0"/>
          <w:numId w:val="18"/>
        </w:numPr>
        <w:spacing w:before="0" w:after="160" w:line="259" w:lineRule="auto"/>
        <w:rPr>
          <w:sz w:val="24"/>
          <w:szCs w:val="24"/>
        </w:rPr>
      </w:pPr>
      <w:r w:rsidRPr="055A5134">
        <w:rPr>
          <w:sz w:val="24"/>
          <w:szCs w:val="24"/>
        </w:rPr>
        <w:t xml:space="preserve">Create an offence for the possession of packaged liquor by a person registered on BDR due to a </w:t>
      </w:r>
      <w:r>
        <w:rPr>
          <w:sz w:val="24"/>
          <w:szCs w:val="24"/>
        </w:rPr>
        <w:t>P</w:t>
      </w:r>
      <w:r w:rsidRPr="055A5134">
        <w:rPr>
          <w:sz w:val="24"/>
          <w:szCs w:val="24"/>
        </w:rPr>
        <w:t xml:space="preserve">rohibition </w:t>
      </w:r>
      <w:r>
        <w:rPr>
          <w:sz w:val="24"/>
          <w:szCs w:val="24"/>
        </w:rPr>
        <w:t>O</w:t>
      </w:r>
      <w:r w:rsidRPr="055A5134">
        <w:rPr>
          <w:sz w:val="24"/>
          <w:szCs w:val="24"/>
        </w:rPr>
        <w:t xml:space="preserve">rder or </w:t>
      </w:r>
      <w:r>
        <w:rPr>
          <w:sz w:val="24"/>
          <w:szCs w:val="24"/>
        </w:rPr>
        <w:t>B</w:t>
      </w:r>
      <w:r w:rsidRPr="055A5134">
        <w:rPr>
          <w:sz w:val="24"/>
          <w:szCs w:val="24"/>
        </w:rPr>
        <w:t xml:space="preserve">arring </w:t>
      </w:r>
      <w:r>
        <w:rPr>
          <w:sz w:val="24"/>
          <w:szCs w:val="24"/>
        </w:rPr>
        <w:t>N</w:t>
      </w:r>
      <w:r w:rsidRPr="055A5134">
        <w:rPr>
          <w:sz w:val="24"/>
          <w:szCs w:val="24"/>
        </w:rPr>
        <w:t>otice,  and provide police with the power to seize and dispose of that liquor.</w:t>
      </w:r>
    </w:p>
    <w:p w14:paraId="40385A44" w14:textId="77777777" w:rsidR="00873CA6" w:rsidRDefault="00873CA6" w:rsidP="00873CA6">
      <w:pPr>
        <w:pStyle w:val="Heading3"/>
      </w:pPr>
      <w:r>
        <w:t>Enable the expansion of the BDR program to other locations during the trial phase</w:t>
      </w:r>
    </w:p>
    <w:p w14:paraId="4CEBADEE" w14:textId="77777777" w:rsidR="00873CA6" w:rsidRPr="001C0DA3" w:rsidRDefault="00873CA6" w:rsidP="006A27BA">
      <w:pPr>
        <w:pStyle w:val="ListParagraph"/>
        <w:numPr>
          <w:ilvl w:val="0"/>
          <w:numId w:val="12"/>
        </w:numPr>
        <w:spacing w:before="0" w:after="160" w:line="259" w:lineRule="auto"/>
        <w:rPr>
          <w:sz w:val="24"/>
          <w:szCs w:val="24"/>
        </w:rPr>
      </w:pPr>
      <w:r w:rsidRPr="001C0DA3">
        <w:rPr>
          <w:sz w:val="24"/>
          <w:szCs w:val="24"/>
        </w:rPr>
        <w:t xml:space="preserve">Provide a head of power to enable regulations to prescribe </w:t>
      </w:r>
      <w:r>
        <w:rPr>
          <w:sz w:val="24"/>
          <w:szCs w:val="24"/>
        </w:rPr>
        <w:t>the</w:t>
      </w:r>
      <w:r w:rsidRPr="001C0DA3">
        <w:rPr>
          <w:sz w:val="24"/>
          <w:szCs w:val="24"/>
        </w:rPr>
        <w:t xml:space="preserve"> </w:t>
      </w:r>
      <w:r>
        <w:rPr>
          <w:sz w:val="24"/>
          <w:szCs w:val="24"/>
        </w:rPr>
        <w:t>locations</w:t>
      </w:r>
      <w:r w:rsidRPr="001C0DA3">
        <w:rPr>
          <w:sz w:val="24"/>
          <w:szCs w:val="24"/>
        </w:rPr>
        <w:t xml:space="preserve"> in which the trials are being undertaken, with </w:t>
      </w:r>
      <w:r>
        <w:rPr>
          <w:sz w:val="24"/>
          <w:szCs w:val="24"/>
        </w:rPr>
        <w:t xml:space="preserve">the </w:t>
      </w:r>
      <w:r w:rsidRPr="001C0DA3">
        <w:rPr>
          <w:sz w:val="24"/>
          <w:szCs w:val="24"/>
        </w:rPr>
        <w:t xml:space="preserve">potential for additional </w:t>
      </w:r>
      <w:r>
        <w:rPr>
          <w:sz w:val="24"/>
          <w:szCs w:val="24"/>
        </w:rPr>
        <w:t>locations</w:t>
      </w:r>
      <w:r w:rsidRPr="001C0DA3">
        <w:rPr>
          <w:sz w:val="24"/>
          <w:szCs w:val="24"/>
        </w:rPr>
        <w:t xml:space="preserve"> to be prescribed</w:t>
      </w:r>
      <w:r>
        <w:rPr>
          <w:sz w:val="24"/>
          <w:szCs w:val="24"/>
        </w:rPr>
        <w:t xml:space="preserve">. </w:t>
      </w:r>
    </w:p>
    <w:p w14:paraId="087C6B64" w14:textId="77777777" w:rsidR="00873CA6" w:rsidRPr="001C0DA3" w:rsidRDefault="00873CA6" w:rsidP="006A27BA">
      <w:pPr>
        <w:pStyle w:val="ListParagraph"/>
        <w:numPr>
          <w:ilvl w:val="0"/>
          <w:numId w:val="12"/>
        </w:numPr>
        <w:spacing w:before="0" w:after="160" w:line="259" w:lineRule="auto"/>
        <w:rPr>
          <w:sz w:val="24"/>
          <w:szCs w:val="24"/>
        </w:rPr>
      </w:pPr>
      <w:r w:rsidRPr="001C0DA3">
        <w:rPr>
          <w:sz w:val="24"/>
          <w:szCs w:val="24"/>
        </w:rPr>
        <w:t>Establish a legislative framework to recognise and support the BDR trials, including the inclusion of a definition, purpose and objective of the BDR.</w:t>
      </w:r>
    </w:p>
    <w:p w14:paraId="28308C55" w14:textId="77777777" w:rsidR="00873CA6" w:rsidRDefault="00873CA6" w:rsidP="006A27BA">
      <w:pPr>
        <w:pStyle w:val="Heading3"/>
        <w:numPr>
          <w:ilvl w:val="0"/>
          <w:numId w:val="19"/>
        </w:numPr>
        <w:ind w:left="720"/>
      </w:pPr>
      <w:r>
        <w:t>System and Process Enhancement</w:t>
      </w:r>
    </w:p>
    <w:p w14:paraId="69846AC6" w14:textId="77777777" w:rsidR="00873CA6" w:rsidRPr="005E5C84" w:rsidRDefault="00873CA6" w:rsidP="006A27BA">
      <w:pPr>
        <w:pStyle w:val="ListParagraph"/>
        <w:numPr>
          <w:ilvl w:val="0"/>
          <w:numId w:val="13"/>
        </w:numPr>
        <w:spacing w:before="0" w:after="160" w:line="259" w:lineRule="auto"/>
        <w:rPr>
          <w:sz w:val="24"/>
          <w:szCs w:val="24"/>
        </w:rPr>
      </w:pPr>
      <w:r w:rsidRPr="005E5C84">
        <w:rPr>
          <w:sz w:val="24"/>
          <w:szCs w:val="24"/>
        </w:rPr>
        <w:t>Prescribe the types of identification that can be accepted for scanning at licensed premises.</w:t>
      </w:r>
    </w:p>
    <w:p w14:paraId="18011C3A" w14:textId="77777777" w:rsidR="00873CA6" w:rsidRPr="005E5C84" w:rsidRDefault="00873CA6" w:rsidP="006A27BA">
      <w:pPr>
        <w:pStyle w:val="ListParagraph"/>
        <w:numPr>
          <w:ilvl w:val="0"/>
          <w:numId w:val="13"/>
        </w:numPr>
        <w:spacing w:before="0" w:after="160" w:line="259" w:lineRule="auto"/>
        <w:rPr>
          <w:sz w:val="24"/>
          <w:szCs w:val="24"/>
        </w:rPr>
      </w:pPr>
      <w:r w:rsidRPr="005E5C84">
        <w:rPr>
          <w:sz w:val="24"/>
          <w:szCs w:val="24"/>
        </w:rPr>
        <w:t>Clarify the privacy provisions in the Act to allow DLGSC to provide information about relevant support and help services to people on the BDR.</w:t>
      </w:r>
    </w:p>
    <w:p w14:paraId="7DA49EEE" w14:textId="77777777" w:rsidR="00873CA6" w:rsidRPr="00AE24DE" w:rsidRDefault="00873CA6" w:rsidP="006A27BA">
      <w:pPr>
        <w:pStyle w:val="ListParagraph"/>
        <w:numPr>
          <w:ilvl w:val="0"/>
          <w:numId w:val="13"/>
        </w:numPr>
        <w:spacing w:before="0" w:after="160" w:line="259" w:lineRule="auto"/>
        <w:rPr>
          <w:sz w:val="24"/>
          <w:szCs w:val="24"/>
        </w:rPr>
      </w:pPr>
      <w:r w:rsidRPr="005E5C84">
        <w:rPr>
          <w:sz w:val="24"/>
          <w:szCs w:val="24"/>
        </w:rPr>
        <w:t>Introduce a requirement for licensees that sell liquor online to check if a purchaser is on the BDR before permitting a sale.</w:t>
      </w:r>
    </w:p>
    <w:p w14:paraId="2F7203B4" w14:textId="77777777" w:rsidR="00873CA6" w:rsidRDefault="00873CA6" w:rsidP="00873CA6">
      <w:pPr>
        <w:pStyle w:val="Heading2"/>
      </w:pPr>
      <w:r>
        <w:t>Consultation</w:t>
      </w:r>
    </w:p>
    <w:p w14:paraId="4404D1F4" w14:textId="77777777" w:rsidR="00873CA6" w:rsidRPr="005E5C84" w:rsidRDefault="00873CA6" w:rsidP="00873CA6">
      <w:pPr>
        <w:rPr>
          <w:sz w:val="24"/>
          <w:szCs w:val="24"/>
        </w:rPr>
      </w:pPr>
      <w:r w:rsidRPr="055A5134">
        <w:rPr>
          <w:sz w:val="24"/>
          <w:szCs w:val="24"/>
        </w:rPr>
        <w:t>The attached table outlines a suite of proposed legislative amendments to enhance and optimise the BDR</w:t>
      </w:r>
      <w:r>
        <w:rPr>
          <w:sz w:val="24"/>
          <w:szCs w:val="24"/>
        </w:rPr>
        <w:t xml:space="preserve"> and </w:t>
      </w:r>
      <w:r w:rsidRPr="055A5134">
        <w:rPr>
          <w:sz w:val="24"/>
          <w:szCs w:val="24"/>
        </w:rPr>
        <w:t>the</w:t>
      </w:r>
      <w:r>
        <w:rPr>
          <w:sz w:val="24"/>
          <w:szCs w:val="24"/>
        </w:rPr>
        <w:t xml:space="preserve"> </w:t>
      </w:r>
      <w:r w:rsidRPr="055A5134">
        <w:rPr>
          <w:sz w:val="24"/>
          <w:szCs w:val="24"/>
        </w:rPr>
        <w:t>rationale for each amendment</w:t>
      </w:r>
      <w:r>
        <w:rPr>
          <w:sz w:val="24"/>
          <w:szCs w:val="24"/>
        </w:rPr>
        <w:t xml:space="preserve">. </w:t>
      </w:r>
      <w:r w:rsidRPr="055A5134">
        <w:rPr>
          <w:sz w:val="24"/>
          <w:szCs w:val="24"/>
        </w:rPr>
        <w:t xml:space="preserve"> When reviewing the options review and providing feedback you are encouraged to consider the following: </w:t>
      </w:r>
    </w:p>
    <w:p w14:paraId="07F75503" w14:textId="77777777" w:rsidR="00873CA6" w:rsidRPr="005E5C84" w:rsidRDefault="00873CA6" w:rsidP="006A27BA">
      <w:pPr>
        <w:pStyle w:val="ListParagraph"/>
        <w:widowControl w:val="0"/>
        <w:numPr>
          <w:ilvl w:val="0"/>
          <w:numId w:val="15"/>
        </w:numPr>
        <w:spacing w:before="0"/>
        <w:contextualSpacing w:val="0"/>
        <w:jc w:val="both"/>
        <w:rPr>
          <w:rFonts w:cstheme="minorHAnsi"/>
          <w:bCs w:val="0"/>
          <w:color w:val="000000"/>
          <w:sz w:val="24"/>
          <w:szCs w:val="24"/>
        </w:rPr>
      </w:pPr>
      <w:r w:rsidRPr="005E5C84">
        <w:rPr>
          <w:rFonts w:cstheme="minorHAnsi"/>
          <w:color w:val="000000"/>
          <w:sz w:val="24"/>
          <w:szCs w:val="24"/>
        </w:rPr>
        <w:t xml:space="preserve">Which of the proposed amendments </w:t>
      </w:r>
      <w:r>
        <w:rPr>
          <w:rFonts w:cstheme="minorHAnsi"/>
          <w:color w:val="000000"/>
          <w:sz w:val="24"/>
          <w:szCs w:val="24"/>
        </w:rPr>
        <w:t xml:space="preserve">do </w:t>
      </w:r>
      <w:r w:rsidRPr="005E5C84">
        <w:rPr>
          <w:rFonts w:cstheme="minorHAnsi"/>
          <w:color w:val="000000"/>
          <w:sz w:val="24"/>
          <w:szCs w:val="24"/>
        </w:rPr>
        <w:t>you support and briefly explain:</w:t>
      </w:r>
    </w:p>
    <w:p w14:paraId="3684FFA0" w14:textId="77777777" w:rsidR="00873CA6" w:rsidRPr="005E5C84" w:rsidRDefault="00873CA6" w:rsidP="006A27BA">
      <w:pPr>
        <w:pStyle w:val="ListParagraph"/>
        <w:widowControl w:val="0"/>
        <w:numPr>
          <w:ilvl w:val="0"/>
          <w:numId w:val="16"/>
        </w:numPr>
        <w:spacing w:before="0"/>
        <w:contextualSpacing w:val="0"/>
        <w:jc w:val="both"/>
        <w:rPr>
          <w:rFonts w:cstheme="minorHAnsi"/>
          <w:bCs w:val="0"/>
          <w:color w:val="000000"/>
          <w:sz w:val="24"/>
          <w:szCs w:val="24"/>
        </w:rPr>
      </w:pPr>
      <w:r w:rsidRPr="005E5C84">
        <w:rPr>
          <w:rFonts w:cstheme="minorHAnsi"/>
          <w:color w:val="000000"/>
          <w:sz w:val="24"/>
          <w:szCs w:val="24"/>
        </w:rPr>
        <w:t xml:space="preserve">Why </w:t>
      </w:r>
      <w:r>
        <w:rPr>
          <w:rFonts w:cstheme="minorHAnsi"/>
          <w:color w:val="000000"/>
          <w:sz w:val="24"/>
          <w:szCs w:val="24"/>
        </w:rPr>
        <w:t xml:space="preserve">do </w:t>
      </w:r>
      <w:r w:rsidRPr="005E5C84">
        <w:rPr>
          <w:rFonts w:cstheme="minorHAnsi"/>
          <w:color w:val="000000"/>
          <w:sz w:val="24"/>
          <w:szCs w:val="24"/>
        </w:rPr>
        <w:t>you support it.</w:t>
      </w:r>
    </w:p>
    <w:p w14:paraId="274F650F" w14:textId="77777777" w:rsidR="00873CA6" w:rsidRPr="005E5C84" w:rsidRDefault="00873CA6" w:rsidP="006A27BA">
      <w:pPr>
        <w:pStyle w:val="ListParagraph"/>
        <w:widowControl w:val="0"/>
        <w:numPr>
          <w:ilvl w:val="0"/>
          <w:numId w:val="16"/>
        </w:numPr>
        <w:spacing w:before="0"/>
        <w:contextualSpacing w:val="0"/>
        <w:jc w:val="both"/>
        <w:rPr>
          <w:rFonts w:cstheme="minorHAnsi"/>
          <w:bCs w:val="0"/>
          <w:color w:val="000000"/>
          <w:sz w:val="24"/>
          <w:szCs w:val="24"/>
        </w:rPr>
      </w:pPr>
      <w:r>
        <w:rPr>
          <w:rFonts w:cstheme="minorHAnsi"/>
          <w:color w:val="000000"/>
          <w:sz w:val="24"/>
          <w:szCs w:val="24"/>
        </w:rPr>
        <w:t>The advantages of the proposed change</w:t>
      </w:r>
      <w:r w:rsidRPr="005E5C84">
        <w:rPr>
          <w:rFonts w:cstheme="minorHAnsi"/>
          <w:color w:val="000000"/>
          <w:sz w:val="24"/>
          <w:szCs w:val="24"/>
        </w:rPr>
        <w:t>.</w:t>
      </w:r>
    </w:p>
    <w:p w14:paraId="2BE4B250" w14:textId="77777777" w:rsidR="00873CA6" w:rsidRPr="005E5C84" w:rsidRDefault="00873CA6" w:rsidP="006A27BA">
      <w:pPr>
        <w:pStyle w:val="ListParagraph"/>
        <w:widowControl w:val="0"/>
        <w:numPr>
          <w:ilvl w:val="0"/>
          <w:numId w:val="16"/>
        </w:numPr>
        <w:spacing w:before="0"/>
        <w:contextualSpacing w:val="0"/>
        <w:jc w:val="both"/>
        <w:rPr>
          <w:rFonts w:cstheme="minorHAnsi"/>
          <w:bCs w:val="0"/>
          <w:color w:val="000000"/>
          <w:sz w:val="24"/>
          <w:szCs w:val="24"/>
        </w:rPr>
      </w:pPr>
      <w:r>
        <w:rPr>
          <w:rFonts w:cstheme="minorHAnsi"/>
          <w:color w:val="000000"/>
          <w:sz w:val="24"/>
          <w:szCs w:val="24"/>
        </w:rPr>
        <w:t xml:space="preserve">Other matters you believe are relevant. </w:t>
      </w:r>
    </w:p>
    <w:p w14:paraId="7F9973EF" w14:textId="77777777" w:rsidR="00873CA6" w:rsidRPr="005E5C84" w:rsidRDefault="00873CA6" w:rsidP="00873CA6">
      <w:pPr>
        <w:pStyle w:val="ListParagraph"/>
        <w:widowControl w:val="0"/>
        <w:contextualSpacing w:val="0"/>
        <w:jc w:val="both"/>
        <w:rPr>
          <w:rFonts w:cstheme="minorHAnsi"/>
          <w:bCs w:val="0"/>
          <w:color w:val="000000"/>
          <w:sz w:val="24"/>
          <w:szCs w:val="24"/>
        </w:rPr>
      </w:pPr>
    </w:p>
    <w:p w14:paraId="3D01A5F7" w14:textId="77777777" w:rsidR="00873CA6" w:rsidRPr="005E5C84" w:rsidRDefault="00873CA6" w:rsidP="006A27BA">
      <w:pPr>
        <w:pStyle w:val="ListParagraph"/>
        <w:widowControl w:val="0"/>
        <w:numPr>
          <w:ilvl w:val="0"/>
          <w:numId w:val="15"/>
        </w:numPr>
        <w:spacing w:before="0"/>
        <w:contextualSpacing w:val="0"/>
        <w:jc w:val="both"/>
        <w:rPr>
          <w:rFonts w:cstheme="minorHAnsi"/>
          <w:bCs w:val="0"/>
          <w:color w:val="000000"/>
          <w:sz w:val="24"/>
          <w:szCs w:val="24"/>
        </w:rPr>
      </w:pPr>
      <w:r w:rsidRPr="005E5C84">
        <w:rPr>
          <w:rFonts w:cstheme="minorHAnsi"/>
          <w:color w:val="000000"/>
          <w:sz w:val="24"/>
          <w:szCs w:val="24"/>
        </w:rPr>
        <w:t xml:space="preserve">Which of the proposed amendments would you change and briefly explain: </w:t>
      </w:r>
    </w:p>
    <w:p w14:paraId="0348BE3D" w14:textId="77777777" w:rsidR="00873CA6" w:rsidRPr="005E5C84" w:rsidRDefault="00873CA6" w:rsidP="006A27BA">
      <w:pPr>
        <w:pStyle w:val="ListParagraph"/>
        <w:widowControl w:val="0"/>
        <w:numPr>
          <w:ilvl w:val="0"/>
          <w:numId w:val="17"/>
        </w:numPr>
        <w:spacing w:before="0"/>
        <w:contextualSpacing w:val="0"/>
        <w:jc w:val="both"/>
        <w:rPr>
          <w:rFonts w:cstheme="minorHAnsi"/>
          <w:bCs w:val="0"/>
          <w:color w:val="000000"/>
          <w:sz w:val="24"/>
          <w:szCs w:val="24"/>
        </w:rPr>
      </w:pPr>
      <w:r w:rsidRPr="005E5C84">
        <w:rPr>
          <w:rFonts w:cstheme="minorHAnsi"/>
          <w:color w:val="000000"/>
          <w:sz w:val="24"/>
          <w:szCs w:val="24"/>
        </w:rPr>
        <w:t xml:space="preserve">Why </w:t>
      </w:r>
      <w:r>
        <w:rPr>
          <w:rFonts w:cstheme="minorHAnsi"/>
          <w:color w:val="000000"/>
          <w:sz w:val="24"/>
          <w:szCs w:val="24"/>
        </w:rPr>
        <w:t xml:space="preserve">you </w:t>
      </w:r>
      <w:r w:rsidRPr="005E5C84">
        <w:rPr>
          <w:rFonts w:cstheme="minorHAnsi"/>
          <w:color w:val="000000"/>
          <w:sz w:val="24"/>
          <w:szCs w:val="24"/>
        </w:rPr>
        <w:t xml:space="preserve">would change it. </w:t>
      </w:r>
    </w:p>
    <w:p w14:paraId="18B6E4E8" w14:textId="77777777" w:rsidR="00873CA6" w:rsidRPr="005E5C84" w:rsidRDefault="00873CA6" w:rsidP="006A27BA">
      <w:pPr>
        <w:pStyle w:val="ListParagraph"/>
        <w:widowControl w:val="0"/>
        <w:numPr>
          <w:ilvl w:val="0"/>
          <w:numId w:val="17"/>
        </w:numPr>
        <w:spacing w:before="0"/>
        <w:contextualSpacing w:val="0"/>
        <w:jc w:val="both"/>
        <w:rPr>
          <w:rFonts w:cstheme="minorHAnsi"/>
          <w:bCs w:val="0"/>
          <w:color w:val="000000"/>
          <w:sz w:val="24"/>
          <w:szCs w:val="24"/>
        </w:rPr>
      </w:pPr>
      <w:r w:rsidRPr="005E5C84">
        <w:rPr>
          <w:rFonts w:cstheme="minorHAnsi"/>
          <w:color w:val="000000"/>
          <w:sz w:val="24"/>
          <w:szCs w:val="24"/>
        </w:rPr>
        <w:t xml:space="preserve">How you would change it. </w:t>
      </w:r>
    </w:p>
    <w:p w14:paraId="3B785B58" w14:textId="38B53972" w:rsidR="00873CA6" w:rsidRPr="00873CA6" w:rsidRDefault="00873CA6" w:rsidP="006A27BA">
      <w:pPr>
        <w:pStyle w:val="ListParagraph"/>
        <w:widowControl w:val="0"/>
        <w:numPr>
          <w:ilvl w:val="0"/>
          <w:numId w:val="17"/>
        </w:numPr>
        <w:spacing w:before="0"/>
        <w:contextualSpacing w:val="0"/>
        <w:jc w:val="both"/>
        <w:rPr>
          <w:rFonts w:cstheme="minorHAnsi"/>
          <w:bCs w:val="0"/>
          <w:color w:val="000000"/>
          <w:sz w:val="24"/>
          <w:szCs w:val="24"/>
        </w:rPr>
      </w:pPr>
      <w:r w:rsidRPr="005E5C84">
        <w:rPr>
          <w:rFonts w:cstheme="minorHAnsi"/>
          <w:color w:val="000000"/>
          <w:sz w:val="24"/>
          <w:szCs w:val="24"/>
        </w:rPr>
        <w:t xml:space="preserve">The advantages of your proposed change. </w:t>
      </w:r>
    </w:p>
    <w:p w14:paraId="1B69ADD9" w14:textId="403F12BB" w:rsidR="00873CA6" w:rsidRDefault="00873CA6" w:rsidP="00873CA6">
      <w:pPr>
        <w:pStyle w:val="ListParagraph"/>
        <w:widowControl w:val="0"/>
        <w:spacing w:before="0"/>
        <w:contextualSpacing w:val="0"/>
        <w:jc w:val="both"/>
        <w:rPr>
          <w:rFonts w:cstheme="minorHAnsi"/>
          <w:color w:val="000000"/>
          <w:sz w:val="24"/>
          <w:szCs w:val="24"/>
        </w:rPr>
      </w:pPr>
    </w:p>
    <w:p w14:paraId="7B4B52D2" w14:textId="77777777" w:rsidR="00873CA6" w:rsidRDefault="00873CA6" w:rsidP="00873CA6">
      <w:pPr>
        <w:pStyle w:val="ListParagraph"/>
        <w:widowControl w:val="0"/>
        <w:spacing w:before="0"/>
        <w:contextualSpacing w:val="0"/>
        <w:jc w:val="both"/>
        <w:rPr>
          <w:rFonts w:cstheme="minorHAnsi"/>
          <w:bCs w:val="0"/>
          <w:color w:val="000000"/>
          <w:sz w:val="24"/>
          <w:szCs w:val="24"/>
        </w:rPr>
        <w:sectPr w:rsidR="00873CA6" w:rsidSect="00F20E58">
          <w:headerReference w:type="first" r:id="rId14"/>
          <w:pgSz w:w="11907" w:h="16839" w:code="9"/>
          <w:pgMar w:top="1418" w:right="1134" w:bottom="1247" w:left="1134" w:header="284" w:footer="227" w:gutter="0"/>
          <w:cols w:space="720"/>
          <w:noEndnote/>
          <w:titlePg/>
          <w:docGrid w:linePitch="299"/>
        </w:sectPr>
      </w:pPr>
    </w:p>
    <w:tbl>
      <w:tblPr>
        <w:tblStyle w:val="TableGrid"/>
        <w:tblW w:w="0" w:type="auto"/>
        <w:tblInd w:w="137" w:type="dxa"/>
        <w:tblLook w:val="04A0" w:firstRow="1" w:lastRow="0" w:firstColumn="1" w:lastColumn="0" w:noHBand="0" w:noVBand="1"/>
      </w:tblPr>
      <w:tblGrid>
        <w:gridCol w:w="3969"/>
        <w:gridCol w:w="5812"/>
        <w:gridCol w:w="4246"/>
      </w:tblGrid>
      <w:tr w:rsidR="00873CA6" w:rsidRPr="00873CA6" w14:paraId="11D26D23" w14:textId="77777777" w:rsidTr="00873CA6">
        <w:trPr>
          <w:tblHeader/>
        </w:trPr>
        <w:tc>
          <w:tcPr>
            <w:tcW w:w="3969" w:type="dxa"/>
          </w:tcPr>
          <w:p w14:paraId="5A8FE97D" w14:textId="77777777" w:rsidR="00873CA6" w:rsidRPr="00873CA6" w:rsidRDefault="00873CA6">
            <w:pPr>
              <w:pStyle w:val="Heading2"/>
              <w:jc w:val="center"/>
              <w:rPr>
                <w:b/>
                <w:bCs w:val="0"/>
                <w:sz w:val="32"/>
                <w:szCs w:val="32"/>
              </w:rPr>
            </w:pPr>
            <w:bookmarkStart w:id="0" w:name="_Hlk112746550"/>
            <w:r w:rsidRPr="00873CA6">
              <w:rPr>
                <w:b/>
                <w:bCs w:val="0"/>
                <w:sz w:val="32"/>
                <w:szCs w:val="32"/>
              </w:rPr>
              <w:t>Rationale</w:t>
            </w:r>
          </w:p>
        </w:tc>
        <w:tc>
          <w:tcPr>
            <w:tcW w:w="5812" w:type="dxa"/>
          </w:tcPr>
          <w:p w14:paraId="5DFD4D6E" w14:textId="77777777" w:rsidR="00873CA6" w:rsidRPr="00873CA6" w:rsidRDefault="00873CA6">
            <w:pPr>
              <w:pStyle w:val="Heading2"/>
              <w:jc w:val="center"/>
              <w:rPr>
                <w:b/>
                <w:bCs w:val="0"/>
                <w:sz w:val="32"/>
                <w:szCs w:val="32"/>
              </w:rPr>
            </w:pPr>
            <w:r w:rsidRPr="00873CA6">
              <w:rPr>
                <w:b/>
                <w:bCs w:val="0"/>
                <w:sz w:val="32"/>
                <w:szCs w:val="32"/>
              </w:rPr>
              <w:t>Proposed amendments and reforms</w:t>
            </w:r>
          </w:p>
        </w:tc>
        <w:tc>
          <w:tcPr>
            <w:tcW w:w="4246" w:type="dxa"/>
          </w:tcPr>
          <w:p w14:paraId="599059D0" w14:textId="77777777" w:rsidR="00873CA6" w:rsidRPr="00873CA6" w:rsidRDefault="00873CA6">
            <w:pPr>
              <w:pStyle w:val="Heading2"/>
              <w:jc w:val="center"/>
              <w:rPr>
                <w:b/>
                <w:bCs w:val="0"/>
                <w:sz w:val="32"/>
                <w:szCs w:val="32"/>
              </w:rPr>
            </w:pPr>
            <w:r w:rsidRPr="00873CA6">
              <w:rPr>
                <w:b/>
                <w:bCs w:val="0"/>
                <w:sz w:val="32"/>
                <w:szCs w:val="32"/>
              </w:rPr>
              <w:t>Feedback</w:t>
            </w:r>
          </w:p>
        </w:tc>
      </w:tr>
      <w:tr w:rsidR="00873CA6" w14:paraId="2F44B96C" w14:textId="77777777" w:rsidTr="00873CA6">
        <w:trPr>
          <w:trHeight w:val="2462"/>
        </w:trPr>
        <w:tc>
          <w:tcPr>
            <w:tcW w:w="3969" w:type="dxa"/>
          </w:tcPr>
          <w:p w14:paraId="50B192C2" w14:textId="77777777" w:rsidR="00873CA6" w:rsidRDefault="00873CA6">
            <w:pPr>
              <w:spacing w:after="120" w:line="259" w:lineRule="auto"/>
            </w:pPr>
            <w:r w:rsidRPr="007C12A2">
              <w:t xml:space="preserve">The </w:t>
            </w:r>
            <w:r>
              <w:t>B</w:t>
            </w:r>
            <w:r w:rsidRPr="007C12A2">
              <w:t xml:space="preserve">anned </w:t>
            </w:r>
            <w:r>
              <w:t>D</w:t>
            </w:r>
            <w:r w:rsidRPr="007C12A2">
              <w:t xml:space="preserve">rinkers </w:t>
            </w:r>
            <w:r>
              <w:t>R</w:t>
            </w:r>
            <w:r w:rsidRPr="007C12A2">
              <w:t xml:space="preserve">egister (BDR) is not defined in the </w:t>
            </w:r>
            <w:r w:rsidRPr="00AE24DE">
              <w:rPr>
                <w:i/>
              </w:rPr>
              <w:t>Liquor Control Act</w:t>
            </w:r>
            <w:r>
              <w:t xml:space="preserve"> </w:t>
            </w:r>
            <w:r>
              <w:rPr>
                <w:i/>
                <w:iCs/>
              </w:rPr>
              <w:t>1989</w:t>
            </w:r>
            <w:r w:rsidRPr="007C12A2">
              <w:t>, therefore there is no legal basis for establishing BDRs in other areas where consumption management and harm minimisation measures are needed.</w:t>
            </w:r>
            <w:r>
              <w:t xml:space="preserve"> </w:t>
            </w:r>
          </w:p>
          <w:p w14:paraId="4757FB69" w14:textId="77777777" w:rsidR="00873CA6" w:rsidRDefault="00873CA6">
            <w:pPr>
              <w:spacing w:after="120" w:line="259" w:lineRule="auto"/>
            </w:pPr>
            <w:r>
              <w:t xml:space="preserve">In addition, implementation of the BDR by licensees is voluntary and by agreement. </w:t>
            </w:r>
          </w:p>
          <w:p w14:paraId="1554CA4E" w14:textId="77777777" w:rsidR="00873CA6" w:rsidRPr="00993D37" w:rsidRDefault="00873CA6">
            <w:pPr>
              <w:spacing w:after="120"/>
              <w:rPr>
                <w:b/>
                <w:bCs/>
              </w:rPr>
            </w:pPr>
          </w:p>
        </w:tc>
        <w:tc>
          <w:tcPr>
            <w:tcW w:w="5812" w:type="dxa"/>
            <w:vMerge w:val="restart"/>
          </w:tcPr>
          <w:p w14:paraId="70E1E009" w14:textId="77777777" w:rsidR="00873CA6" w:rsidRPr="00CE355D" w:rsidRDefault="00873CA6" w:rsidP="006A27BA">
            <w:pPr>
              <w:pStyle w:val="ListParagraph"/>
              <w:numPr>
                <w:ilvl w:val="0"/>
                <w:numId w:val="20"/>
              </w:numPr>
              <w:spacing w:before="0" w:after="120" w:line="259" w:lineRule="auto"/>
              <w:rPr>
                <w:b/>
                <w:bCs w:val="0"/>
              </w:rPr>
            </w:pPr>
            <w:r w:rsidRPr="007C12A2">
              <w:t>Establish a legislative framework within which the BDR can operate by:</w:t>
            </w:r>
          </w:p>
          <w:p w14:paraId="245CA0F9" w14:textId="77777777" w:rsidR="00873CA6" w:rsidRPr="00CE355D" w:rsidRDefault="00873CA6" w:rsidP="006A27BA">
            <w:pPr>
              <w:pStyle w:val="ListParagraph"/>
              <w:numPr>
                <w:ilvl w:val="1"/>
                <w:numId w:val="14"/>
              </w:numPr>
              <w:spacing w:before="0" w:after="120" w:line="259" w:lineRule="auto"/>
              <w:ind w:left="714" w:hanging="357"/>
              <w:rPr>
                <w:b/>
                <w:bCs w:val="0"/>
              </w:rPr>
            </w:pPr>
            <w:r>
              <w:t>i</w:t>
            </w:r>
            <w:r w:rsidRPr="007C12A2">
              <w:t>nserting a definition of Banned Drinkers Register (purpose and inclusions);</w:t>
            </w:r>
          </w:p>
          <w:p w14:paraId="109832EC" w14:textId="77777777" w:rsidR="00873CA6" w:rsidRPr="00CE355D" w:rsidRDefault="00873CA6" w:rsidP="006A27BA">
            <w:pPr>
              <w:pStyle w:val="ListParagraph"/>
              <w:numPr>
                <w:ilvl w:val="1"/>
                <w:numId w:val="14"/>
              </w:numPr>
              <w:spacing w:before="0" w:after="120" w:line="259" w:lineRule="auto"/>
              <w:ind w:left="714" w:hanging="357"/>
              <w:rPr>
                <w:b/>
                <w:bCs w:val="0"/>
              </w:rPr>
            </w:pPr>
            <w:r w:rsidRPr="007C12A2">
              <w:t xml:space="preserve">Inserting a Head of Power to enable the establishment of regulations to prescribe designated BDR regions. </w:t>
            </w:r>
          </w:p>
          <w:p w14:paraId="39E63FA2" w14:textId="77777777" w:rsidR="00873CA6" w:rsidRPr="00CE355D" w:rsidRDefault="00873CA6" w:rsidP="006A27BA">
            <w:pPr>
              <w:pStyle w:val="ListParagraph"/>
              <w:numPr>
                <w:ilvl w:val="0"/>
                <w:numId w:val="20"/>
              </w:numPr>
              <w:spacing w:before="0" w:after="120" w:line="259" w:lineRule="auto"/>
              <w:ind w:left="357"/>
              <w:rPr>
                <w:b/>
                <w:bCs w:val="0"/>
              </w:rPr>
            </w:pPr>
            <w:r w:rsidRPr="007C12A2">
              <w:t xml:space="preserve">Prescribe the types of identification that can be accepted for scanning at </w:t>
            </w:r>
            <w:r w:rsidRPr="00CE355D">
              <w:t>the</w:t>
            </w:r>
            <w:r w:rsidRPr="00CE355D">
              <w:rPr>
                <w:b/>
              </w:rPr>
              <w:t xml:space="preserve"> </w:t>
            </w:r>
            <w:r w:rsidRPr="007C12A2">
              <w:t>licensed premise.</w:t>
            </w:r>
          </w:p>
          <w:p w14:paraId="5123F0A8" w14:textId="77777777" w:rsidR="00873CA6" w:rsidRPr="00CE355D" w:rsidRDefault="00873CA6" w:rsidP="006A27BA">
            <w:pPr>
              <w:numPr>
                <w:ilvl w:val="0"/>
                <w:numId w:val="20"/>
              </w:numPr>
              <w:spacing w:before="0" w:after="120" w:line="259" w:lineRule="auto"/>
              <w:ind w:left="357" w:hanging="357"/>
              <w:rPr>
                <w:b/>
                <w:bCs/>
              </w:rPr>
            </w:pPr>
            <w:r w:rsidRPr="007C12A2">
              <w:t>Mandate the BDR for all licen</w:t>
            </w:r>
            <w:r>
              <w:t>s</w:t>
            </w:r>
            <w:r w:rsidRPr="007C12A2">
              <w:t>ed premises selling takeaway alcohol</w:t>
            </w:r>
            <w:r>
              <w:t xml:space="preserve"> in areas where the BDR operates</w:t>
            </w:r>
            <w:r w:rsidRPr="007C12A2">
              <w:t>.</w:t>
            </w:r>
          </w:p>
          <w:p w14:paraId="6AD44FD2" w14:textId="77777777" w:rsidR="00873CA6" w:rsidRPr="00CE355D" w:rsidRDefault="00873CA6" w:rsidP="006A27BA">
            <w:pPr>
              <w:numPr>
                <w:ilvl w:val="0"/>
                <w:numId w:val="20"/>
              </w:numPr>
              <w:spacing w:before="0" w:after="120" w:line="259" w:lineRule="auto"/>
              <w:ind w:left="357" w:hanging="357"/>
              <w:rPr>
                <w:b/>
                <w:bCs/>
              </w:rPr>
            </w:pPr>
            <w:r w:rsidRPr="007C12A2">
              <w:t>Draft model regulations that could be used to declare any area a designated BDR area.</w:t>
            </w:r>
          </w:p>
          <w:p w14:paraId="6E070F9E" w14:textId="77777777" w:rsidR="00873CA6" w:rsidRPr="00CE355D" w:rsidRDefault="00873CA6" w:rsidP="006A27BA">
            <w:pPr>
              <w:numPr>
                <w:ilvl w:val="0"/>
                <w:numId w:val="20"/>
              </w:numPr>
              <w:spacing w:before="0" w:after="120" w:line="259" w:lineRule="auto"/>
              <w:ind w:left="357" w:hanging="357"/>
              <w:rPr>
                <w:b/>
                <w:bCs/>
              </w:rPr>
            </w:pPr>
            <w:r w:rsidRPr="007C12A2">
              <w:t>Include</w:t>
            </w:r>
            <w:r w:rsidRPr="007C12A2" w:rsidDel="00BD1EAA">
              <w:t xml:space="preserve"> </w:t>
            </w:r>
            <w:r w:rsidRPr="007C12A2">
              <w:t>a sunset clause for the regulations to repeal if/or when the BDR program and/or trial ceases.</w:t>
            </w:r>
          </w:p>
        </w:tc>
        <w:tc>
          <w:tcPr>
            <w:tcW w:w="4246" w:type="dxa"/>
            <w:vMerge w:val="restart"/>
          </w:tcPr>
          <w:p w14:paraId="1FEF02A2" w14:textId="77777777" w:rsidR="00873CA6" w:rsidRDefault="00873CA6"/>
        </w:tc>
      </w:tr>
      <w:tr w:rsidR="00873CA6" w14:paraId="22ECC64D" w14:textId="77777777" w:rsidTr="00873CA6">
        <w:trPr>
          <w:trHeight w:val="1073"/>
        </w:trPr>
        <w:tc>
          <w:tcPr>
            <w:tcW w:w="3969" w:type="dxa"/>
          </w:tcPr>
          <w:p w14:paraId="7A8A4364" w14:textId="77777777" w:rsidR="00873CA6" w:rsidRPr="00C0271D" w:rsidRDefault="00873CA6">
            <w:pPr>
              <w:spacing w:after="120" w:line="259" w:lineRule="auto"/>
              <w:rPr>
                <w:b/>
                <w:bCs/>
              </w:rPr>
            </w:pPr>
            <w:r w:rsidRPr="00C0271D">
              <w:rPr>
                <w:b/>
                <w:bCs/>
              </w:rPr>
              <w:t>Option for consideration</w:t>
            </w:r>
          </w:p>
          <w:p w14:paraId="25484765" w14:textId="77777777" w:rsidR="00873CA6" w:rsidRPr="007C12A2" w:rsidRDefault="00873CA6">
            <w:pPr>
              <w:spacing w:after="120" w:line="259" w:lineRule="auto"/>
            </w:pPr>
            <w:r w:rsidRPr="00756C42">
              <w:t xml:space="preserve">The </w:t>
            </w:r>
            <w:hyperlink r:id="rId15" w:history="1">
              <w:r w:rsidRPr="00756C42">
                <w:rPr>
                  <w:rStyle w:val="Hyperlink"/>
                  <w:rFonts w:eastAsiaTheme="minorHAnsi"/>
                  <w:i/>
                  <w:iCs/>
                </w:rPr>
                <w:t>Northern Territory Alcohol Harm Reduction Act 2017</w:t>
              </w:r>
            </w:hyperlink>
            <w:r w:rsidRPr="00756C42">
              <w:rPr>
                <w:i/>
                <w:iCs/>
              </w:rPr>
              <w:t xml:space="preserve"> </w:t>
            </w:r>
            <w:r w:rsidRPr="00756C42">
              <w:t>includes a definition of a banned drinker register.</w:t>
            </w:r>
            <w:r>
              <w:t xml:space="preserve"> </w:t>
            </w:r>
          </w:p>
        </w:tc>
        <w:tc>
          <w:tcPr>
            <w:tcW w:w="5812" w:type="dxa"/>
            <w:vMerge/>
          </w:tcPr>
          <w:p w14:paraId="60E7AF1A" w14:textId="77777777" w:rsidR="00873CA6" w:rsidRPr="007C12A2" w:rsidRDefault="00873CA6" w:rsidP="006A27BA">
            <w:pPr>
              <w:pStyle w:val="ListParagraph"/>
              <w:numPr>
                <w:ilvl w:val="0"/>
                <w:numId w:val="20"/>
              </w:numPr>
              <w:spacing w:before="0" w:after="120"/>
            </w:pPr>
          </w:p>
        </w:tc>
        <w:tc>
          <w:tcPr>
            <w:tcW w:w="4246" w:type="dxa"/>
            <w:vMerge/>
          </w:tcPr>
          <w:p w14:paraId="3335683D" w14:textId="77777777" w:rsidR="00873CA6" w:rsidRDefault="00873CA6"/>
        </w:tc>
      </w:tr>
      <w:tr w:rsidR="00873CA6" w:rsidRPr="00C510A2" w14:paraId="46E4275D" w14:textId="77777777" w:rsidTr="00873CA6">
        <w:trPr>
          <w:trHeight w:val="1347"/>
        </w:trPr>
        <w:tc>
          <w:tcPr>
            <w:tcW w:w="3969" w:type="dxa"/>
            <w:vMerge w:val="restart"/>
          </w:tcPr>
          <w:p w14:paraId="70803F27" w14:textId="77777777" w:rsidR="00873CA6" w:rsidRDefault="00873CA6">
            <w:pPr>
              <w:spacing w:after="160" w:line="259" w:lineRule="auto"/>
            </w:pPr>
            <w:bookmarkStart w:id="1" w:name="_Hlk112746567"/>
            <w:bookmarkEnd w:id="0"/>
            <w:r w:rsidRPr="007C12A2">
              <w:t xml:space="preserve">BDR registration </w:t>
            </w:r>
            <w:r>
              <w:t>mainly results from</w:t>
            </w:r>
            <w:r w:rsidRPr="007C12A2">
              <w:t xml:space="preserve"> on-premises offences </w:t>
            </w:r>
            <w:r>
              <w:t xml:space="preserve">leading to a </w:t>
            </w:r>
            <w:r w:rsidRPr="007C12A2">
              <w:t xml:space="preserve">Prohibition Order (POs) and Barring Notice (BNs). </w:t>
            </w:r>
            <w:r>
              <w:t xml:space="preserve"> POs and BNs can only be issued for inappropriate or offending behaviour on or in the vicinity of licensed premises. </w:t>
            </w:r>
          </w:p>
          <w:p w14:paraId="0303AA71" w14:textId="77777777" w:rsidR="00873CA6" w:rsidRPr="007C12A2" w:rsidRDefault="00873CA6">
            <w:pPr>
              <w:spacing w:after="160" w:line="259" w:lineRule="auto"/>
              <w:rPr>
                <w:b/>
                <w:bCs/>
              </w:rPr>
            </w:pPr>
            <w:r w:rsidRPr="007C12A2">
              <w:t xml:space="preserve">Voluntary referral is the only pathway for people who commit alcohol-related offences off-premises.  </w:t>
            </w:r>
          </w:p>
          <w:p w14:paraId="3EAE5A7D" w14:textId="77777777" w:rsidR="00873CA6" w:rsidRPr="00527B17" w:rsidRDefault="00873CA6">
            <w:pPr>
              <w:spacing w:after="160" w:line="259" w:lineRule="auto"/>
            </w:pPr>
            <w:r w:rsidRPr="007C12A2">
              <w:t xml:space="preserve">This situation enables individuals who commit off-premises alcohol-related offences, such as violence, crimes and traffic offences, to continue purchasing takeaway alcohol.  The BDR’s limited scope and pathways to registration constrain its effectiveness as a consumption management and harm minimisation tool. </w:t>
            </w:r>
            <w:r>
              <w:t xml:space="preserve"> </w:t>
            </w:r>
          </w:p>
        </w:tc>
        <w:tc>
          <w:tcPr>
            <w:tcW w:w="5812" w:type="dxa"/>
          </w:tcPr>
          <w:p w14:paraId="41D2320C" w14:textId="77777777" w:rsidR="00873CA6" w:rsidRPr="00826D45" w:rsidRDefault="00873CA6" w:rsidP="006A27BA">
            <w:pPr>
              <w:pStyle w:val="ListParagraph"/>
              <w:numPr>
                <w:ilvl w:val="0"/>
                <w:numId w:val="20"/>
              </w:numPr>
              <w:spacing w:before="0"/>
              <w:rPr>
                <w:b/>
                <w:bCs w:val="0"/>
              </w:rPr>
            </w:pPr>
            <w:r w:rsidRPr="007C12A2">
              <w:t xml:space="preserve">Amend Part 5A sections 152A to 152NA to </w:t>
            </w:r>
            <w:r w:rsidRPr="004252AE">
              <w:t>expand/clarify</w:t>
            </w:r>
            <w:r w:rsidRPr="007C12A2">
              <w:t xml:space="preserve"> the definition of and criteria for Prohibition Orders as a protection order across the community (i.e., not limited to licensed premises) to include </w:t>
            </w:r>
            <w:r w:rsidRPr="004252AE">
              <w:t>alcohol-related violence</w:t>
            </w:r>
            <w:r w:rsidRPr="007C12A2">
              <w:t xml:space="preserve">, traffic offences and other </w:t>
            </w:r>
            <w:r w:rsidRPr="004252AE">
              <w:t>alcohol-related</w:t>
            </w:r>
            <w:r w:rsidRPr="007C12A2">
              <w:t xml:space="preserve"> offending. </w:t>
            </w:r>
          </w:p>
        </w:tc>
        <w:tc>
          <w:tcPr>
            <w:tcW w:w="4246" w:type="dxa"/>
          </w:tcPr>
          <w:p w14:paraId="37D6CF86" w14:textId="77777777" w:rsidR="00873CA6" w:rsidRPr="00C510A2" w:rsidRDefault="00873CA6">
            <w:pPr>
              <w:spacing w:after="160" w:line="259" w:lineRule="auto"/>
            </w:pPr>
          </w:p>
        </w:tc>
      </w:tr>
      <w:tr w:rsidR="00873CA6" w:rsidRPr="00C510A2" w14:paraId="3A31CE10" w14:textId="77777777" w:rsidTr="00873CA6">
        <w:trPr>
          <w:trHeight w:val="1050"/>
        </w:trPr>
        <w:tc>
          <w:tcPr>
            <w:tcW w:w="3969" w:type="dxa"/>
            <w:vMerge/>
          </w:tcPr>
          <w:p w14:paraId="39C6F2E7" w14:textId="77777777" w:rsidR="00873CA6" w:rsidRPr="007C12A2" w:rsidRDefault="00873CA6"/>
        </w:tc>
        <w:tc>
          <w:tcPr>
            <w:tcW w:w="5812" w:type="dxa"/>
          </w:tcPr>
          <w:p w14:paraId="206152C6" w14:textId="77777777" w:rsidR="00873CA6" w:rsidRPr="007C12A2" w:rsidRDefault="00873CA6" w:rsidP="006A27BA">
            <w:pPr>
              <w:pStyle w:val="ListParagraph"/>
              <w:numPr>
                <w:ilvl w:val="0"/>
                <w:numId w:val="20"/>
              </w:numPr>
              <w:spacing w:before="0"/>
            </w:pPr>
            <w:r w:rsidRPr="00F96FBC">
              <w:t>Amend Sections 115AA to 115AE to permit WA Police officers at or above Senior Sergeant rank</w:t>
            </w:r>
            <w:r>
              <w:t xml:space="preserve"> </w:t>
            </w:r>
            <w:r w:rsidRPr="00F96FBC">
              <w:t xml:space="preserve">to issue an immediate short-term Barring Notice for a period of 30 days. </w:t>
            </w:r>
          </w:p>
        </w:tc>
        <w:tc>
          <w:tcPr>
            <w:tcW w:w="4246" w:type="dxa"/>
          </w:tcPr>
          <w:p w14:paraId="50B13B03" w14:textId="77777777" w:rsidR="00873CA6" w:rsidRPr="00C510A2" w:rsidRDefault="00873CA6"/>
        </w:tc>
      </w:tr>
      <w:tr w:rsidR="00873CA6" w:rsidRPr="00C510A2" w14:paraId="3F2ADA54" w14:textId="77777777" w:rsidTr="00873CA6">
        <w:trPr>
          <w:trHeight w:val="891"/>
        </w:trPr>
        <w:tc>
          <w:tcPr>
            <w:tcW w:w="3969" w:type="dxa"/>
            <w:vMerge w:val="restart"/>
          </w:tcPr>
          <w:p w14:paraId="23BB0BD7" w14:textId="77777777" w:rsidR="00873CA6" w:rsidRPr="00C0271D" w:rsidRDefault="00873CA6">
            <w:pPr>
              <w:rPr>
                <w:b/>
                <w:bCs/>
              </w:rPr>
            </w:pPr>
            <w:r w:rsidRPr="00C0271D">
              <w:rPr>
                <w:b/>
                <w:bCs/>
              </w:rPr>
              <w:t>Options for consideration</w:t>
            </w:r>
          </w:p>
          <w:p w14:paraId="7F45A851" w14:textId="77777777" w:rsidR="00873CA6" w:rsidRDefault="00873CA6">
            <w:r>
              <w:t xml:space="preserve">The </w:t>
            </w:r>
            <w:hyperlink r:id="rId16" w:history="1">
              <w:r w:rsidRPr="005B13F6">
                <w:rPr>
                  <w:rStyle w:val="Hyperlink"/>
                  <w:rFonts w:eastAsiaTheme="minorHAnsi"/>
                  <w:i/>
                  <w:iCs/>
                </w:rPr>
                <w:t>Northern Territory Alcohol Harm Reduction Act 2017</w:t>
              </w:r>
            </w:hyperlink>
            <w:r w:rsidRPr="005B13F6">
              <w:rPr>
                <w:i/>
                <w:iCs/>
              </w:rPr>
              <w:t xml:space="preserve"> </w:t>
            </w:r>
            <w:r>
              <w:t xml:space="preserve"> </w:t>
            </w:r>
          </w:p>
          <w:p w14:paraId="2E57154D" w14:textId="77777777" w:rsidR="00873CA6" w:rsidRDefault="00873CA6"/>
          <w:p w14:paraId="5DD8F7C6" w14:textId="77777777" w:rsidR="00873CA6" w:rsidRPr="00A55D2E" w:rsidRDefault="00873CA6" w:rsidP="006A27BA">
            <w:pPr>
              <w:pStyle w:val="ListParagraph"/>
              <w:numPr>
                <w:ilvl w:val="0"/>
                <w:numId w:val="21"/>
              </w:numPr>
              <w:spacing w:before="0"/>
            </w:pPr>
            <w:r w:rsidRPr="00A55D2E">
              <w:t>Prescribes individuals other than police officers who can apply for BDR registration (Division 4).</w:t>
            </w:r>
          </w:p>
          <w:p w14:paraId="67A647BC" w14:textId="77777777" w:rsidR="00873CA6" w:rsidRPr="00A55D2E" w:rsidRDefault="00873CA6" w:rsidP="006A27BA">
            <w:pPr>
              <w:pStyle w:val="ListParagraph"/>
              <w:numPr>
                <w:ilvl w:val="0"/>
                <w:numId w:val="21"/>
              </w:numPr>
              <w:spacing w:before="0"/>
            </w:pPr>
            <w:r w:rsidRPr="00A55D2E">
              <w:t>Defines alcohol-related offences for the purposes of issuing a Banned Drinker Order (S10 (3)).</w:t>
            </w:r>
          </w:p>
          <w:p w14:paraId="711AEB35" w14:textId="77777777" w:rsidR="00873CA6" w:rsidRPr="00A55D2E" w:rsidRDefault="00873CA6"/>
          <w:p w14:paraId="30BE5062" w14:textId="77777777" w:rsidR="00873CA6" w:rsidRPr="007C12A2" w:rsidRDefault="00873CA6">
            <w:r w:rsidRPr="00A55D2E">
              <w:t xml:space="preserve">Part 5A of the </w:t>
            </w:r>
            <w:hyperlink r:id="rId17" w:history="1">
              <w:r w:rsidRPr="00A55D2E">
                <w:rPr>
                  <w:rStyle w:val="Hyperlink"/>
                  <w:rFonts w:eastAsiaTheme="minorHAnsi"/>
                  <w:i/>
                  <w:iCs/>
                </w:rPr>
                <w:t>Queensland Police Powers and Responsibilities Act 2022</w:t>
              </w:r>
            </w:hyperlink>
            <w:r w:rsidRPr="00A55D2E">
              <w:rPr>
                <w:i/>
                <w:iCs/>
              </w:rPr>
              <w:t xml:space="preserve"> </w:t>
            </w:r>
            <w:r w:rsidRPr="00A55D2E">
              <w:t>provides for short-term banning orders, known as an initial police banning notice.</w:t>
            </w:r>
          </w:p>
        </w:tc>
        <w:tc>
          <w:tcPr>
            <w:tcW w:w="5812" w:type="dxa"/>
          </w:tcPr>
          <w:p w14:paraId="101E8A75" w14:textId="77777777" w:rsidR="00873CA6" w:rsidRPr="001E1FBA" w:rsidRDefault="00873CA6" w:rsidP="006A27BA">
            <w:pPr>
              <w:pStyle w:val="ListParagraph"/>
              <w:numPr>
                <w:ilvl w:val="0"/>
                <w:numId w:val="20"/>
              </w:numPr>
              <w:spacing w:before="0"/>
              <w:rPr>
                <w:b/>
                <w:bCs w:val="0"/>
              </w:rPr>
            </w:pPr>
            <w:r w:rsidRPr="007C12A2">
              <w:t>Prescribe the level of evidence required to issue a Barring Notice e.g.,</w:t>
            </w:r>
            <w:r>
              <w:t xml:space="preserve"> a </w:t>
            </w:r>
            <w:r w:rsidRPr="007C12A2">
              <w:t>police officer reasonably believes</w:t>
            </w:r>
            <w:r>
              <w:t xml:space="preserve"> a</w:t>
            </w:r>
            <w:r w:rsidRPr="007C12A2">
              <w:t xml:space="preserve"> </w:t>
            </w:r>
            <w:r w:rsidRPr="001E1FBA">
              <w:t>short-term</w:t>
            </w:r>
            <w:r w:rsidRPr="007C12A2">
              <w:t xml:space="preserve"> </w:t>
            </w:r>
            <w:r>
              <w:t>B</w:t>
            </w:r>
            <w:r w:rsidRPr="007C12A2">
              <w:t xml:space="preserve">arring </w:t>
            </w:r>
            <w:r>
              <w:t>N</w:t>
            </w:r>
            <w:r w:rsidRPr="007C12A2">
              <w:t xml:space="preserve">otice is reasonable in the circumstances.  </w:t>
            </w:r>
          </w:p>
          <w:p w14:paraId="7EB26F96" w14:textId="77777777" w:rsidR="00873CA6" w:rsidRPr="004252AE" w:rsidRDefault="00873CA6">
            <w:pPr>
              <w:spacing w:after="120"/>
            </w:pPr>
          </w:p>
        </w:tc>
        <w:tc>
          <w:tcPr>
            <w:tcW w:w="4246" w:type="dxa"/>
          </w:tcPr>
          <w:p w14:paraId="1E6FB977" w14:textId="77777777" w:rsidR="00873CA6" w:rsidRPr="00C510A2" w:rsidRDefault="00873CA6"/>
        </w:tc>
      </w:tr>
      <w:tr w:rsidR="00873CA6" w:rsidRPr="00C510A2" w14:paraId="052259EE" w14:textId="77777777" w:rsidTr="00873CA6">
        <w:trPr>
          <w:trHeight w:val="1440"/>
        </w:trPr>
        <w:tc>
          <w:tcPr>
            <w:tcW w:w="3969" w:type="dxa"/>
            <w:vMerge/>
          </w:tcPr>
          <w:p w14:paraId="6A06A905" w14:textId="77777777" w:rsidR="00873CA6" w:rsidRPr="007C12A2" w:rsidRDefault="00873CA6"/>
        </w:tc>
        <w:tc>
          <w:tcPr>
            <w:tcW w:w="5812" w:type="dxa"/>
          </w:tcPr>
          <w:p w14:paraId="1C8F2339" w14:textId="77777777" w:rsidR="00873CA6" w:rsidRPr="002A0117" w:rsidRDefault="00873CA6" w:rsidP="006A27BA">
            <w:pPr>
              <w:pStyle w:val="ListParagraph"/>
              <w:numPr>
                <w:ilvl w:val="0"/>
                <w:numId w:val="20"/>
              </w:numPr>
              <w:spacing w:before="0" w:after="120" w:line="259" w:lineRule="auto"/>
              <w:rPr>
                <w:b/>
                <w:bCs w:val="0"/>
              </w:rPr>
            </w:pPr>
            <w:r w:rsidRPr="002A0117">
              <w:t>Enhance voluntary registration pathways through actions such as:</w:t>
            </w:r>
          </w:p>
          <w:p w14:paraId="3A470598" w14:textId="77777777" w:rsidR="00873CA6" w:rsidRPr="002A0117" w:rsidRDefault="00873CA6" w:rsidP="006A27BA">
            <w:pPr>
              <w:numPr>
                <w:ilvl w:val="1"/>
                <w:numId w:val="20"/>
              </w:numPr>
              <w:spacing w:before="0" w:after="120" w:line="259" w:lineRule="auto"/>
              <w:ind w:left="714" w:hanging="357"/>
              <w:rPr>
                <w:b/>
                <w:bCs/>
              </w:rPr>
            </w:pPr>
            <w:r w:rsidRPr="002A0117">
              <w:t>Frontline staff from relevant State Government agencies encouraging voluntary registration in situations where harmful alcohol use is a factor.</w:t>
            </w:r>
          </w:p>
          <w:p w14:paraId="51AE616C" w14:textId="77777777" w:rsidR="00873CA6" w:rsidRPr="002A0117" w:rsidRDefault="00873CA6" w:rsidP="006A27BA">
            <w:pPr>
              <w:numPr>
                <w:ilvl w:val="1"/>
                <w:numId w:val="20"/>
              </w:numPr>
              <w:spacing w:before="0" w:after="120" w:line="259" w:lineRule="auto"/>
              <w:ind w:left="714" w:hanging="357"/>
              <w:rPr>
                <w:b/>
                <w:bCs/>
              </w:rPr>
            </w:pPr>
            <w:r w:rsidRPr="002A0117">
              <w:t xml:space="preserve">Relevant agencies providing information about voluntary BDR registration to clients who may be using alcohol at a harmful level. </w:t>
            </w:r>
          </w:p>
        </w:tc>
        <w:tc>
          <w:tcPr>
            <w:tcW w:w="4246" w:type="dxa"/>
          </w:tcPr>
          <w:p w14:paraId="29DC57D5" w14:textId="77777777" w:rsidR="00873CA6" w:rsidRPr="00C510A2" w:rsidRDefault="00873CA6"/>
        </w:tc>
      </w:tr>
      <w:tr w:rsidR="00873CA6" w:rsidRPr="00C510A2" w14:paraId="5C54B96B" w14:textId="77777777" w:rsidTr="00873CA6">
        <w:trPr>
          <w:trHeight w:val="525"/>
        </w:trPr>
        <w:tc>
          <w:tcPr>
            <w:tcW w:w="3969" w:type="dxa"/>
            <w:vMerge/>
          </w:tcPr>
          <w:p w14:paraId="11E0A0E2" w14:textId="77777777" w:rsidR="00873CA6" w:rsidRPr="007C12A2" w:rsidRDefault="00873CA6"/>
        </w:tc>
        <w:tc>
          <w:tcPr>
            <w:tcW w:w="5812" w:type="dxa"/>
          </w:tcPr>
          <w:p w14:paraId="7188B206" w14:textId="77777777" w:rsidR="00873CA6" w:rsidRPr="002A0117" w:rsidRDefault="00873CA6" w:rsidP="006A27BA">
            <w:pPr>
              <w:pStyle w:val="ListParagraph"/>
              <w:numPr>
                <w:ilvl w:val="0"/>
                <w:numId w:val="20"/>
              </w:numPr>
              <w:spacing w:before="0"/>
            </w:pPr>
            <w:r w:rsidRPr="002A0117">
              <w:t xml:space="preserve">Enable staff of relevant State Government agencies, who are experienced in client assessments, to make a direct application to the Director of Liquor Licensing to register an individual on the BDR (e.g., emergency room health professionals, child protection case workers). </w:t>
            </w:r>
          </w:p>
        </w:tc>
        <w:tc>
          <w:tcPr>
            <w:tcW w:w="4246" w:type="dxa"/>
          </w:tcPr>
          <w:p w14:paraId="24228BAA" w14:textId="77777777" w:rsidR="00873CA6" w:rsidRPr="00C510A2" w:rsidRDefault="00873CA6"/>
        </w:tc>
      </w:tr>
      <w:bookmarkEnd w:id="1"/>
      <w:tr w:rsidR="00873CA6" w:rsidRPr="00C510A2" w14:paraId="206AA1A6" w14:textId="77777777" w:rsidTr="00873CA6">
        <w:trPr>
          <w:trHeight w:val="1463"/>
        </w:trPr>
        <w:tc>
          <w:tcPr>
            <w:tcW w:w="3969" w:type="dxa"/>
          </w:tcPr>
          <w:p w14:paraId="6578B54A" w14:textId="77777777" w:rsidR="00873CA6" w:rsidRPr="00C510A2" w:rsidRDefault="00873CA6">
            <w:pPr>
              <w:spacing w:after="120"/>
            </w:pPr>
            <w:r w:rsidRPr="00565AB5">
              <w:t xml:space="preserve">There is </w:t>
            </w:r>
            <w:r>
              <w:t>an opportunity to better link</w:t>
            </w:r>
            <w:r w:rsidRPr="00565AB5">
              <w:t xml:space="preserve"> BDR registration to support service referrals or access.  The ability to link BDR registrants to support services can enhance its effectiveness as a harm minimisation tool, and through this contribute to better long-term outcomes for individuals, families and communities at risk of alcohol-related harms. </w:t>
            </w:r>
          </w:p>
        </w:tc>
        <w:tc>
          <w:tcPr>
            <w:tcW w:w="5812" w:type="dxa"/>
            <w:vMerge w:val="restart"/>
          </w:tcPr>
          <w:p w14:paraId="62CFB4CB" w14:textId="77777777" w:rsidR="00873CA6" w:rsidRPr="00C510A2" w:rsidRDefault="00873CA6" w:rsidP="006A27BA">
            <w:pPr>
              <w:pStyle w:val="ListParagraph"/>
              <w:numPr>
                <w:ilvl w:val="0"/>
                <w:numId w:val="20"/>
              </w:numPr>
              <w:spacing w:before="0" w:after="120"/>
            </w:pPr>
            <w:r w:rsidRPr="00565AB5">
              <w:t xml:space="preserve">Amend Section 152(1) to grant that the Director Liquor Licensing authority to notify support services about </w:t>
            </w:r>
            <w:r>
              <w:t xml:space="preserve">people on the </w:t>
            </w:r>
            <w:r w:rsidRPr="00565AB5">
              <w:t>BDR in their area</w:t>
            </w:r>
          </w:p>
        </w:tc>
        <w:tc>
          <w:tcPr>
            <w:tcW w:w="4246" w:type="dxa"/>
            <w:vMerge w:val="restart"/>
          </w:tcPr>
          <w:p w14:paraId="5557B293" w14:textId="77777777" w:rsidR="00873CA6" w:rsidRPr="00C510A2" w:rsidRDefault="00873CA6">
            <w:pPr>
              <w:spacing w:after="160" w:line="259" w:lineRule="auto"/>
            </w:pPr>
          </w:p>
        </w:tc>
      </w:tr>
      <w:tr w:rsidR="00873CA6" w:rsidRPr="00C510A2" w14:paraId="0FD48A6F" w14:textId="77777777" w:rsidTr="00873CA6">
        <w:trPr>
          <w:trHeight w:val="1462"/>
        </w:trPr>
        <w:tc>
          <w:tcPr>
            <w:tcW w:w="3969" w:type="dxa"/>
          </w:tcPr>
          <w:p w14:paraId="35C81487" w14:textId="77777777" w:rsidR="00873CA6" w:rsidRPr="00A55D2E" w:rsidRDefault="00873CA6">
            <w:pPr>
              <w:spacing w:after="120"/>
              <w:rPr>
                <w:b/>
                <w:bCs/>
              </w:rPr>
            </w:pPr>
            <w:r w:rsidRPr="00A55D2E">
              <w:rPr>
                <w:b/>
                <w:bCs/>
              </w:rPr>
              <w:t>Option for consideration</w:t>
            </w:r>
          </w:p>
          <w:p w14:paraId="57C853DC" w14:textId="77777777" w:rsidR="00873CA6" w:rsidRPr="00A55D2E" w:rsidRDefault="00873CA6">
            <w:pPr>
              <w:spacing w:after="120"/>
            </w:pPr>
            <w:r w:rsidRPr="00A55D2E">
              <w:t xml:space="preserve">S26 of the </w:t>
            </w:r>
            <w:hyperlink r:id="rId18" w:history="1">
              <w:r w:rsidRPr="00A55D2E">
                <w:rPr>
                  <w:rStyle w:val="Hyperlink"/>
                  <w:rFonts w:eastAsiaTheme="minorHAnsi"/>
                  <w:i/>
                  <w:iCs/>
                </w:rPr>
                <w:t>Northern Territory Alcohol Harm Reduction Act 2017</w:t>
              </w:r>
            </w:hyperlink>
            <w:r w:rsidRPr="00A55D2E">
              <w:t xml:space="preserve"> grants the BDR Registrar authority to refer a person to a clinician for assessment for treatment.  </w:t>
            </w:r>
          </w:p>
        </w:tc>
        <w:tc>
          <w:tcPr>
            <w:tcW w:w="5812" w:type="dxa"/>
            <w:vMerge/>
          </w:tcPr>
          <w:p w14:paraId="3B461070" w14:textId="77777777" w:rsidR="00873CA6" w:rsidRPr="00565AB5" w:rsidRDefault="00873CA6" w:rsidP="006A27BA">
            <w:pPr>
              <w:pStyle w:val="ListParagraph"/>
              <w:numPr>
                <w:ilvl w:val="0"/>
                <w:numId w:val="20"/>
              </w:numPr>
              <w:spacing w:before="0" w:after="120"/>
            </w:pPr>
          </w:p>
        </w:tc>
        <w:tc>
          <w:tcPr>
            <w:tcW w:w="4246" w:type="dxa"/>
            <w:vMerge/>
          </w:tcPr>
          <w:p w14:paraId="09F179A6" w14:textId="77777777" w:rsidR="00873CA6" w:rsidRPr="00C510A2" w:rsidRDefault="00873CA6"/>
        </w:tc>
      </w:tr>
      <w:tr w:rsidR="00873CA6" w:rsidRPr="00C510A2" w14:paraId="5EB2F418" w14:textId="77777777" w:rsidTr="00873CA6">
        <w:trPr>
          <w:trHeight w:val="719"/>
        </w:trPr>
        <w:tc>
          <w:tcPr>
            <w:tcW w:w="3969" w:type="dxa"/>
          </w:tcPr>
          <w:p w14:paraId="67CF6F7B" w14:textId="77777777" w:rsidR="00873CA6" w:rsidRPr="00C510A2" w:rsidRDefault="00873CA6">
            <w:pPr>
              <w:spacing w:after="120"/>
              <w:rPr>
                <w:b/>
                <w:bCs/>
              </w:rPr>
            </w:pPr>
            <w:r w:rsidRPr="00565AB5">
              <w:t xml:space="preserve">The BDR applies only to in-person purchases of takeaway alcohol. It does not prohibit secondary supply or liquor possession. Added to this, existing secondary supply provisions do not apply to adults, and PNs and POs do not prohibit alcohol possession. As such, </w:t>
            </w:r>
            <w:r>
              <w:t xml:space="preserve">people on the </w:t>
            </w:r>
            <w:r w:rsidRPr="00565AB5">
              <w:t>BDR can still access alcohol, thereby limiting the system’s effectiveness as a consumption management and harm minimisation tool.</w:t>
            </w:r>
          </w:p>
        </w:tc>
        <w:tc>
          <w:tcPr>
            <w:tcW w:w="5812" w:type="dxa"/>
          </w:tcPr>
          <w:p w14:paraId="1BF4B381" w14:textId="77777777" w:rsidR="00873CA6" w:rsidRPr="00C510A2" w:rsidRDefault="00873CA6" w:rsidP="006A27BA">
            <w:pPr>
              <w:pStyle w:val="ListParagraph"/>
              <w:numPr>
                <w:ilvl w:val="0"/>
                <w:numId w:val="20"/>
              </w:numPr>
              <w:spacing w:before="0" w:after="120"/>
            </w:pPr>
            <w:r w:rsidRPr="00565AB5">
              <w:t>Create an offence for knowingly supplying liquor to a person who is on the BDR (Section 122A and new section).</w:t>
            </w:r>
          </w:p>
        </w:tc>
        <w:tc>
          <w:tcPr>
            <w:tcW w:w="4246" w:type="dxa"/>
          </w:tcPr>
          <w:p w14:paraId="15970BF8" w14:textId="77777777" w:rsidR="00873CA6" w:rsidRPr="00C510A2" w:rsidRDefault="00873CA6">
            <w:pPr>
              <w:spacing w:after="160" w:line="259" w:lineRule="auto"/>
            </w:pPr>
          </w:p>
        </w:tc>
      </w:tr>
      <w:tr w:rsidR="00873CA6" w:rsidRPr="00C510A2" w14:paraId="2D9770CB" w14:textId="77777777" w:rsidTr="00873CA6">
        <w:trPr>
          <w:trHeight w:val="1551"/>
        </w:trPr>
        <w:tc>
          <w:tcPr>
            <w:tcW w:w="3969" w:type="dxa"/>
          </w:tcPr>
          <w:p w14:paraId="124B361B" w14:textId="77777777" w:rsidR="00873CA6" w:rsidRPr="00A55D2E" w:rsidRDefault="00873CA6">
            <w:pPr>
              <w:spacing w:after="120"/>
              <w:rPr>
                <w:b/>
                <w:bCs/>
              </w:rPr>
            </w:pPr>
            <w:r w:rsidRPr="00A55D2E">
              <w:rPr>
                <w:b/>
                <w:bCs/>
              </w:rPr>
              <w:t>Option for consideration</w:t>
            </w:r>
          </w:p>
          <w:p w14:paraId="6A67672C" w14:textId="77777777" w:rsidR="00873CA6" w:rsidRPr="00A55D2E" w:rsidRDefault="00873CA6">
            <w:pPr>
              <w:spacing w:after="120"/>
            </w:pPr>
            <w:r w:rsidRPr="00A55D2E">
              <w:t xml:space="preserve">Under Section 42 of the </w:t>
            </w:r>
            <w:hyperlink r:id="rId19" w:history="1">
              <w:r w:rsidRPr="00A55D2E">
                <w:rPr>
                  <w:rStyle w:val="Hyperlink"/>
                  <w:rFonts w:eastAsiaTheme="minorHAnsi"/>
                  <w:i/>
                  <w:iCs/>
                </w:rPr>
                <w:t>Northern Territory Alcohol Harm Reduction Act 2017</w:t>
              </w:r>
            </w:hyperlink>
            <w:r w:rsidRPr="00A55D2E">
              <w:rPr>
                <w:i/>
                <w:iCs/>
              </w:rPr>
              <w:t xml:space="preserve"> </w:t>
            </w:r>
            <w:r w:rsidRPr="00A55D2E">
              <w:t>it is an offence to supply alcohol to persons subject to a prohibition.</w:t>
            </w:r>
          </w:p>
        </w:tc>
        <w:tc>
          <w:tcPr>
            <w:tcW w:w="5812" w:type="dxa"/>
          </w:tcPr>
          <w:p w14:paraId="1BEDFA1F" w14:textId="77777777" w:rsidR="00873CA6" w:rsidRPr="00565AB5" w:rsidRDefault="00873CA6" w:rsidP="006A27BA">
            <w:pPr>
              <w:pStyle w:val="ListParagraph"/>
              <w:numPr>
                <w:ilvl w:val="0"/>
                <w:numId w:val="20"/>
              </w:numPr>
              <w:spacing w:before="0" w:after="120"/>
            </w:pPr>
            <w:r w:rsidRPr="00565AB5">
              <w:t xml:space="preserve">Create an offence for a person registered on the BDR due to a </w:t>
            </w:r>
            <w:r>
              <w:t>B</w:t>
            </w:r>
            <w:r w:rsidRPr="00565AB5">
              <w:t xml:space="preserve">arring </w:t>
            </w:r>
            <w:r>
              <w:t>N</w:t>
            </w:r>
            <w:r w:rsidRPr="00565AB5">
              <w:t xml:space="preserve">otice or </w:t>
            </w:r>
            <w:r>
              <w:t>P</w:t>
            </w:r>
            <w:r w:rsidRPr="00565AB5">
              <w:t xml:space="preserve">rohibition </w:t>
            </w:r>
            <w:r>
              <w:t>O</w:t>
            </w:r>
            <w:r w:rsidRPr="00565AB5">
              <w:t>rder to be in possession of liquor and the ability for police to seize and dispose of liquor</w:t>
            </w:r>
          </w:p>
        </w:tc>
        <w:tc>
          <w:tcPr>
            <w:tcW w:w="4246" w:type="dxa"/>
          </w:tcPr>
          <w:p w14:paraId="13A149C3" w14:textId="77777777" w:rsidR="00873CA6" w:rsidRPr="00C510A2" w:rsidRDefault="00873CA6"/>
        </w:tc>
      </w:tr>
      <w:tr w:rsidR="00873CA6" w:rsidRPr="00C510A2" w14:paraId="03C9853F" w14:textId="77777777" w:rsidTr="00873CA6">
        <w:tc>
          <w:tcPr>
            <w:tcW w:w="3969" w:type="dxa"/>
          </w:tcPr>
          <w:p w14:paraId="25CEE301" w14:textId="77777777" w:rsidR="00873CA6" w:rsidRPr="00C510A2" w:rsidRDefault="00873CA6">
            <w:pPr>
              <w:spacing w:after="120"/>
            </w:pPr>
            <w:r w:rsidRPr="00565AB5">
              <w:t xml:space="preserve">The BDR does not apply to online takeaway alcohol purchases.  As such, </w:t>
            </w:r>
            <w:r>
              <w:t xml:space="preserve">people on the </w:t>
            </w:r>
            <w:r w:rsidRPr="00565AB5">
              <w:t>BDR can still access alcohol, thereby limiting the system’s effectiveness as a consumption management and harm minimisation tool.</w:t>
            </w:r>
            <w:r w:rsidRPr="00565AB5">
              <w:tab/>
            </w:r>
          </w:p>
        </w:tc>
        <w:tc>
          <w:tcPr>
            <w:tcW w:w="5812" w:type="dxa"/>
          </w:tcPr>
          <w:p w14:paraId="0CE76D3E" w14:textId="77777777" w:rsidR="00873CA6" w:rsidRPr="00C510A2" w:rsidRDefault="00873CA6" w:rsidP="006A27BA">
            <w:pPr>
              <w:pStyle w:val="ListParagraph"/>
              <w:numPr>
                <w:ilvl w:val="0"/>
                <w:numId w:val="20"/>
              </w:numPr>
              <w:spacing w:before="0" w:after="120"/>
            </w:pPr>
            <w:r w:rsidRPr="00565AB5">
              <w:t>Require licensees selling liquor online to check BDR before proceeding with the sale.</w:t>
            </w:r>
          </w:p>
        </w:tc>
        <w:tc>
          <w:tcPr>
            <w:tcW w:w="4246" w:type="dxa"/>
          </w:tcPr>
          <w:p w14:paraId="255688C4" w14:textId="77777777" w:rsidR="00873CA6" w:rsidRPr="00C510A2" w:rsidRDefault="00873CA6">
            <w:pPr>
              <w:spacing w:after="160" w:line="259" w:lineRule="auto"/>
            </w:pPr>
          </w:p>
        </w:tc>
      </w:tr>
      <w:tr w:rsidR="00873CA6" w:rsidRPr="00C510A2" w14:paraId="6B8417C7" w14:textId="77777777" w:rsidTr="00873CA6">
        <w:trPr>
          <w:trHeight w:val="1231"/>
        </w:trPr>
        <w:tc>
          <w:tcPr>
            <w:tcW w:w="3969" w:type="dxa"/>
          </w:tcPr>
          <w:p w14:paraId="650984A5" w14:textId="77777777" w:rsidR="00873CA6" w:rsidRPr="00C510A2" w:rsidRDefault="00873CA6">
            <w:pPr>
              <w:spacing w:after="120"/>
              <w:rPr>
                <w:b/>
                <w:bCs/>
              </w:rPr>
            </w:pPr>
            <w:r w:rsidRPr="00565AB5">
              <w:t xml:space="preserve">A range of legislation and orders can be used to restrict and/or prohibit individuals from accessing alcohol. For example, Parole Orders and Post Sentence Supervision Orders issued under the Sentence Administration Act 2003 can include liquor-related conditions. However, because these Orders are not a pathway to BDR registration, parolees subject to them can purchase alcohol undetected. </w:t>
            </w:r>
          </w:p>
        </w:tc>
        <w:tc>
          <w:tcPr>
            <w:tcW w:w="5812" w:type="dxa"/>
          </w:tcPr>
          <w:p w14:paraId="3932A813" w14:textId="77777777" w:rsidR="00873CA6" w:rsidRPr="00C510A2" w:rsidRDefault="00873CA6" w:rsidP="006A27BA">
            <w:pPr>
              <w:pStyle w:val="ListParagraph"/>
              <w:numPr>
                <w:ilvl w:val="0"/>
                <w:numId w:val="20"/>
              </w:numPr>
              <w:spacing w:before="0" w:after="120"/>
            </w:pPr>
            <w:r w:rsidRPr="00565AB5">
              <w:t>Amend Section 119 of the Sentence Administration Act 2003 to enable data on current relevant Parole Orders to be uploaded to the BDR.</w:t>
            </w:r>
          </w:p>
        </w:tc>
        <w:tc>
          <w:tcPr>
            <w:tcW w:w="4246" w:type="dxa"/>
          </w:tcPr>
          <w:p w14:paraId="6766BD96" w14:textId="77777777" w:rsidR="00873CA6" w:rsidRPr="00C510A2" w:rsidRDefault="00873CA6">
            <w:pPr>
              <w:spacing w:after="160" w:line="259" w:lineRule="auto"/>
            </w:pPr>
          </w:p>
        </w:tc>
      </w:tr>
      <w:tr w:rsidR="00873CA6" w:rsidRPr="00C510A2" w14:paraId="179A0FA1" w14:textId="77777777" w:rsidTr="00873CA6">
        <w:trPr>
          <w:trHeight w:val="2535"/>
        </w:trPr>
        <w:tc>
          <w:tcPr>
            <w:tcW w:w="3969" w:type="dxa"/>
          </w:tcPr>
          <w:p w14:paraId="71B23A9C" w14:textId="77777777" w:rsidR="00873CA6" w:rsidRPr="00A55D2E" w:rsidRDefault="00873CA6">
            <w:pPr>
              <w:spacing w:after="120"/>
              <w:rPr>
                <w:b/>
                <w:bCs/>
              </w:rPr>
            </w:pPr>
            <w:r w:rsidRPr="00A55D2E">
              <w:rPr>
                <w:b/>
                <w:bCs/>
              </w:rPr>
              <w:t>Option for consideration</w:t>
            </w:r>
          </w:p>
          <w:p w14:paraId="5D7F7738" w14:textId="77777777" w:rsidR="00873CA6" w:rsidRPr="00A55D2E" w:rsidRDefault="00873CA6">
            <w:pPr>
              <w:spacing w:after="120"/>
            </w:pPr>
            <w:r w:rsidRPr="00A55D2E">
              <w:t>Queensland legislation allows for copies of banning orders to be provided to venues to which the ban relates, including to approved operators for uploading to the approved ID scanning system. The Queensland Police Service and the Office of Liquor and Gaming Regulation will work closely with industry to facilitate suitable arrangements for the distribution of this information.</w:t>
            </w:r>
            <w:r w:rsidRPr="00A55D2E">
              <w:rPr>
                <w:rStyle w:val="FootnoteReference"/>
                <w:rFonts w:eastAsiaTheme="majorEastAsia"/>
                <w:vertAlign w:val="superscript"/>
              </w:rPr>
              <w:footnoteReference w:id="2"/>
            </w:r>
          </w:p>
        </w:tc>
        <w:tc>
          <w:tcPr>
            <w:tcW w:w="5812" w:type="dxa"/>
          </w:tcPr>
          <w:p w14:paraId="7E0D859E" w14:textId="2260B8CB" w:rsidR="00873CA6" w:rsidRPr="00565AB5" w:rsidRDefault="00F22314" w:rsidP="006A27BA">
            <w:pPr>
              <w:pStyle w:val="ListParagraph"/>
              <w:numPr>
                <w:ilvl w:val="0"/>
                <w:numId w:val="20"/>
              </w:numPr>
              <w:spacing w:before="0" w:after="120"/>
            </w:pPr>
            <w:r w:rsidRPr="00F22314">
              <w:t>Amend the Act to allow for approved operations to access information on individuals under barring notices.</w:t>
            </w:r>
          </w:p>
        </w:tc>
        <w:tc>
          <w:tcPr>
            <w:tcW w:w="4246" w:type="dxa"/>
          </w:tcPr>
          <w:p w14:paraId="67CBFC47" w14:textId="77777777" w:rsidR="00873CA6" w:rsidRPr="00C510A2" w:rsidRDefault="00873CA6"/>
        </w:tc>
      </w:tr>
      <w:tr w:rsidR="00873CA6" w:rsidRPr="00C510A2" w14:paraId="2679A77A" w14:textId="77777777" w:rsidTr="00873CA6">
        <w:tc>
          <w:tcPr>
            <w:tcW w:w="3969" w:type="dxa"/>
          </w:tcPr>
          <w:p w14:paraId="0C56532E" w14:textId="77777777" w:rsidR="00873CA6" w:rsidRPr="00C510A2" w:rsidRDefault="00873CA6">
            <w:pPr>
              <w:spacing w:after="120"/>
            </w:pPr>
            <w:r w:rsidRPr="00386C6A">
              <w:t xml:space="preserve">Individuals who are prohibited through a legal order external to the </w:t>
            </w:r>
            <w:r w:rsidRPr="00B62129">
              <w:rPr>
                <w:i/>
              </w:rPr>
              <w:t>Liquor Control Act 1998</w:t>
            </w:r>
            <w:r w:rsidRPr="00386C6A">
              <w:t xml:space="preserve"> are not captured on the BDR (e.g., bail conditions under the Bail Act 1982). Bail conditions can include a prohibition on a person consuming liquor, such as Intensive Supervision Orders, and Community Supervision Orders. Persons subject to these orders are not captured by the BDR because the information is not shared with DLGSC. </w:t>
            </w:r>
          </w:p>
        </w:tc>
        <w:tc>
          <w:tcPr>
            <w:tcW w:w="5812" w:type="dxa"/>
          </w:tcPr>
          <w:p w14:paraId="66C1CE52" w14:textId="77777777" w:rsidR="00873CA6" w:rsidRPr="00C510A2" w:rsidRDefault="00873CA6" w:rsidP="006A27BA">
            <w:pPr>
              <w:pStyle w:val="ListParagraph"/>
              <w:numPr>
                <w:ilvl w:val="0"/>
                <w:numId w:val="20"/>
              </w:numPr>
              <w:spacing w:before="0" w:after="120"/>
            </w:pPr>
            <w:r w:rsidRPr="00386C6A">
              <w:t>Allow Bail condition information to be uploaded to the BDR</w:t>
            </w:r>
          </w:p>
        </w:tc>
        <w:tc>
          <w:tcPr>
            <w:tcW w:w="4246" w:type="dxa"/>
          </w:tcPr>
          <w:p w14:paraId="34150BFD" w14:textId="77777777" w:rsidR="00873CA6" w:rsidRPr="00C510A2" w:rsidRDefault="00873CA6">
            <w:pPr>
              <w:spacing w:after="160" w:line="259" w:lineRule="auto"/>
            </w:pPr>
          </w:p>
        </w:tc>
      </w:tr>
    </w:tbl>
    <w:p w14:paraId="7A0EBDCF" w14:textId="77777777" w:rsidR="00326FA2" w:rsidRPr="00CA70B9" w:rsidRDefault="00326FA2" w:rsidP="00CA70B9">
      <w:pPr>
        <w:rPr>
          <w:sz w:val="4"/>
          <w:szCs w:val="4"/>
        </w:rPr>
      </w:pPr>
    </w:p>
    <w:sectPr w:rsidR="00326FA2" w:rsidRPr="00CA70B9" w:rsidSect="00CA70B9">
      <w:pgSz w:w="16839" w:h="11907" w:orient="landscape" w:code="9"/>
      <w:pgMar w:top="1134" w:right="1418" w:bottom="993" w:left="1247" w:header="284" w:footer="22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4359" w14:textId="77777777" w:rsidR="00D96C5A" w:rsidRDefault="00D96C5A" w:rsidP="00F47BC0">
      <w:pPr>
        <w:spacing w:after="0" w:line="240" w:lineRule="auto"/>
      </w:pPr>
      <w:r>
        <w:separator/>
      </w:r>
    </w:p>
    <w:p w14:paraId="068D83CE" w14:textId="77777777" w:rsidR="00D96C5A" w:rsidRDefault="00D96C5A"/>
  </w:endnote>
  <w:endnote w:type="continuationSeparator" w:id="0">
    <w:p w14:paraId="4B328D57" w14:textId="77777777" w:rsidR="00D96C5A" w:rsidRDefault="00D96C5A" w:rsidP="00F47BC0">
      <w:pPr>
        <w:spacing w:after="0" w:line="240" w:lineRule="auto"/>
      </w:pPr>
      <w:r>
        <w:continuationSeparator/>
      </w:r>
    </w:p>
    <w:p w14:paraId="6D652655" w14:textId="77777777" w:rsidR="00D96C5A" w:rsidRDefault="00D96C5A"/>
  </w:endnote>
  <w:endnote w:type="continuationNotice" w:id="1">
    <w:p w14:paraId="2F94A61A" w14:textId="77777777" w:rsidR="00D96C5A" w:rsidRDefault="00D96C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1A26" w14:textId="77777777" w:rsidR="00C13776" w:rsidRDefault="00C13776" w:rsidP="007A232D">
    <w:pPr>
      <w:pStyle w:val="Footer"/>
    </w:pPr>
    <w:r>
      <mc:AlternateContent>
        <mc:Choice Requires="wps">
          <w:drawing>
            <wp:anchor distT="0" distB="0" distL="114300" distR="114300" simplePos="0" relativeHeight="251658240" behindDoc="0" locked="0" layoutInCell="1" allowOverlap="1" wp14:anchorId="68AEC6E5" wp14:editId="14112D0A">
              <wp:simplePos x="0" y="0"/>
              <wp:positionH relativeFrom="column">
                <wp:posOffset>207645</wp:posOffset>
              </wp:positionH>
              <wp:positionV relativeFrom="paragraph">
                <wp:posOffset>-6350</wp:posOffset>
              </wp:positionV>
              <wp:extent cx="0" cy="157480"/>
              <wp:effectExtent l="7620" t="12700" r="11430" b="1079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06A93"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86CD" w14:textId="77777777" w:rsidR="00D96C5A" w:rsidRDefault="00D96C5A" w:rsidP="00F47BC0">
      <w:pPr>
        <w:spacing w:after="0" w:line="240" w:lineRule="auto"/>
      </w:pPr>
      <w:r>
        <w:separator/>
      </w:r>
    </w:p>
    <w:p w14:paraId="3852305A" w14:textId="77777777" w:rsidR="00D96C5A" w:rsidRDefault="00D96C5A"/>
  </w:footnote>
  <w:footnote w:type="continuationSeparator" w:id="0">
    <w:p w14:paraId="12FE00FA" w14:textId="77777777" w:rsidR="00D96C5A" w:rsidRDefault="00D96C5A" w:rsidP="00F47BC0">
      <w:pPr>
        <w:spacing w:after="0" w:line="240" w:lineRule="auto"/>
      </w:pPr>
      <w:r>
        <w:continuationSeparator/>
      </w:r>
    </w:p>
    <w:p w14:paraId="357841F9" w14:textId="77777777" w:rsidR="00D96C5A" w:rsidRDefault="00D96C5A"/>
  </w:footnote>
  <w:footnote w:type="continuationNotice" w:id="1">
    <w:p w14:paraId="320693FF" w14:textId="77777777" w:rsidR="00D96C5A" w:rsidRDefault="00D96C5A">
      <w:pPr>
        <w:spacing w:before="0" w:after="0" w:line="240" w:lineRule="auto"/>
      </w:pPr>
    </w:p>
  </w:footnote>
  <w:footnote w:id="2">
    <w:p w14:paraId="3157A56C" w14:textId="77777777" w:rsidR="00873CA6" w:rsidRPr="00D77DB0" w:rsidRDefault="00873CA6" w:rsidP="00873CA6">
      <w:pPr>
        <w:pStyle w:val="FootnoteText"/>
        <w:rPr>
          <w:lang w:val="en-US"/>
        </w:rPr>
      </w:pPr>
      <w:r>
        <w:rPr>
          <w:rStyle w:val="FootnoteReference"/>
        </w:rPr>
        <w:footnoteRef/>
      </w:r>
      <w:r>
        <w:t xml:space="preserve"> </w:t>
      </w:r>
      <w:hyperlink r:id="rId1" w:history="1">
        <w:r w:rsidRPr="00117DB7">
          <w:rPr>
            <w:rStyle w:val="Hyperlink"/>
          </w:rPr>
          <w:t>https://www.business.qld.gov.au/industries/hospitality-tourism-sport/liquor-gaming/liquor/compliance/refusal-service/banning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100D" w14:textId="242359A5" w:rsidR="00C13776" w:rsidRDefault="009B4D6C">
    <w:pPr>
      <w:pStyle w:val="Header"/>
    </w:pPr>
    <w:r>
      <w:rPr>
        <w:b/>
        <w:bCs/>
        <w:noProof/>
        <w:lang w:val="en-US"/>
      </w:rPr>
      <w:fldChar w:fldCharType="begin"/>
    </w:r>
    <w:r>
      <w:rPr>
        <w:b/>
        <w:bCs/>
        <w:noProof/>
        <w:lang w:val="en-US"/>
      </w:rPr>
      <w:instrText xml:space="preserve"> STYLEREF  "Heading 1"  \* MERGEFORMAT </w:instrText>
    </w:r>
    <w:r>
      <w:rPr>
        <w:b/>
        <w:bCs/>
        <w:noProof/>
        <w:lang w:val="en-US"/>
      </w:rPr>
      <w:fldChar w:fldCharType="separate"/>
    </w:r>
    <w:r w:rsidR="004C2811">
      <w:rPr>
        <w:b/>
        <w:bCs/>
        <w:noProof/>
        <w:lang w:val="en-US"/>
      </w:rPr>
      <w:t>CONSULTATION ON OPTIONS TO STRENGTHEN THE BANNED DRINKERS REGISTER TRIAL</w:t>
    </w:r>
    <w:r>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4C2811">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DBFE" w14:textId="62CEB5E3" w:rsidR="00C13776" w:rsidRDefault="00F20E58">
    <w:pPr>
      <w:pStyle w:val="Header"/>
    </w:pPr>
    <w:r>
      <w:rPr>
        <w:noProof/>
      </w:rPr>
      <w:drawing>
        <wp:anchor distT="0" distB="0" distL="114300" distR="114300" simplePos="0" relativeHeight="251658241" behindDoc="1" locked="0" layoutInCell="1" allowOverlap="1" wp14:anchorId="2F24BD5A" wp14:editId="5995542E">
          <wp:simplePos x="0" y="0"/>
          <wp:positionH relativeFrom="page">
            <wp:align>left</wp:align>
          </wp:positionH>
          <wp:positionV relativeFrom="paragraph">
            <wp:posOffset>-173163</wp:posOffset>
          </wp:positionV>
          <wp:extent cx="7595996" cy="10744660"/>
          <wp:effectExtent l="0" t="0" r="5080" b="0"/>
          <wp:wrapNone/>
          <wp:docPr id="15" name="Picture 15"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5996" cy="10744660"/>
                  </a:xfrm>
                  <a:prstGeom prst="rect">
                    <a:avLst/>
                  </a:prstGeom>
                </pic:spPr>
              </pic:pic>
            </a:graphicData>
          </a:graphic>
          <wp14:sizeRelH relativeFrom="page">
            <wp14:pctWidth>0</wp14:pctWidth>
          </wp14:sizeRelH>
          <wp14:sizeRelV relativeFrom="page">
            <wp14:pctHeight>0</wp14:pctHeight>
          </wp14:sizeRelV>
        </wp:anchor>
      </w:drawing>
    </w:r>
    <w:r w:rsidR="00C1377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D838" w14:textId="213D460B" w:rsidR="00F20E58" w:rsidRDefault="00F20E5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6BAC"/>
    <w:multiLevelType w:val="hybridMultilevel"/>
    <w:tmpl w:val="E74E2D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764C21"/>
    <w:multiLevelType w:val="hybridMultilevel"/>
    <w:tmpl w:val="921485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603F9A"/>
    <w:multiLevelType w:val="hybridMultilevel"/>
    <w:tmpl w:val="7E32A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1F21BD"/>
    <w:multiLevelType w:val="multilevel"/>
    <w:tmpl w:val="D430B500"/>
    <w:lvl w:ilvl="0">
      <w:start w:val="1"/>
      <w:numFmt w:val="decimal"/>
      <w:pStyle w:val="NumberedlistLevel1"/>
      <w:lvlText w:val="%1."/>
      <w:lvlJc w:val="left"/>
      <w:pPr>
        <w:ind w:left="567" w:hanging="283"/>
      </w:pPr>
      <w:rPr>
        <w:rFonts w:ascii="Arial Narrow" w:hAnsi="Arial Narrow" w:hint="default"/>
        <w:b w:val="0"/>
        <w:i w:val="0"/>
        <w:color w:val="000000"/>
        <w:sz w:val="20"/>
      </w:rPr>
    </w:lvl>
    <w:lvl w:ilvl="1">
      <w:start w:val="1"/>
      <w:numFmt w:val="decimal"/>
      <w:pStyle w:val="NumberedListLevel2"/>
      <w:lvlText w:val="%1.%2."/>
      <w:lvlJc w:val="left"/>
      <w:pPr>
        <w:ind w:left="964" w:hanging="396"/>
      </w:pPr>
      <w:rPr>
        <w:rFonts w:ascii="Arial Narrow" w:hAnsi="Arial Narrow" w:hint="default"/>
        <w:sz w:val="20"/>
      </w:rPr>
    </w:lvl>
    <w:lvl w:ilvl="2">
      <w:start w:val="1"/>
      <w:numFmt w:val="decimal"/>
      <w:pStyle w:val="NumberedListLevel3"/>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5" w15:restartNumberingAfterBreak="0">
    <w:nsid w:val="2D427BC4"/>
    <w:multiLevelType w:val="hybridMultilevel"/>
    <w:tmpl w:val="D7CE8E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291F6A"/>
    <w:multiLevelType w:val="hybridMultilevel"/>
    <w:tmpl w:val="CDEA2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3E5C2355"/>
    <w:multiLevelType w:val="hybridMultilevel"/>
    <w:tmpl w:val="AA421688"/>
    <w:lvl w:ilvl="0" w:tplc="0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9A31D2"/>
    <w:multiLevelType w:val="hybridMultilevel"/>
    <w:tmpl w:val="1D3E5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094814"/>
    <w:multiLevelType w:val="hybridMultilevel"/>
    <w:tmpl w:val="E56C1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286E36"/>
    <w:multiLevelType w:val="hybridMultilevel"/>
    <w:tmpl w:val="C7B64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4"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5" w15:restartNumberingAfterBreak="0">
    <w:nsid w:val="655E134B"/>
    <w:multiLevelType w:val="hybridMultilevel"/>
    <w:tmpl w:val="B9129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5D57150"/>
    <w:multiLevelType w:val="hybridMultilevel"/>
    <w:tmpl w:val="AF62B5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924B6E"/>
    <w:multiLevelType w:val="hybridMultilevel"/>
    <w:tmpl w:val="0360FCAA"/>
    <w:lvl w:ilvl="0" w:tplc="BF98DF3A">
      <w:start w:val="1"/>
      <w:numFmt w:val="decimal"/>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BF5690B"/>
    <w:multiLevelType w:val="hybridMultilevel"/>
    <w:tmpl w:val="3B28E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1482444"/>
    <w:multiLevelType w:val="hybridMultilevel"/>
    <w:tmpl w:val="A3765D7C"/>
    <w:lvl w:ilvl="0" w:tplc="8E38840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83F48E8"/>
    <w:multiLevelType w:val="multilevel"/>
    <w:tmpl w:val="2AE26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469740">
    <w:abstractNumId w:val="13"/>
  </w:num>
  <w:num w:numId="2" w16cid:durableId="1066991623">
    <w:abstractNumId w:val="4"/>
  </w:num>
  <w:num w:numId="3" w16cid:durableId="1315989266">
    <w:abstractNumId w:val="14"/>
  </w:num>
  <w:num w:numId="4" w16cid:durableId="838232921">
    <w:abstractNumId w:val="8"/>
  </w:num>
  <w:num w:numId="5" w16cid:durableId="411126228">
    <w:abstractNumId w:val="20"/>
  </w:num>
  <w:num w:numId="6" w16cid:durableId="1110930062">
    <w:abstractNumId w:val="1"/>
  </w:num>
  <w:num w:numId="7" w16cid:durableId="1048919119">
    <w:abstractNumId w:val="7"/>
  </w:num>
  <w:num w:numId="8" w16cid:durableId="460154142">
    <w:abstractNumId w:val="6"/>
  </w:num>
  <w:num w:numId="9" w16cid:durableId="1404522975">
    <w:abstractNumId w:val="12"/>
  </w:num>
  <w:num w:numId="10" w16cid:durableId="1354452862">
    <w:abstractNumId w:val="18"/>
  </w:num>
  <w:num w:numId="11" w16cid:durableId="147600017">
    <w:abstractNumId w:val="2"/>
  </w:num>
  <w:num w:numId="12" w16cid:durableId="324549661">
    <w:abstractNumId w:val="0"/>
  </w:num>
  <w:num w:numId="13" w16cid:durableId="1124664359">
    <w:abstractNumId w:val="11"/>
  </w:num>
  <w:num w:numId="14" w16cid:durableId="1955209551">
    <w:abstractNumId w:val="9"/>
  </w:num>
  <w:num w:numId="15" w16cid:durableId="1985767886">
    <w:abstractNumId w:val="15"/>
  </w:num>
  <w:num w:numId="16" w16cid:durableId="1016031775">
    <w:abstractNumId w:val="5"/>
  </w:num>
  <w:num w:numId="17" w16cid:durableId="461964663">
    <w:abstractNumId w:val="16"/>
  </w:num>
  <w:num w:numId="18" w16cid:durableId="734350615">
    <w:abstractNumId w:val="3"/>
  </w:num>
  <w:num w:numId="19" w16cid:durableId="398796359">
    <w:abstractNumId w:val="19"/>
  </w:num>
  <w:num w:numId="20" w16cid:durableId="1167592099">
    <w:abstractNumId w:val="17"/>
  </w:num>
  <w:num w:numId="21" w16cid:durableId="82971040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FA"/>
    <w:rsid w:val="00001521"/>
    <w:rsid w:val="00002D22"/>
    <w:rsid w:val="00005CC3"/>
    <w:rsid w:val="00007446"/>
    <w:rsid w:val="000110D9"/>
    <w:rsid w:val="00014630"/>
    <w:rsid w:val="00024DDB"/>
    <w:rsid w:val="0003386A"/>
    <w:rsid w:val="0003436C"/>
    <w:rsid w:val="000350A4"/>
    <w:rsid w:val="00037412"/>
    <w:rsid w:val="0004247D"/>
    <w:rsid w:val="0004489A"/>
    <w:rsid w:val="000448B4"/>
    <w:rsid w:val="00045C2B"/>
    <w:rsid w:val="00052B13"/>
    <w:rsid w:val="00054C01"/>
    <w:rsid w:val="0006206E"/>
    <w:rsid w:val="00062DAB"/>
    <w:rsid w:val="00064B60"/>
    <w:rsid w:val="00065C25"/>
    <w:rsid w:val="000750EF"/>
    <w:rsid w:val="0007625B"/>
    <w:rsid w:val="0007682C"/>
    <w:rsid w:val="00077825"/>
    <w:rsid w:val="00080AAC"/>
    <w:rsid w:val="00081CC9"/>
    <w:rsid w:val="0008327F"/>
    <w:rsid w:val="00087BFA"/>
    <w:rsid w:val="00090458"/>
    <w:rsid w:val="00096CB2"/>
    <w:rsid w:val="00097A0A"/>
    <w:rsid w:val="00097CF0"/>
    <w:rsid w:val="000A05F4"/>
    <w:rsid w:val="000A1580"/>
    <w:rsid w:val="000A74CA"/>
    <w:rsid w:val="000B0EB3"/>
    <w:rsid w:val="000B1E21"/>
    <w:rsid w:val="000B3AA9"/>
    <w:rsid w:val="000B7EED"/>
    <w:rsid w:val="000C5E6A"/>
    <w:rsid w:val="000C70BA"/>
    <w:rsid w:val="000D40D1"/>
    <w:rsid w:val="000D6904"/>
    <w:rsid w:val="000E1942"/>
    <w:rsid w:val="000E3A80"/>
    <w:rsid w:val="000E78F0"/>
    <w:rsid w:val="000F1276"/>
    <w:rsid w:val="000F1FB3"/>
    <w:rsid w:val="000F2FF6"/>
    <w:rsid w:val="000F42A0"/>
    <w:rsid w:val="0010588E"/>
    <w:rsid w:val="00112611"/>
    <w:rsid w:val="0011261B"/>
    <w:rsid w:val="001139F7"/>
    <w:rsid w:val="00113E19"/>
    <w:rsid w:val="0011514C"/>
    <w:rsid w:val="001158D4"/>
    <w:rsid w:val="00117894"/>
    <w:rsid w:val="00126095"/>
    <w:rsid w:val="00127E05"/>
    <w:rsid w:val="00136409"/>
    <w:rsid w:val="00141892"/>
    <w:rsid w:val="001438C9"/>
    <w:rsid w:val="00144261"/>
    <w:rsid w:val="00151BC5"/>
    <w:rsid w:val="00153E41"/>
    <w:rsid w:val="0016008E"/>
    <w:rsid w:val="001605D3"/>
    <w:rsid w:val="00170BE9"/>
    <w:rsid w:val="00173D8A"/>
    <w:rsid w:val="0017529A"/>
    <w:rsid w:val="00176F78"/>
    <w:rsid w:val="00177826"/>
    <w:rsid w:val="00177D0B"/>
    <w:rsid w:val="00180C08"/>
    <w:rsid w:val="0018113A"/>
    <w:rsid w:val="00181D71"/>
    <w:rsid w:val="00184CC4"/>
    <w:rsid w:val="001943C6"/>
    <w:rsid w:val="0019564D"/>
    <w:rsid w:val="001A149A"/>
    <w:rsid w:val="001A3F2D"/>
    <w:rsid w:val="001A626F"/>
    <w:rsid w:val="001B3CF4"/>
    <w:rsid w:val="001C100F"/>
    <w:rsid w:val="001D4877"/>
    <w:rsid w:val="001D5832"/>
    <w:rsid w:val="001E0164"/>
    <w:rsid w:val="001E1A26"/>
    <w:rsid w:val="001E577A"/>
    <w:rsid w:val="001F5F29"/>
    <w:rsid w:val="00200677"/>
    <w:rsid w:val="00205084"/>
    <w:rsid w:val="00206C38"/>
    <w:rsid w:val="00207413"/>
    <w:rsid w:val="00213B86"/>
    <w:rsid w:val="00214757"/>
    <w:rsid w:val="002147AA"/>
    <w:rsid w:val="00215EEF"/>
    <w:rsid w:val="002310F1"/>
    <w:rsid w:val="00231A89"/>
    <w:rsid w:val="0023298F"/>
    <w:rsid w:val="002339AA"/>
    <w:rsid w:val="00233C85"/>
    <w:rsid w:val="00233F7E"/>
    <w:rsid w:val="00235312"/>
    <w:rsid w:val="002354BD"/>
    <w:rsid w:val="002367FF"/>
    <w:rsid w:val="00237AA1"/>
    <w:rsid w:val="00243B9C"/>
    <w:rsid w:val="00246877"/>
    <w:rsid w:val="002538C2"/>
    <w:rsid w:val="00256AE9"/>
    <w:rsid w:val="00256DCC"/>
    <w:rsid w:val="00260819"/>
    <w:rsid w:val="002744E1"/>
    <w:rsid w:val="00290E45"/>
    <w:rsid w:val="002929F6"/>
    <w:rsid w:val="00295B2F"/>
    <w:rsid w:val="00295BA5"/>
    <w:rsid w:val="002A29D5"/>
    <w:rsid w:val="002A6649"/>
    <w:rsid w:val="002A7627"/>
    <w:rsid w:val="002A7687"/>
    <w:rsid w:val="002B0616"/>
    <w:rsid w:val="002B1BD4"/>
    <w:rsid w:val="002C1E40"/>
    <w:rsid w:val="002C2087"/>
    <w:rsid w:val="002C5A96"/>
    <w:rsid w:val="002D0993"/>
    <w:rsid w:val="002D0F25"/>
    <w:rsid w:val="002D712A"/>
    <w:rsid w:val="002D7DD3"/>
    <w:rsid w:val="002E0B45"/>
    <w:rsid w:val="002E3BE3"/>
    <w:rsid w:val="002E4CEE"/>
    <w:rsid w:val="002F1E30"/>
    <w:rsid w:val="00301B33"/>
    <w:rsid w:val="0030265E"/>
    <w:rsid w:val="00307EAB"/>
    <w:rsid w:val="0031004D"/>
    <w:rsid w:val="00315621"/>
    <w:rsid w:val="00322AF4"/>
    <w:rsid w:val="00324F8F"/>
    <w:rsid w:val="003251F8"/>
    <w:rsid w:val="00326FA2"/>
    <w:rsid w:val="00356C07"/>
    <w:rsid w:val="00363ECA"/>
    <w:rsid w:val="00365B13"/>
    <w:rsid w:val="00371BBF"/>
    <w:rsid w:val="003858FA"/>
    <w:rsid w:val="003862EC"/>
    <w:rsid w:val="0039307F"/>
    <w:rsid w:val="003931D2"/>
    <w:rsid w:val="003956F2"/>
    <w:rsid w:val="00395BC7"/>
    <w:rsid w:val="003A47CF"/>
    <w:rsid w:val="003A6D65"/>
    <w:rsid w:val="003B2373"/>
    <w:rsid w:val="003C1844"/>
    <w:rsid w:val="003C1EF2"/>
    <w:rsid w:val="003C2EAC"/>
    <w:rsid w:val="003C52CB"/>
    <w:rsid w:val="003D05FB"/>
    <w:rsid w:val="003D0B07"/>
    <w:rsid w:val="003D56C4"/>
    <w:rsid w:val="003E0B55"/>
    <w:rsid w:val="003F07BF"/>
    <w:rsid w:val="003F24AD"/>
    <w:rsid w:val="003F7F0C"/>
    <w:rsid w:val="00411F17"/>
    <w:rsid w:val="00412398"/>
    <w:rsid w:val="0041459E"/>
    <w:rsid w:val="00415B96"/>
    <w:rsid w:val="004205DB"/>
    <w:rsid w:val="00422D28"/>
    <w:rsid w:val="00434CD2"/>
    <w:rsid w:val="004401AB"/>
    <w:rsid w:val="00443117"/>
    <w:rsid w:val="004512FD"/>
    <w:rsid w:val="00464951"/>
    <w:rsid w:val="0046771F"/>
    <w:rsid w:val="0047131E"/>
    <w:rsid w:val="00474BBB"/>
    <w:rsid w:val="0047690C"/>
    <w:rsid w:val="004777B0"/>
    <w:rsid w:val="004816CD"/>
    <w:rsid w:val="004903A7"/>
    <w:rsid w:val="00497CD5"/>
    <w:rsid w:val="004A3BC7"/>
    <w:rsid w:val="004A4E19"/>
    <w:rsid w:val="004C061E"/>
    <w:rsid w:val="004C26E1"/>
    <w:rsid w:val="004C2811"/>
    <w:rsid w:val="004D6BA2"/>
    <w:rsid w:val="004E101A"/>
    <w:rsid w:val="004E4F30"/>
    <w:rsid w:val="004E7F68"/>
    <w:rsid w:val="004F5E57"/>
    <w:rsid w:val="00505977"/>
    <w:rsid w:val="005067D1"/>
    <w:rsid w:val="00515DB0"/>
    <w:rsid w:val="00515FC7"/>
    <w:rsid w:val="005206C4"/>
    <w:rsid w:val="00523D1F"/>
    <w:rsid w:val="005254CA"/>
    <w:rsid w:val="00527396"/>
    <w:rsid w:val="0052779D"/>
    <w:rsid w:val="00527C34"/>
    <w:rsid w:val="00536AB3"/>
    <w:rsid w:val="00542EB8"/>
    <w:rsid w:val="005444E7"/>
    <w:rsid w:val="00546C88"/>
    <w:rsid w:val="00550AF4"/>
    <w:rsid w:val="00553F2F"/>
    <w:rsid w:val="005579EE"/>
    <w:rsid w:val="00562B79"/>
    <w:rsid w:val="00562D75"/>
    <w:rsid w:val="005648EC"/>
    <w:rsid w:val="00571E1E"/>
    <w:rsid w:val="00573E33"/>
    <w:rsid w:val="00581B20"/>
    <w:rsid w:val="00584F25"/>
    <w:rsid w:val="005915BA"/>
    <w:rsid w:val="005926D7"/>
    <w:rsid w:val="00592D94"/>
    <w:rsid w:val="005A0FFE"/>
    <w:rsid w:val="005A5FC6"/>
    <w:rsid w:val="005A634D"/>
    <w:rsid w:val="005A682A"/>
    <w:rsid w:val="005A7B98"/>
    <w:rsid w:val="005B507E"/>
    <w:rsid w:val="005B60D7"/>
    <w:rsid w:val="005B737F"/>
    <w:rsid w:val="005C76ED"/>
    <w:rsid w:val="005D181B"/>
    <w:rsid w:val="005D47B8"/>
    <w:rsid w:val="005D6DFE"/>
    <w:rsid w:val="005E3F97"/>
    <w:rsid w:val="005E6F1F"/>
    <w:rsid w:val="005F1072"/>
    <w:rsid w:val="005F1F7D"/>
    <w:rsid w:val="005F64A6"/>
    <w:rsid w:val="00605270"/>
    <w:rsid w:val="0060678E"/>
    <w:rsid w:val="00606D4E"/>
    <w:rsid w:val="00611FC9"/>
    <w:rsid w:val="00613175"/>
    <w:rsid w:val="00615BE7"/>
    <w:rsid w:val="00617052"/>
    <w:rsid w:val="00622F41"/>
    <w:rsid w:val="00627ADC"/>
    <w:rsid w:val="00635CAD"/>
    <w:rsid w:val="00637E09"/>
    <w:rsid w:val="00651BBB"/>
    <w:rsid w:val="00656B00"/>
    <w:rsid w:val="0066141E"/>
    <w:rsid w:val="0066307F"/>
    <w:rsid w:val="00665BA5"/>
    <w:rsid w:val="006745F6"/>
    <w:rsid w:val="006762D7"/>
    <w:rsid w:val="00676636"/>
    <w:rsid w:val="0068108F"/>
    <w:rsid w:val="00690189"/>
    <w:rsid w:val="00693016"/>
    <w:rsid w:val="00693309"/>
    <w:rsid w:val="00694102"/>
    <w:rsid w:val="006A24E1"/>
    <w:rsid w:val="006A27BA"/>
    <w:rsid w:val="006A7FA1"/>
    <w:rsid w:val="006B0553"/>
    <w:rsid w:val="006C0A5B"/>
    <w:rsid w:val="006C19E4"/>
    <w:rsid w:val="006C74FC"/>
    <w:rsid w:val="006D1B3E"/>
    <w:rsid w:val="006D4E00"/>
    <w:rsid w:val="006E368A"/>
    <w:rsid w:val="006E4252"/>
    <w:rsid w:val="006E4DCF"/>
    <w:rsid w:val="006F446F"/>
    <w:rsid w:val="006F4BD4"/>
    <w:rsid w:val="0070387D"/>
    <w:rsid w:val="00714A30"/>
    <w:rsid w:val="00720A6D"/>
    <w:rsid w:val="00726824"/>
    <w:rsid w:val="007318E3"/>
    <w:rsid w:val="0073302C"/>
    <w:rsid w:val="00737135"/>
    <w:rsid w:val="007423A6"/>
    <w:rsid w:val="007449BA"/>
    <w:rsid w:val="00744E04"/>
    <w:rsid w:val="00745727"/>
    <w:rsid w:val="00745E53"/>
    <w:rsid w:val="00747C15"/>
    <w:rsid w:val="00760999"/>
    <w:rsid w:val="00773DF2"/>
    <w:rsid w:val="007744E7"/>
    <w:rsid w:val="007766A1"/>
    <w:rsid w:val="00780A38"/>
    <w:rsid w:val="00781703"/>
    <w:rsid w:val="00782EAA"/>
    <w:rsid w:val="00790A32"/>
    <w:rsid w:val="0079421F"/>
    <w:rsid w:val="00794A12"/>
    <w:rsid w:val="00794F2C"/>
    <w:rsid w:val="00795933"/>
    <w:rsid w:val="007A1163"/>
    <w:rsid w:val="007A232D"/>
    <w:rsid w:val="007A33DE"/>
    <w:rsid w:val="007A3C5D"/>
    <w:rsid w:val="007B0B50"/>
    <w:rsid w:val="007C471A"/>
    <w:rsid w:val="007C5762"/>
    <w:rsid w:val="007C68C6"/>
    <w:rsid w:val="007D28E9"/>
    <w:rsid w:val="007E017C"/>
    <w:rsid w:val="007E187E"/>
    <w:rsid w:val="007E6F41"/>
    <w:rsid w:val="007F16EC"/>
    <w:rsid w:val="007F272F"/>
    <w:rsid w:val="007F2B15"/>
    <w:rsid w:val="007F3272"/>
    <w:rsid w:val="007F4ACA"/>
    <w:rsid w:val="007F78F9"/>
    <w:rsid w:val="00800A76"/>
    <w:rsid w:val="00805360"/>
    <w:rsid w:val="00805BDD"/>
    <w:rsid w:val="008077BA"/>
    <w:rsid w:val="00815003"/>
    <w:rsid w:val="008156CC"/>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5064"/>
    <w:rsid w:val="00866464"/>
    <w:rsid w:val="0086682B"/>
    <w:rsid w:val="00873CA6"/>
    <w:rsid w:val="00877612"/>
    <w:rsid w:val="00877A78"/>
    <w:rsid w:val="00881BD9"/>
    <w:rsid w:val="00885773"/>
    <w:rsid w:val="00886C50"/>
    <w:rsid w:val="00891CA3"/>
    <w:rsid w:val="00893E7D"/>
    <w:rsid w:val="0089405C"/>
    <w:rsid w:val="008A32B0"/>
    <w:rsid w:val="008A4987"/>
    <w:rsid w:val="008A5AE8"/>
    <w:rsid w:val="008A5C37"/>
    <w:rsid w:val="008B3E0A"/>
    <w:rsid w:val="008B46B5"/>
    <w:rsid w:val="008B505D"/>
    <w:rsid w:val="008B67C1"/>
    <w:rsid w:val="008C1B5A"/>
    <w:rsid w:val="008C30C1"/>
    <w:rsid w:val="008D5002"/>
    <w:rsid w:val="008D7312"/>
    <w:rsid w:val="008E0C8E"/>
    <w:rsid w:val="008E1CC4"/>
    <w:rsid w:val="008E209E"/>
    <w:rsid w:val="008E21FE"/>
    <w:rsid w:val="008E3B14"/>
    <w:rsid w:val="008F119A"/>
    <w:rsid w:val="008F21E8"/>
    <w:rsid w:val="008F46AD"/>
    <w:rsid w:val="008F50E7"/>
    <w:rsid w:val="009042CE"/>
    <w:rsid w:val="009108BB"/>
    <w:rsid w:val="00911BB8"/>
    <w:rsid w:val="00913DD0"/>
    <w:rsid w:val="00925005"/>
    <w:rsid w:val="0093406D"/>
    <w:rsid w:val="009413AF"/>
    <w:rsid w:val="00944FA7"/>
    <w:rsid w:val="0094591E"/>
    <w:rsid w:val="00945E56"/>
    <w:rsid w:val="0095159D"/>
    <w:rsid w:val="00956603"/>
    <w:rsid w:val="00957732"/>
    <w:rsid w:val="009603C2"/>
    <w:rsid w:val="00970A21"/>
    <w:rsid w:val="00976608"/>
    <w:rsid w:val="00976679"/>
    <w:rsid w:val="009816BA"/>
    <w:rsid w:val="00982659"/>
    <w:rsid w:val="00990124"/>
    <w:rsid w:val="00992629"/>
    <w:rsid w:val="00996592"/>
    <w:rsid w:val="009A091A"/>
    <w:rsid w:val="009A596A"/>
    <w:rsid w:val="009B0EA6"/>
    <w:rsid w:val="009B278D"/>
    <w:rsid w:val="009B28D1"/>
    <w:rsid w:val="009B39A8"/>
    <w:rsid w:val="009B410C"/>
    <w:rsid w:val="009B4D6C"/>
    <w:rsid w:val="009B6A06"/>
    <w:rsid w:val="009C0415"/>
    <w:rsid w:val="009C18F7"/>
    <w:rsid w:val="009C4133"/>
    <w:rsid w:val="009C765A"/>
    <w:rsid w:val="009D2ADF"/>
    <w:rsid w:val="009D56FD"/>
    <w:rsid w:val="009D59DC"/>
    <w:rsid w:val="009E27EB"/>
    <w:rsid w:val="009E2F35"/>
    <w:rsid w:val="009E375C"/>
    <w:rsid w:val="009E6EBA"/>
    <w:rsid w:val="009E749A"/>
    <w:rsid w:val="009F6D72"/>
    <w:rsid w:val="00A017C3"/>
    <w:rsid w:val="00A14E15"/>
    <w:rsid w:val="00A216B3"/>
    <w:rsid w:val="00A22568"/>
    <w:rsid w:val="00A22A94"/>
    <w:rsid w:val="00A23605"/>
    <w:rsid w:val="00A23916"/>
    <w:rsid w:val="00A248DF"/>
    <w:rsid w:val="00A254D2"/>
    <w:rsid w:val="00A350DB"/>
    <w:rsid w:val="00A42DA3"/>
    <w:rsid w:val="00A44CDC"/>
    <w:rsid w:val="00A54A05"/>
    <w:rsid w:val="00A54C84"/>
    <w:rsid w:val="00A5597E"/>
    <w:rsid w:val="00A56CA9"/>
    <w:rsid w:val="00A602A4"/>
    <w:rsid w:val="00A74250"/>
    <w:rsid w:val="00A760B8"/>
    <w:rsid w:val="00A77022"/>
    <w:rsid w:val="00A81646"/>
    <w:rsid w:val="00A85301"/>
    <w:rsid w:val="00A91524"/>
    <w:rsid w:val="00A92388"/>
    <w:rsid w:val="00A92EE4"/>
    <w:rsid w:val="00A9352A"/>
    <w:rsid w:val="00AA1AFD"/>
    <w:rsid w:val="00AA5E73"/>
    <w:rsid w:val="00AC0364"/>
    <w:rsid w:val="00AC1A97"/>
    <w:rsid w:val="00AC2EDA"/>
    <w:rsid w:val="00AD26D9"/>
    <w:rsid w:val="00AD2F55"/>
    <w:rsid w:val="00AE31EA"/>
    <w:rsid w:val="00AE59BA"/>
    <w:rsid w:val="00AF07A2"/>
    <w:rsid w:val="00AF0C3D"/>
    <w:rsid w:val="00AF1C4C"/>
    <w:rsid w:val="00AF2639"/>
    <w:rsid w:val="00AF3C96"/>
    <w:rsid w:val="00B03A88"/>
    <w:rsid w:val="00B10FBB"/>
    <w:rsid w:val="00B152BB"/>
    <w:rsid w:val="00B344DD"/>
    <w:rsid w:val="00B35F21"/>
    <w:rsid w:val="00B36706"/>
    <w:rsid w:val="00B402B0"/>
    <w:rsid w:val="00B41BBA"/>
    <w:rsid w:val="00B476A2"/>
    <w:rsid w:val="00B51D6F"/>
    <w:rsid w:val="00B542FD"/>
    <w:rsid w:val="00B55F7B"/>
    <w:rsid w:val="00B57A6C"/>
    <w:rsid w:val="00B57BDF"/>
    <w:rsid w:val="00B71EF9"/>
    <w:rsid w:val="00B7438E"/>
    <w:rsid w:val="00B83CAF"/>
    <w:rsid w:val="00B84484"/>
    <w:rsid w:val="00B84D44"/>
    <w:rsid w:val="00B92361"/>
    <w:rsid w:val="00B92EBE"/>
    <w:rsid w:val="00B933D3"/>
    <w:rsid w:val="00B94D18"/>
    <w:rsid w:val="00B95D87"/>
    <w:rsid w:val="00B96099"/>
    <w:rsid w:val="00BA67A7"/>
    <w:rsid w:val="00BB1795"/>
    <w:rsid w:val="00BB42EB"/>
    <w:rsid w:val="00BB786D"/>
    <w:rsid w:val="00BC649C"/>
    <w:rsid w:val="00BC7D62"/>
    <w:rsid w:val="00BD0B53"/>
    <w:rsid w:val="00BD3AAD"/>
    <w:rsid w:val="00BD462F"/>
    <w:rsid w:val="00BE2281"/>
    <w:rsid w:val="00BE70E7"/>
    <w:rsid w:val="00BF0403"/>
    <w:rsid w:val="00BF74AC"/>
    <w:rsid w:val="00BF7C28"/>
    <w:rsid w:val="00C13776"/>
    <w:rsid w:val="00C137A3"/>
    <w:rsid w:val="00C144FE"/>
    <w:rsid w:val="00C1521B"/>
    <w:rsid w:val="00C24F3F"/>
    <w:rsid w:val="00C3084F"/>
    <w:rsid w:val="00C30DD8"/>
    <w:rsid w:val="00C35497"/>
    <w:rsid w:val="00C363D4"/>
    <w:rsid w:val="00C3765F"/>
    <w:rsid w:val="00C37EEB"/>
    <w:rsid w:val="00C5153C"/>
    <w:rsid w:val="00C57B7E"/>
    <w:rsid w:val="00C63A26"/>
    <w:rsid w:val="00C66FAC"/>
    <w:rsid w:val="00C67010"/>
    <w:rsid w:val="00C716F2"/>
    <w:rsid w:val="00C71D54"/>
    <w:rsid w:val="00C72921"/>
    <w:rsid w:val="00C72F24"/>
    <w:rsid w:val="00C77D93"/>
    <w:rsid w:val="00C85B20"/>
    <w:rsid w:val="00C965EF"/>
    <w:rsid w:val="00CA0C2C"/>
    <w:rsid w:val="00CA366F"/>
    <w:rsid w:val="00CA70B9"/>
    <w:rsid w:val="00CC667D"/>
    <w:rsid w:val="00CC6FA9"/>
    <w:rsid w:val="00CD3396"/>
    <w:rsid w:val="00CD6D7F"/>
    <w:rsid w:val="00CD6FA2"/>
    <w:rsid w:val="00CE018C"/>
    <w:rsid w:val="00CE3C8D"/>
    <w:rsid w:val="00CE7A96"/>
    <w:rsid w:val="00CF030D"/>
    <w:rsid w:val="00CF2FD2"/>
    <w:rsid w:val="00D0032F"/>
    <w:rsid w:val="00D01869"/>
    <w:rsid w:val="00D01C5E"/>
    <w:rsid w:val="00D03483"/>
    <w:rsid w:val="00D068E8"/>
    <w:rsid w:val="00D0713C"/>
    <w:rsid w:val="00D12490"/>
    <w:rsid w:val="00D1339E"/>
    <w:rsid w:val="00D15466"/>
    <w:rsid w:val="00D15C8E"/>
    <w:rsid w:val="00D17838"/>
    <w:rsid w:val="00D20C53"/>
    <w:rsid w:val="00D26700"/>
    <w:rsid w:val="00D278B3"/>
    <w:rsid w:val="00D30020"/>
    <w:rsid w:val="00D30060"/>
    <w:rsid w:val="00D31239"/>
    <w:rsid w:val="00D31F19"/>
    <w:rsid w:val="00D35707"/>
    <w:rsid w:val="00D42E09"/>
    <w:rsid w:val="00D442D2"/>
    <w:rsid w:val="00D47D31"/>
    <w:rsid w:val="00D51F56"/>
    <w:rsid w:val="00D52A6B"/>
    <w:rsid w:val="00D54CB0"/>
    <w:rsid w:val="00D61881"/>
    <w:rsid w:val="00D6231F"/>
    <w:rsid w:val="00D62F78"/>
    <w:rsid w:val="00D64B20"/>
    <w:rsid w:val="00D64E9C"/>
    <w:rsid w:val="00D735DC"/>
    <w:rsid w:val="00D76A20"/>
    <w:rsid w:val="00D8501D"/>
    <w:rsid w:val="00D85E40"/>
    <w:rsid w:val="00D90B12"/>
    <w:rsid w:val="00D96C5A"/>
    <w:rsid w:val="00DA03E4"/>
    <w:rsid w:val="00DA4B36"/>
    <w:rsid w:val="00DA5757"/>
    <w:rsid w:val="00DA68E4"/>
    <w:rsid w:val="00DB2563"/>
    <w:rsid w:val="00DB42EC"/>
    <w:rsid w:val="00DB43D2"/>
    <w:rsid w:val="00DB5F71"/>
    <w:rsid w:val="00DC3117"/>
    <w:rsid w:val="00DC4A19"/>
    <w:rsid w:val="00DC515D"/>
    <w:rsid w:val="00DC75CB"/>
    <w:rsid w:val="00DD04F3"/>
    <w:rsid w:val="00DD37A3"/>
    <w:rsid w:val="00DD4AE3"/>
    <w:rsid w:val="00DD4D2E"/>
    <w:rsid w:val="00DE03C3"/>
    <w:rsid w:val="00DE5055"/>
    <w:rsid w:val="00DE799B"/>
    <w:rsid w:val="00DE7F0B"/>
    <w:rsid w:val="00DF0FC9"/>
    <w:rsid w:val="00DF7188"/>
    <w:rsid w:val="00E03CB9"/>
    <w:rsid w:val="00E046FE"/>
    <w:rsid w:val="00E06BDE"/>
    <w:rsid w:val="00E07E4C"/>
    <w:rsid w:val="00E12974"/>
    <w:rsid w:val="00E16C46"/>
    <w:rsid w:val="00E234DD"/>
    <w:rsid w:val="00E34305"/>
    <w:rsid w:val="00E40798"/>
    <w:rsid w:val="00E4118C"/>
    <w:rsid w:val="00E43AC3"/>
    <w:rsid w:val="00E4413F"/>
    <w:rsid w:val="00E572E9"/>
    <w:rsid w:val="00E579A9"/>
    <w:rsid w:val="00E60833"/>
    <w:rsid w:val="00E63DC0"/>
    <w:rsid w:val="00E64480"/>
    <w:rsid w:val="00E7617D"/>
    <w:rsid w:val="00E82434"/>
    <w:rsid w:val="00E82E02"/>
    <w:rsid w:val="00E862D8"/>
    <w:rsid w:val="00E86D2D"/>
    <w:rsid w:val="00E9104A"/>
    <w:rsid w:val="00E91249"/>
    <w:rsid w:val="00EA1857"/>
    <w:rsid w:val="00EA1C72"/>
    <w:rsid w:val="00EA2595"/>
    <w:rsid w:val="00EA27E4"/>
    <w:rsid w:val="00EA3C26"/>
    <w:rsid w:val="00EB210F"/>
    <w:rsid w:val="00EB3C2A"/>
    <w:rsid w:val="00EB44F1"/>
    <w:rsid w:val="00EC0659"/>
    <w:rsid w:val="00ED7397"/>
    <w:rsid w:val="00EE7701"/>
    <w:rsid w:val="00EF4067"/>
    <w:rsid w:val="00EF6656"/>
    <w:rsid w:val="00F11FBF"/>
    <w:rsid w:val="00F136E8"/>
    <w:rsid w:val="00F16FC0"/>
    <w:rsid w:val="00F20E58"/>
    <w:rsid w:val="00F21E55"/>
    <w:rsid w:val="00F22314"/>
    <w:rsid w:val="00F232AF"/>
    <w:rsid w:val="00F23A49"/>
    <w:rsid w:val="00F31C03"/>
    <w:rsid w:val="00F33512"/>
    <w:rsid w:val="00F34FFD"/>
    <w:rsid w:val="00F36179"/>
    <w:rsid w:val="00F364F1"/>
    <w:rsid w:val="00F40417"/>
    <w:rsid w:val="00F44E57"/>
    <w:rsid w:val="00F47BC0"/>
    <w:rsid w:val="00F5273E"/>
    <w:rsid w:val="00F61BB6"/>
    <w:rsid w:val="00F62F4F"/>
    <w:rsid w:val="00F63965"/>
    <w:rsid w:val="00F64F98"/>
    <w:rsid w:val="00F65899"/>
    <w:rsid w:val="00F65913"/>
    <w:rsid w:val="00F70D29"/>
    <w:rsid w:val="00F70FA2"/>
    <w:rsid w:val="00F710FD"/>
    <w:rsid w:val="00F72277"/>
    <w:rsid w:val="00F72620"/>
    <w:rsid w:val="00F72F29"/>
    <w:rsid w:val="00F80702"/>
    <w:rsid w:val="00F813AB"/>
    <w:rsid w:val="00F84FF1"/>
    <w:rsid w:val="00F9455E"/>
    <w:rsid w:val="00F9544A"/>
    <w:rsid w:val="00FA5933"/>
    <w:rsid w:val="00FB2A56"/>
    <w:rsid w:val="00FB59DD"/>
    <w:rsid w:val="00FC247D"/>
    <w:rsid w:val="00FC581B"/>
    <w:rsid w:val="00FC66AF"/>
    <w:rsid w:val="00FD2C42"/>
    <w:rsid w:val="00FE5C2B"/>
    <w:rsid w:val="00FE5EBF"/>
    <w:rsid w:val="00FE736D"/>
    <w:rsid w:val="00FF2002"/>
    <w:rsid w:val="00FF4ACF"/>
    <w:rsid w:val="00FF5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48CF7"/>
  <w15:docId w15:val="{757B8FCF-CC4B-4AA1-B23C-5935860F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77"/>
    <w:pPr>
      <w:spacing w:before="120" w:after="240" w:line="276" w:lineRule="auto"/>
    </w:pPr>
    <w:rPr>
      <w:rFonts w:ascii="Arial" w:hAnsi="Arial"/>
      <w:color w:val="2D2E2F"/>
      <w:sz w:val="22"/>
    </w:rPr>
  </w:style>
  <w:style w:type="paragraph" w:styleId="Heading1">
    <w:name w:val="heading 1"/>
    <w:basedOn w:val="Normal"/>
    <w:next w:val="Normal"/>
    <w:link w:val="Heading1Char"/>
    <w:qFormat/>
    <w:rsid w:val="001D4877"/>
    <w:pPr>
      <w:keepNext/>
      <w:tabs>
        <w:tab w:val="left" w:pos="709"/>
      </w:tabs>
      <w:spacing w:before="240" w:after="120"/>
      <w:outlineLvl w:val="0"/>
    </w:pPr>
    <w:rPr>
      <w:rFonts w:cs="Arial"/>
      <w:bCs/>
      <w:color w:val="0C385D"/>
      <w:kern w:val="32"/>
      <w:sz w:val="56"/>
      <w:szCs w:val="68"/>
    </w:rPr>
  </w:style>
  <w:style w:type="paragraph" w:styleId="Heading2">
    <w:name w:val="heading 2"/>
    <w:basedOn w:val="Heading1"/>
    <w:next w:val="Normal"/>
    <w:link w:val="Heading2Char"/>
    <w:qFormat/>
    <w:rsid w:val="001D4877"/>
    <w:pPr>
      <w:keepNext w:val="0"/>
      <w:spacing w:before="0"/>
      <w:outlineLvl w:val="1"/>
    </w:pPr>
    <w:rPr>
      <w:color w:val="4A8195"/>
      <w:sz w:val="36"/>
    </w:rPr>
  </w:style>
  <w:style w:type="paragraph" w:styleId="Heading3">
    <w:name w:val="heading 3"/>
    <w:basedOn w:val="Normal"/>
    <w:next w:val="Normal"/>
    <w:link w:val="Heading3Char"/>
    <w:qFormat/>
    <w:rsid w:val="001D4877"/>
    <w:pPr>
      <w:keepNext/>
      <w:spacing w:before="240"/>
      <w:outlineLvl w:val="2"/>
    </w:pPr>
    <w:rPr>
      <w:rFonts w:cs="Arial"/>
      <w:b/>
      <w:bCs/>
      <w:color w:val="6E6C71"/>
      <w:sz w:val="26"/>
      <w:szCs w:val="28"/>
    </w:rPr>
  </w:style>
  <w:style w:type="paragraph" w:styleId="Heading4">
    <w:name w:val="heading 4"/>
    <w:basedOn w:val="Normal"/>
    <w:next w:val="Normal"/>
    <w:link w:val="Heading4Char"/>
    <w:autoRedefine/>
    <w:qFormat/>
    <w:rsid w:val="001D4877"/>
    <w:pPr>
      <w:spacing w:before="60" w:after="120" w:line="360" w:lineRule="auto"/>
      <w:outlineLvl w:val="3"/>
    </w:pPr>
    <w:rPr>
      <w:rFonts w:eastAsiaTheme="majorEastAsia" w:cstheme="majorBidi"/>
      <w:b/>
      <w:bCs/>
      <w:color w:val="auto"/>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877"/>
    <w:rPr>
      <w:rFonts w:ascii="Arial" w:hAnsi="Arial" w:cs="Arial"/>
      <w:bCs/>
      <w:color w:val="0C385D"/>
      <w:kern w:val="32"/>
      <w:sz w:val="56"/>
      <w:szCs w:val="68"/>
    </w:rPr>
  </w:style>
  <w:style w:type="character" w:customStyle="1" w:styleId="Heading2Char">
    <w:name w:val="Heading 2 Char"/>
    <w:basedOn w:val="DefaultParagraphFont"/>
    <w:link w:val="Heading2"/>
    <w:rsid w:val="001D4877"/>
    <w:rPr>
      <w:rFonts w:ascii="Arial" w:hAnsi="Arial" w:cs="Arial"/>
      <w:bCs/>
      <w:color w:val="4A8195"/>
      <w:kern w:val="32"/>
      <w:sz w:val="36"/>
      <w:szCs w:val="68"/>
    </w:rPr>
  </w:style>
  <w:style w:type="character" w:customStyle="1" w:styleId="Heading3Char">
    <w:name w:val="Heading 3 Char"/>
    <w:basedOn w:val="DefaultParagraphFont"/>
    <w:link w:val="Heading3"/>
    <w:rsid w:val="001D4877"/>
    <w:rPr>
      <w:rFonts w:ascii="Arial" w:hAnsi="Arial" w:cs="Arial"/>
      <w:b/>
      <w:bCs/>
      <w:color w:val="6E6C71"/>
      <w:sz w:val="26"/>
      <w:szCs w:val="28"/>
    </w:rPr>
  </w:style>
  <w:style w:type="character" w:customStyle="1" w:styleId="Heading4Char">
    <w:name w:val="Heading 4 Char"/>
    <w:basedOn w:val="DefaultParagraphFont"/>
    <w:link w:val="Heading4"/>
    <w:rsid w:val="001D4877"/>
    <w:rPr>
      <w:rFonts w:ascii="Arial" w:eastAsiaTheme="majorEastAsia" w:hAnsi="Arial" w:cstheme="majorBidi"/>
      <w:b/>
      <w:bCs/>
      <w:sz w:val="22"/>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rial" w:eastAsiaTheme="majorEastAsia" w:hAnsi="Arial" w:cstheme="majorBidi"/>
      <w:i/>
      <w:color w:val="2D2E2F"/>
      <w:spacing w:val="-4"/>
      <w:kern w:val="28"/>
      <w:sz w:val="22"/>
    </w:rPr>
  </w:style>
  <w:style w:type="character" w:customStyle="1" w:styleId="Heading6Char">
    <w:name w:val="Heading 6 Char"/>
    <w:basedOn w:val="DefaultParagraphFont"/>
    <w:link w:val="Heading6"/>
    <w:rsid w:val="007A3C5D"/>
    <w:rPr>
      <w:rFonts w:ascii="Arial" w:eastAsiaTheme="majorEastAsia" w:hAnsi="Arial" w:cstheme="majorBidi"/>
      <w:i/>
      <w:color w:val="2D2E2F"/>
      <w:spacing w:val="-4"/>
      <w:kern w:val="28"/>
      <w:sz w:val="22"/>
    </w:rPr>
  </w:style>
  <w:style w:type="character" w:customStyle="1" w:styleId="Heading7Char">
    <w:name w:val="Heading 7 Char"/>
    <w:basedOn w:val="DefaultParagraphFont"/>
    <w:link w:val="Heading7"/>
    <w:rsid w:val="007A3C5D"/>
    <w:rPr>
      <w:rFonts w:ascii="Arial" w:eastAsiaTheme="majorEastAsia" w:hAnsi="Arial" w:cstheme="majorBidi"/>
      <w:color w:val="2D2E2F"/>
      <w:spacing w:val="-4"/>
      <w:kern w:val="28"/>
      <w:sz w:val="22"/>
    </w:rPr>
  </w:style>
  <w:style w:type="character" w:customStyle="1" w:styleId="Heading8Char">
    <w:name w:val="Heading 8 Char"/>
    <w:basedOn w:val="DefaultParagraphFont"/>
    <w:link w:val="Heading8"/>
    <w:rsid w:val="009413AF"/>
    <w:rPr>
      <w:rFonts w:ascii="Arial" w:hAnsi="Arial"/>
      <w:i/>
      <w:color w:val="2D2E2F"/>
      <w:spacing w:val="-4"/>
      <w:kern w:val="28"/>
      <w:sz w:val="22"/>
    </w:rPr>
  </w:style>
  <w:style w:type="character" w:customStyle="1" w:styleId="Heading9Char">
    <w:name w:val="Heading 9 Char"/>
    <w:basedOn w:val="DefaultParagraphFont"/>
    <w:link w:val="Heading9"/>
    <w:rsid w:val="007A3C5D"/>
    <w:rPr>
      <w:rFonts w:ascii="Arial" w:eastAsiaTheme="majorEastAsia" w:hAnsi="Arial" w:cstheme="majorBidi"/>
      <w:color w:val="2D2E2F"/>
      <w:spacing w:val="-4"/>
      <w:kern w:val="28"/>
      <w:sz w:val="22"/>
    </w:rPr>
  </w:style>
  <w:style w:type="paragraph" w:styleId="Title">
    <w:name w:val="Title"/>
    <w:basedOn w:val="Normal"/>
    <w:next w:val="Normal"/>
    <w:link w:val="TitleChar"/>
    <w:qFormat/>
    <w:rsid w:val="00144261"/>
    <w:pPr>
      <w:pBdr>
        <w:bottom w:val="single" w:sz="8" w:space="1" w:color="3C9AA8" w:themeColor="accent4"/>
      </w:pBdr>
      <w:spacing w:before="240"/>
    </w:pPr>
    <w:rPr>
      <w:rFonts w:eastAsiaTheme="majorEastAsia" w:cstheme="majorBidi"/>
      <w:color w:val="0C385D"/>
      <w:spacing w:val="5"/>
      <w:kern w:val="28"/>
      <w:sz w:val="52"/>
      <w:szCs w:val="40"/>
    </w:rPr>
  </w:style>
  <w:style w:type="character" w:customStyle="1" w:styleId="TitleChar">
    <w:name w:val="Title Char"/>
    <w:basedOn w:val="DefaultParagraphFont"/>
    <w:link w:val="Title"/>
    <w:rsid w:val="00144261"/>
    <w:rPr>
      <w:rFonts w:ascii="Arial" w:eastAsiaTheme="majorEastAsia" w:hAnsi="Arial" w:cstheme="majorBidi"/>
      <w:color w:val="0C385D"/>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2E3BE3"/>
    <w:pPr>
      <w:numPr>
        <w:numId w:val="2"/>
      </w:numPr>
      <w:spacing w:after="120" w:line="276" w:lineRule="auto"/>
      <w:contextualSpacing w:val="0"/>
    </w:pPr>
    <w:rPr>
      <w:rFonts w:cs="Arial"/>
    </w:rPr>
  </w:style>
  <w:style w:type="character" w:customStyle="1" w:styleId="NumberedlistLevel1Char">
    <w:name w:val="Numbered list Level 1 Char"/>
    <w:basedOn w:val="ListParagraphChar"/>
    <w:link w:val="NumberedlistLevel1"/>
    <w:rsid w:val="002E3BE3"/>
    <w:rPr>
      <w:rFonts w:ascii="Arial" w:eastAsiaTheme="minorHAnsi" w:hAnsi="Arial" w:cs="Arial"/>
      <w:bCs/>
      <w:color w:val="2D2E2F"/>
      <w:sz w:val="22"/>
      <w:szCs w:val="24"/>
      <w:lang w:eastAsia="en-US"/>
    </w:rPr>
  </w:style>
  <w:style w:type="paragraph" w:customStyle="1" w:styleId="NumberedListLevel2">
    <w:name w:val="Numbered List Level 2"/>
    <w:basedOn w:val="ListParagraph"/>
    <w:link w:val="NumberedListLevel2Char"/>
    <w:qFormat/>
    <w:rsid w:val="004E101A"/>
    <w:pPr>
      <w:numPr>
        <w:ilvl w:val="1"/>
        <w:numId w:val="2"/>
      </w:numPr>
      <w:spacing w:after="120" w:line="276" w:lineRule="auto"/>
      <w:contextualSpacing w:val="0"/>
    </w:pPr>
    <w:rPr>
      <w:rFonts w:cs="Arial"/>
    </w:rPr>
  </w:style>
  <w:style w:type="character" w:customStyle="1" w:styleId="NumberedListLevel2Char">
    <w:name w:val="Numbered List Level 2 Char"/>
    <w:basedOn w:val="ListParagraphChar"/>
    <w:link w:val="NumberedListLevel2"/>
    <w:rsid w:val="004E101A"/>
    <w:rPr>
      <w:rFonts w:ascii="Arial" w:eastAsiaTheme="minorHAnsi" w:hAnsi="Arial" w:cs="Arial"/>
      <w:bCs/>
      <w:color w:val="2D2E2F"/>
      <w:sz w:val="22"/>
      <w:szCs w:val="24"/>
      <w:lang w:eastAsia="en-US"/>
    </w:rPr>
  </w:style>
  <w:style w:type="paragraph" w:customStyle="1" w:styleId="NumberedListLevel3">
    <w:name w:val="Numbered List Level 3"/>
    <w:basedOn w:val="ListParagraph"/>
    <w:link w:val="NumberedListLevel3Char"/>
    <w:qFormat/>
    <w:rsid w:val="004E101A"/>
    <w:pPr>
      <w:numPr>
        <w:ilvl w:val="2"/>
        <w:numId w:val="2"/>
      </w:numPr>
      <w:spacing w:after="120" w:line="276" w:lineRule="auto"/>
      <w:contextualSpacing w:val="0"/>
    </w:pPr>
    <w:rPr>
      <w:rFonts w:cs="Arial"/>
    </w:rPr>
  </w:style>
  <w:style w:type="character" w:customStyle="1" w:styleId="NumberedListLevel3Char">
    <w:name w:val="Numbered List Level 3 Char"/>
    <w:basedOn w:val="ListParagraphChar"/>
    <w:link w:val="NumberedListLevel3"/>
    <w:rsid w:val="004E101A"/>
    <w:rPr>
      <w:rFonts w:ascii="Arial" w:eastAsiaTheme="minorHAnsi" w:hAnsi="Arial" w:cs="Arial"/>
      <w:bCs/>
      <w:color w:val="2D2E2F"/>
      <w:sz w:val="22"/>
      <w:szCs w:val="24"/>
      <w:lang w:eastAsia="en-US"/>
    </w:rPr>
  </w:style>
  <w:style w:type="paragraph" w:customStyle="1" w:styleId="BulletListLevel1">
    <w:name w:val="Bullet List Level 1"/>
    <w:basedOn w:val="NumberedlistLevel1"/>
    <w:link w:val="BulletListLevel1Char"/>
    <w:qFormat/>
    <w:rsid w:val="002E3BE3"/>
    <w:pPr>
      <w:numPr>
        <w:numId w:val="3"/>
      </w:numPr>
    </w:pPr>
  </w:style>
  <w:style w:type="character" w:customStyle="1" w:styleId="BulletListLevel1Char">
    <w:name w:val="Bullet List Level 1 Char"/>
    <w:basedOn w:val="NumberedlistLevel1Char"/>
    <w:link w:val="BulletListLevel1"/>
    <w:rsid w:val="002E3BE3"/>
    <w:rPr>
      <w:rFonts w:ascii="Arial" w:eastAsiaTheme="minorHAnsi" w:hAnsi="Arial" w:cs="Arial"/>
      <w:bCs/>
      <w:color w:val="2D2E2F"/>
      <w:sz w:val="22"/>
      <w:szCs w:val="24"/>
      <w:lang w:eastAsia="en-US"/>
    </w:rPr>
  </w:style>
  <w:style w:type="paragraph" w:customStyle="1" w:styleId="BulletListLevel2">
    <w:name w:val="Bullet List Level 2"/>
    <w:basedOn w:val="NumberedListLevel2"/>
    <w:link w:val="BulletListLevel2Char"/>
    <w:qFormat/>
    <w:rsid w:val="002E3BE3"/>
    <w:pPr>
      <w:numPr>
        <w:ilvl w:val="0"/>
        <w:numId w:val="4"/>
      </w:numPr>
    </w:pPr>
  </w:style>
  <w:style w:type="character" w:customStyle="1" w:styleId="BulletListLevel2Char">
    <w:name w:val="Bullet List Level 2 Char"/>
    <w:basedOn w:val="NumberedListLevel2Char"/>
    <w:link w:val="BulletListLevel2"/>
    <w:rsid w:val="002E3BE3"/>
    <w:rPr>
      <w:rFonts w:ascii="Arial" w:eastAsiaTheme="minorHAnsi" w:hAnsi="Arial" w:cs="Arial"/>
      <w:bCs/>
      <w:color w:val="2D2E2F"/>
      <w:sz w:val="22"/>
      <w:szCs w:val="24"/>
      <w:lang w:eastAsia="en-US"/>
    </w:rPr>
  </w:style>
  <w:style w:type="paragraph" w:customStyle="1" w:styleId="BulletListLevel3">
    <w:name w:val="Bullet List Level 3"/>
    <w:basedOn w:val="NumberedListLevel3"/>
    <w:link w:val="BulletListLevel3Char"/>
    <w:qFormat/>
    <w:rsid w:val="002E3BE3"/>
    <w:pPr>
      <w:numPr>
        <w:numId w:val="5"/>
      </w:numPr>
    </w:pPr>
  </w:style>
  <w:style w:type="character" w:customStyle="1" w:styleId="BulletListLevel3Char">
    <w:name w:val="Bullet List Level 3 Char"/>
    <w:basedOn w:val="NumberedListLevel3Char"/>
    <w:link w:val="BulletListLevel3"/>
    <w:rsid w:val="002E3BE3"/>
    <w:rPr>
      <w:rFonts w:ascii="Arial" w:eastAsiaTheme="minorHAnsi" w:hAnsi="Arial" w:cs="Arial"/>
      <w:bCs/>
      <w:color w:val="2D2E2F"/>
      <w:sz w:val="22"/>
      <w:szCs w:val="24"/>
      <w:lang w:eastAsia="en-US"/>
    </w:rPr>
  </w:style>
  <w:style w:type="paragraph" w:customStyle="1" w:styleId="Default">
    <w:name w:val="Default"/>
    <w:qFormat/>
    <w:rsid w:val="002E3BE3"/>
    <w:pPr>
      <w:widowControl w:val="0"/>
      <w:autoSpaceDE w:val="0"/>
      <w:autoSpaceDN w:val="0"/>
      <w:adjustRightInd w:val="0"/>
      <w:spacing w:before="120" w:after="120" w:line="276" w:lineRule="auto"/>
    </w:pPr>
    <w:rPr>
      <w:rFonts w:ascii="Arial" w:hAnsi="Arial" w:cs="Century Gothic"/>
      <w:color w:val="2D2E2F"/>
      <w:sz w:val="22"/>
      <w:szCs w:val="24"/>
      <w:lang w:val="en-US" w:eastAsia="en-US"/>
    </w:rPr>
  </w:style>
  <w:style w:type="paragraph" w:styleId="Header">
    <w:name w:val="header"/>
    <w:basedOn w:val="Normal"/>
    <w:link w:val="HeaderChar"/>
    <w:uiPriority w:val="99"/>
    <w:qFormat/>
    <w:rsid w:val="002E3BE3"/>
    <w:pPr>
      <w:tabs>
        <w:tab w:val="right" w:pos="9295"/>
      </w:tabs>
    </w:pPr>
    <w:rPr>
      <w:rFonts w:cs="Arial"/>
      <w:sz w:val="16"/>
      <w:szCs w:val="16"/>
    </w:rPr>
  </w:style>
  <w:style w:type="character" w:customStyle="1" w:styleId="HeaderChar">
    <w:name w:val="Header Char"/>
    <w:basedOn w:val="DefaultParagraphFont"/>
    <w:link w:val="Header"/>
    <w:uiPriority w:val="99"/>
    <w:rsid w:val="002E3BE3"/>
    <w:rPr>
      <w:rFonts w:ascii="Arial" w:hAnsi="Arial" w:cs="Arial"/>
      <w:color w:val="2D2E2F"/>
      <w:sz w:val="16"/>
      <w:szCs w:val="16"/>
    </w:rPr>
  </w:style>
  <w:style w:type="paragraph" w:styleId="Footer">
    <w:name w:val="footer"/>
    <w:basedOn w:val="Normal"/>
    <w:link w:val="FooterChar"/>
    <w:qFormat/>
    <w:rsid w:val="002E3BE3"/>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2E3BE3"/>
    <w:rPr>
      <w:rFonts w:ascii="Arial" w:hAnsi="Arial"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semiHidden/>
    <w:unhideWhenUsed/>
    <w:rsid w:val="0018113A"/>
    <w:pPr>
      <w:spacing w:line="240" w:lineRule="auto"/>
    </w:pPr>
  </w:style>
  <w:style w:type="character" w:customStyle="1" w:styleId="CommentTextChar">
    <w:name w:val="Comment Text Char"/>
    <w:basedOn w:val="DefaultParagraphFont"/>
    <w:link w:val="CommentText"/>
    <w:uiPriority w:val="99"/>
    <w:semiHidden/>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6"/>
      </w:numPr>
    </w:pPr>
  </w:style>
  <w:style w:type="paragraph" w:customStyle="1" w:styleId="LetterListLevel1">
    <w:name w:val="Letter List Level 1"/>
    <w:basedOn w:val="BulletListLevel1"/>
    <w:link w:val="LetterListLevel1Char"/>
    <w:rsid w:val="002310F1"/>
    <w:pPr>
      <w:numPr>
        <w:numId w:val="7"/>
      </w:numPr>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rial" w:eastAsiaTheme="minorHAnsi" w:hAnsi="Arial"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Helvetica Neue" w:hAnsi="Helvetica Neue"/>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table" w:styleId="ListTable6Colorful">
    <w:name w:val="List Table 6 Colorful"/>
    <w:basedOn w:val="TableNormal"/>
    <w:uiPriority w:val="51"/>
    <w:rsid w:val="00873CA6"/>
    <w:rPr>
      <w:rFonts w:asciiTheme="minorHAnsi" w:eastAsiaTheme="minorHAnsi" w:hAnsiTheme="minorHAnsi" w:cstheme="minorBidi"/>
      <w:color w:val="58595B" w:themeColor="text1"/>
      <w:sz w:val="22"/>
      <w:szCs w:val="22"/>
      <w:lang w:eastAsia="en-US"/>
    </w:rPr>
    <w:tblPr>
      <w:tblStyleRowBandSize w:val="1"/>
      <w:tblStyleColBandSize w:val="1"/>
      <w:tblBorders>
        <w:top w:val="single" w:sz="4" w:space="0" w:color="58595B" w:themeColor="text1"/>
        <w:bottom w:val="single" w:sz="4" w:space="0" w:color="58595B" w:themeColor="text1"/>
      </w:tblBorders>
    </w:tblPr>
    <w:tblStylePr w:type="firstRow">
      <w:rPr>
        <w:b/>
        <w:bCs/>
      </w:rPr>
      <w:tblPr/>
      <w:tcPr>
        <w:tcBorders>
          <w:bottom w:val="single" w:sz="4" w:space="0" w:color="58595B" w:themeColor="text1"/>
        </w:tcBorders>
      </w:tcPr>
    </w:tblStylePr>
    <w:tblStylePr w:type="lastRow">
      <w:rPr>
        <w:b/>
        <w:bCs/>
      </w:rPr>
      <w:tblPr/>
      <w:tcPr>
        <w:tcBorders>
          <w:top w:val="double" w:sz="4" w:space="0" w:color="58595B" w:themeColor="text1"/>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paragraph" w:styleId="FootnoteText">
    <w:name w:val="footnote text"/>
    <w:basedOn w:val="Normal"/>
    <w:link w:val="FootnoteTextChar"/>
    <w:uiPriority w:val="99"/>
    <w:semiHidden/>
    <w:unhideWhenUsed/>
    <w:rsid w:val="00873CA6"/>
    <w:pPr>
      <w:spacing w:before="0" w:after="0" w:line="240" w:lineRule="auto"/>
    </w:pPr>
    <w:rPr>
      <w:rFonts w:asciiTheme="minorHAnsi" w:eastAsiaTheme="minorHAnsi" w:hAnsiTheme="minorHAnsi" w:cstheme="minorBidi"/>
      <w:color w:val="auto"/>
      <w:sz w:val="20"/>
      <w:lang w:eastAsia="en-US"/>
    </w:rPr>
  </w:style>
  <w:style w:type="character" w:customStyle="1" w:styleId="FootnoteTextChar">
    <w:name w:val="Footnote Text Char"/>
    <w:basedOn w:val="DefaultParagraphFont"/>
    <w:link w:val="FootnoteText"/>
    <w:uiPriority w:val="99"/>
    <w:semiHidden/>
    <w:rsid w:val="00873CA6"/>
    <w:rPr>
      <w:rFonts w:asciiTheme="minorHAnsi" w:eastAsiaTheme="minorHAnsi" w:hAnsiTheme="minorHAnsi" w:cstheme="minorBidi"/>
      <w:sz w:val="20"/>
      <w:lang w:eastAsia="en-US"/>
    </w:rPr>
  </w:style>
  <w:style w:type="character" w:styleId="FootnoteReference">
    <w:name w:val="footnote reference"/>
    <w:uiPriority w:val="99"/>
    <w:semiHidden/>
    <w:rsid w:val="0087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egislation.nt.gov.au/en/Legislation/ALCOHOL-HARM-REDUCTION-ACT-201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qld.gov.au/view/pdf/inforce/current/act-2000-005" TargetMode="External"/><Relationship Id="rId2" Type="http://schemas.openxmlformats.org/officeDocument/2006/relationships/customXml" Target="../customXml/item2.xml"/><Relationship Id="rId16" Type="http://schemas.openxmlformats.org/officeDocument/2006/relationships/hyperlink" Target="https://legislation.nt.gov.au/en/Legislation/ALCOHOL-HARM-REDUCTION-ACT-2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gislation.nt.gov.au/en/Legislation/ALCOHOL-HARM-REDUCTION-ACT-2017" TargetMode="External"/><Relationship Id="rId10" Type="http://schemas.openxmlformats.org/officeDocument/2006/relationships/endnotes" Target="endnotes.xml"/><Relationship Id="rId19" Type="http://schemas.openxmlformats.org/officeDocument/2006/relationships/hyperlink" Target="https://legislation.nt.gov.au/en/Legislation/ALCOHOL-HARM-REDUCTION-ACT-20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usiness.qld.gov.au/industries/hospitality-tourism-sport/liquor-gaming/liquor/compliance/refusal-service/ban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c072e10-870d-460a-9f37-b3eac4f10863">
      <UserInfo>
        <DisplayName>Luke Stevens</DisplayName>
        <AccountId>507</AccountId>
        <AccountType/>
      </UserInfo>
    </SharedWithUsers>
    <lcf76f155ced4ddcb4097134ff3c332f xmlns="65828862-ae87-457f-b884-efeaea2d65b5">
      <Terms xmlns="http://schemas.microsoft.com/office/infopath/2007/PartnerControls"/>
    </lcf76f155ced4ddcb4097134ff3c332f>
    <TaxCatchAll xmlns="bc072e10-870d-460a-9f37-b3eac4f1086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18" ma:contentTypeDescription="Create a new document." ma:contentTypeScope="" ma:versionID="491526c24493839ad89d1f41cea83758">
  <xsd:schema xmlns:xsd="http://www.w3.org/2001/XMLSchema" xmlns:xs="http://www.w3.org/2001/XMLSchema" xmlns:p="http://schemas.microsoft.com/office/2006/metadata/properties" xmlns:ns1="http://schemas.microsoft.com/sharepoint/v3" xmlns:ns2="65828862-ae87-457f-b884-efeaea2d65b5" xmlns:ns3="bc072e10-870d-460a-9f37-b3eac4f10863" targetNamespace="http://schemas.microsoft.com/office/2006/metadata/properties" ma:root="true" ma:fieldsID="0cf761d608494d0f9f0cd2ed11f61e46" ns1:_="" ns2:_="" ns3:_="">
    <xsd:import namespace="http://schemas.microsoft.com/sharepoint/v3"/>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ec8cb3b-9145-48b3-ab97-3947015ae342}" ma:internalName="TaxCatchAll" ma:showField="CatchAllData" ma:web="bc072e10-870d-460a-9f37-b3eac4f10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D3A0B94B-6B5A-4804-8957-B38BAE5819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8cfc701b-12b1-44ce-b057-0e9f41eda89f"/>
    <ds:schemaRef ds:uri="http://schemas.microsoft.com/office/2006/metadata/properties"/>
    <ds:schemaRef ds:uri="http://purl.org/dc/elements/1.1/"/>
    <ds:schemaRef ds:uri="07b76a11-0216-4cad-8efb-5d83efaeda3f"/>
    <ds:schemaRef ds:uri="http://schemas.microsoft.com/sharepoint/v3"/>
    <ds:schemaRef ds:uri="http://www.w3.org/XML/1998/namespace"/>
    <ds:schemaRef ds:uri="bc072e10-870d-460a-9f37-b3eac4f10863"/>
    <ds:schemaRef ds:uri="65828862-ae87-457f-b884-efeaea2d65b5"/>
  </ds:schemaRefs>
</ds:datastoreItem>
</file>

<file path=customXml/itemProps3.xml><?xml version="1.0" encoding="utf-8"?>
<ds:datastoreItem xmlns:ds="http://schemas.openxmlformats.org/officeDocument/2006/customXml" ds:itemID="{C7D0B6E0-F9E9-443D-B578-CB40BE8C3CE0}">
  <ds:schemaRefs>
    <ds:schemaRef ds:uri="http://schemas.openxmlformats.org/officeDocument/2006/bibliography"/>
  </ds:schemaRefs>
</ds:datastoreItem>
</file>

<file path=customXml/itemProps4.xml><?xml version="1.0" encoding="utf-8"?>
<ds:datastoreItem xmlns:ds="http://schemas.openxmlformats.org/officeDocument/2006/customXml" ds:itemID="{F6CDFC17-8C07-4A46-A987-81E2FFB1D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828862-ae87-457f-b884-efeaea2d65b5"/>
    <ds:schemaRef ds:uri="bc072e10-870d-460a-9f37-b3eac4f10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DLGSC generic Word template option 02</vt:lpstr>
    </vt:vector>
  </TitlesOfParts>
  <Company>Department of Culture and the Arts</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DLGSC generic Word template option 02</dc:title>
  <dc:subject/>
  <dc:creator>Geet Frank</dc:creator>
  <cp:keywords/>
  <cp:lastModifiedBy>Geoffrey White</cp:lastModifiedBy>
  <cp:revision>1</cp:revision>
  <cp:lastPrinted>2022-09-15T06:48:00Z</cp:lastPrinted>
  <dcterms:created xsi:type="dcterms:W3CDTF">2022-09-08T04:05:00Z</dcterms:created>
  <dcterms:modified xsi:type="dcterms:W3CDTF">2022-10-11T05:00:00Z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0x010100D176C7B5C3CFEC41826B6A437306AAE8</vt:lpwstr>
  </property>
  <property fmtid="{D5CDD505-2E9C-101B-9397-08002B2CF9AE}" pid="3" name="DLGC_SecurityClassification">
    <vt:lpwstr>94;#Unclassified|0d6df6fb-ad0d-4e97-af01-e8bd82d2da2f</vt:lpwstr>
  </property>
  <property fmtid="{D5CDD505-2E9C-101B-9397-08002B2CF9AE}" pid="4" name="TaxCatchAll">
    <vt:lpwstr>48;#Corporate Styles|6ca8a7b6-8147-4aea-b997-2abcc7049b27;#94;#Unclassified|0d6df6fb-ad0d-4e97-af01-e8bd82d2da2f;#327;#Templates|62f77d3c-636a-4492-b6ff-ab1349535b73;#292;#Other|2d2b80da-f0ee-486e-afd5-f2e908aaa014;#70;#DLGSC|f3fdcf4b-32be-462d-87a8-17c1ee8c10d7;#86;#Office of the Director General|6a281792-1cb0-4ff5-96bb-ab1314c10601</vt:lpwstr>
  </property>
  <property fmtid="{D5CDD505-2E9C-101B-9397-08002B2CF9AE}" pid="5" name="DLGC_DocumentType">
    <vt:lpwstr>327;#Templates|62f77d3c-636a-4492-b6ff-ab1349535b73</vt:lpwstr>
  </property>
  <property fmtid="{D5CDD505-2E9C-101B-9397-08002B2CF9AE}" pid="6" name="DLGC_ActioningArea">
    <vt:lpwstr>86;#Office of the Director General|6a281792-1cb0-4ff5-96bb-ab1314c10601</vt:lpwstr>
  </property>
  <property fmtid="{D5CDD505-2E9C-101B-9397-08002B2CF9AE}" pid="7" name="DLGsC_Department">
    <vt:lpwstr>70;#DLGSC|f3fdcf4b-32be-462d-87a8-17c1ee8c10d7</vt:lpwstr>
  </property>
  <property fmtid="{D5CDD505-2E9C-101B-9397-08002B2CF9AE}" pid="8" name="DLGC_Category">
    <vt:lpwstr>48;#Corporate Styles|6ca8a7b6-8147-4aea-b997-2abcc7049b27</vt:lpwstr>
  </property>
  <property fmtid="{D5CDD505-2E9C-101B-9397-08002B2CF9AE}" pid="9" name="dlgsc_DocumentSearchCategory">
    <vt:lpwstr>292;#Other|2d2b80da-f0ee-486e-afd5-f2e908aaa014</vt:lpwstr>
  </property>
  <property fmtid="{D5CDD505-2E9C-101B-9397-08002B2CF9AE}" pid="10" name="Publication Approval Workflow">
    <vt:lpwstr>, </vt:lpwstr>
  </property>
  <property fmtid="{D5CDD505-2E9C-101B-9397-08002B2CF9AE}" pid="11" name="MediaServiceImageTags">
    <vt:lpwstr/>
  </property>
</Properties>
</file>