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497BD" w14:textId="3A9E31D6" w:rsidR="00C13A96" w:rsidRPr="00134BF7" w:rsidRDefault="00A816FE" w:rsidP="00D93DD5">
      <w:pPr>
        <w:pStyle w:val="Title"/>
      </w:pPr>
      <w:r>
        <w:t xml:space="preserve">Non-financial </w:t>
      </w:r>
      <w:r w:rsidR="000F637A">
        <w:t>a</w:t>
      </w:r>
      <w:r>
        <w:t xml:space="preserve">ssets </w:t>
      </w:r>
      <w:r w:rsidR="003F383F">
        <w:t xml:space="preserve">valuation </w:t>
      </w:r>
      <w:r w:rsidR="000F637A">
        <w:t>g</w:t>
      </w:r>
      <w:r w:rsidR="003F383F">
        <w:t>uidelines</w:t>
      </w:r>
    </w:p>
    <w:p w14:paraId="447E1177" w14:textId="28D33DAC" w:rsidR="00C13A96" w:rsidRPr="008A7569" w:rsidRDefault="000F637A" w:rsidP="00D93DD5">
      <w:pPr>
        <w:pStyle w:val="Subheading"/>
      </w:pPr>
      <w:r w:rsidRPr="008A7569">
        <w:t xml:space="preserve">Local government </w:t>
      </w:r>
      <w:r w:rsidR="00015600">
        <w:t>context</w:t>
      </w:r>
    </w:p>
    <w:p w14:paraId="30609666" w14:textId="7725930B" w:rsidR="007C1D6B" w:rsidRPr="00A421C4" w:rsidRDefault="00B40359" w:rsidP="00D93DD5">
      <w:pPr>
        <w:pStyle w:val="Subheading"/>
        <w:rPr>
          <w:rFonts w:cs="Arial"/>
          <w:sz w:val="24"/>
          <w:szCs w:val="24"/>
        </w:rPr>
      </w:pPr>
      <w:r>
        <w:t>March 2026</w:t>
      </w:r>
    </w:p>
    <w:p w14:paraId="3370D9F9" w14:textId="77777777" w:rsidR="00C13A96" w:rsidRDefault="00C13A96" w:rsidP="00C13A96">
      <w:pPr>
        <w:rPr>
          <w:rFonts w:cs="Arial"/>
        </w:rPr>
      </w:pPr>
    </w:p>
    <w:p w14:paraId="0B66F3D6" w14:textId="77777777" w:rsidR="00C13A96" w:rsidRPr="00240EE5" w:rsidRDefault="00C13A96" w:rsidP="00C13A96">
      <w:pPr>
        <w:rPr>
          <w:rFonts w:cs="Arial"/>
        </w:rPr>
        <w:sectPr w:rsidR="00C13A96" w:rsidRPr="00240EE5" w:rsidSect="0035214B">
          <w:headerReference w:type="default" r:id="rId12"/>
          <w:headerReference w:type="first" r:id="rId13"/>
          <w:pgSz w:w="11900" w:h="16840" w:code="9"/>
          <w:pgMar w:top="3119" w:right="1134" w:bottom="1134" w:left="1134" w:header="0" w:footer="0" w:gutter="0"/>
          <w:pgNumType w:start="0"/>
          <w:cols w:space="709"/>
          <w:titlePg/>
          <w:docGrid w:linePitch="326"/>
        </w:sectPr>
      </w:pPr>
    </w:p>
    <w:p w14:paraId="4710E615" w14:textId="55EFA7A2" w:rsidR="00236E1F" w:rsidRDefault="006C1BB6" w:rsidP="00DC7CBA">
      <w:pPr>
        <w:pStyle w:val="Heading3"/>
      </w:pPr>
      <w:bookmarkStart w:id="0" w:name="_Toc223445047"/>
      <w:r>
        <w:lastRenderedPageBreak/>
        <w:t>Copyright</w:t>
      </w:r>
      <w:bookmarkEnd w:id="0"/>
    </w:p>
    <w:p w14:paraId="7802E698" w14:textId="371C1EBE" w:rsidR="00236E1F" w:rsidRPr="00236E1F" w:rsidRDefault="00236E1F" w:rsidP="00D70B5C">
      <w:pPr>
        <w:pStyle w:val="BodyText"/>
      </w:pPr>
      <w:r w:rsidRPr="00236E1F">
        <w:t xml:space="preserve">This document contains information, opinions, data and images (“the material”) prepared by the Department of Local Government, Industry Regulation and Safety (LGIRS). </w:t>
      </w:r>
    </w:p>
    <w:p w14:paraId="22555400" w14:textId="77777777" w:rsidR="00236E1F" w:rsidRPr="00236E1F" w:rsidRDefault="00236E1F" w:rsidP="00D70B5C">
      <w:pPr>
        <w:pStyle w:val="BodyText"/>
      </w:pPr>
      <w:r w:rsidRPr="00236E1F">
        <w:t xml:space="preserve">© Government of Western Australia (Department of Local Government, Industry Regulation and Safety) 2025 </w:t>
      </w:r>
    </w:p>
    <w:p w14:paraId="3E84445D" w14:textId="1A12BE99" w:rsidR="00236E1F" w:rsidRPr="00236E1F" w:rsidRDefault="006C1BB6" w:rsidP="00D70B5C">
      <w:pPr>
        <w:pStyle w:val="BodyText"/>
      </w:pPr>
      <w:r>
        <w:t>To</w:t>
      </w:r>
      <w:r w:rsidR="00236E1F" w:rsidRPr="00236E1F">
        <w:t xml:space="preserve"> use the material for any purpose, you must obtain permission from LGIRS and use the copyright notice “© Government of Western Australia (Department of Local Government, Industry Regulation and Safety) 2025” on all uses. </w:t>
      </w:r>
    </w:p>
    <w:p w14:paraId="733F7EBF" w14:textId="77777777" w:rsidR="00236E1F" w:rsidRPr="00236E1F" w:rsidRDefault="00236E1F" w:rsidP="00D70B5C">
      <w:pPr>
        <w:pStyle w:val="BodyText"/>
      </w:pPr>
      <w:r w:rsidRPr="00236E1F">
        <w:t>To request permission, please contact the Corporate Communications team at:</w:t>
      </w:r>
    </w:p>
    <w:p w14:paraId="65EE52DB" w14:textId="77777777" w:rsidR="00236E1F" w:rsidRPr="00236E1F" w:rsidRDefault="00236E1F" w:rsidP="00D70B5C">
      <w:pPr>
        <w:pStyle w:val="BodyText"/>
      </w:pPr>
      <w:r w:rsidRPr="00236E1F">
        <w:t xml:space="preserve">Department of Local Government, Industry Regulation and Safety. </w:t>
      </w:r>
    </w:p>
    <w:p w14:paraId="02ED83F0" w14:textId="77777777" w:rsidR="00236E1F" w:rsidRPr="00236E1F" w:rsidRDefault="00236E1F" w:rsidP="00D70B5C">
      <w:pPr>
        <w:pStyle w:val="BodyText"/>
      </w:pPr>
      <w:r w:rsidRPr="00236E1F">
        <w:t>Local Government</w:t>
      </w:r>
    </w:p>
    <w:p w14:paraId="6CEB42A3" w14:textId="77777777" w:rsidR="00236E1F" w:rsidRPr="00236E1F" w:rsidRDefault="00236E1F" w:rsidP="00D70B5C">
      <w:pPr>
        <w:pStyle w:val="BodyText"/>
      </w:pPr>
      <w:r w:rsidRPr="00236E1F">
        <w:t>Locked Bag 14</w:t>
      </w:r>
    </w:p>
    <w:p w14:paraId="186846C1" w14:textId="77777777" w:rsidR="00236E1F" w:rsidRPr="00236E1F" w:rsidRDefault="00236E1F" w:rsidP="00D70B5C">
      <w:pPr>
        <w:pStyle w:val="BodyText"/>
      </w:pPr>
      <w:r w:rsidRPr="00236E1F">
        <w:t xml:space="preserve">CLOISTERS SQUARE </w:t>
      </w:r>
    </w:p>
    <w:p w14:paraId="736F14EE" w14:textId="77777777" w:rsidR="00236E1F" w:rsidRPr="00236E1F" w:rsidRDefault="00236E1F" w:rsidP="00D70B5C">
      <w:pPr>
        <w:pStyle w:val="BodyText"/>
      </w:pPr>
      <w:r w:rsidRPr="00236E1F">
        <w:t>PERTH WA 6850</w:t>
      </w:r>
    </w:p>
    <w:p w14:paraId="0782DEDB" w14:textId="77777777" w:rsidR="00236E1F" w:rsidRPr="00236E1F" w:rsidRDefault="00236E1F" w:rsidP="00D70B5C">
      <w:pPr>
        <w:pStyle w:val="BodyText"/>
        <w:rPr>
          <w:lang w:val="en-AU"/>
        </w:rPr>
      </w:pPr>
      <w:r w:rsidRPr="00236E1F">
        <w:rPr>
          <w:lang w:val="en-AU"/>
        </w:rPr>
        <w:t xml:space="preserve">Email: </w:t>
      </w:r>
      <w:hyperlink r:id="rId14" w:tgtFrame="_blank" w:tooltip="mailto:communication@lgirs.wa.gov.au" w:history="1">
        <w:r w:rsidRPr="00236E1F">
          <w:rPr>
            <w:rStyle w:val="Hyperlink"/>
            <w:lang w:val="en-AU"/>
          </w:rPr>
          <w:t>communication@lgirs.wa.gov.au</w:t>
        </w:r>
      </w:hyperlink>
    </w:p>
    <w:p w14:paraId="42AC3CB8" w14:textId="77777777" w:rsidR="00236E1F" w:rsidRPr="00236E1F" w:rsidRDefault="00236E1F" w:rsidP="00D70B5C">
      <w:pPr>
        <w:pStyle w:val="BodyText"/>
        <w:rPr>
          <w:lang w:val="en-AU"/>
        </w:rPr>
      </w:pPr>
      <w:r w:rsidRPr="00236E1F">
        <w:rPr>
          <w:lang w:val="en-AU"/>
        </w:rPr>
        <w:t xml:space="preserve">Website: </w:t>
      </w:r>
      <w:hyperlink r:id="rId15" w:history="1">
        <w:r w:rsidRPr="00236E1F">
          <w:rPr>
            <w:rStyle w:val="Hyperlink"/>
            <w:lang w:val="en-AU"/>
          </w:rPr>
          <w:t>www.lgirs.wa.gov.au</w:t>
        </w:r>
      </w:hyperlink>
      <w:r w:rsidRPr="00236E1F">
        <w:rPr>
          <w:lang w:val="en-AU"/>
        </w:rPr>
        <w:t xml:space="preserve"> </w:t>
      </w:r>
    </w:p>
    <w:p w14:paraId="6D3DB99E" w14:textId="77777777" w:rsidR="00B12FBF" w:rsidRPr="00981EF3" w:rsidRDefault="00B12FBF" w:rsidP="00981EF3">
      <w:pPr>
        <w:spacing w:after="160" w:line="278" w:lineRule="auto"/>
        <w:rPr>
          <w:b/>
          <w:bCs/>
        </w:rPr>
      </w:pPr>
      <w:r w:rsidRPr="00981EF3">
        <w:rPr>
          <w:b/>
          <w:bCs/>
        </w:rPr>
        <w:t>Australian Accounting Standards Board copyright notice:</w:t>
      </w:r>
    </w:p>
    <w:p w14:paraId="7406C899" w14:textId="77777777" w:rsidR="00B12FBF" w:rsidRDefault="00B12FBF" w:rsidP="00B12FBF">
      <w:pPr>
        <w:pStyle w:val="BlockText"/>
      </w:pPr>
      <w:r>
        <w:t>© Commonwealth of Australia 2023</w:t>
      </w:r>
    </w:p>
    <w:p w14:paraId="434A8C7E" w14:textId="77777777" w:rsidR="00B12FBF" w:rsidRDefault="00B12FBF" w:rsidP="00B12FBF">
      <w:pPr>
        <w:pStyle w:val="BlockText"/>
      </w:pPr>
      <w:r w:rsidRPr="00D41449">
        <w:t>This compiled AASB Standard contains IFRS Foundation copyright material. Reproduction within Australia in unaltered form (retaining this notice) is permitted for personal and non-commercial use subject to the inclusion of an acknowledgment of the source. Requests and enquiries concerning reproduction and rights for commercial purposes within Australia should be addressed to The Managing Director, Australian Accounting Standards Board, PO Box 204, Collins Street West, Victoria 8007. All existing rights in this material are reserved outside Australia. Reproduction outside Australia in unaltered form (retaining this notice) is permitted for personal and non-commercial use only. Further information and requests for authorisation to reproduce IFRS Foundation copyright material for commercial purposes outside Australia should be addressed to the IFRS Foundation at www.ifrs.org.</w:t>
      </w:r>
    </w:p>
    <w:p w14:paraId="64A22B6B" w14:textId="77777777" w:rsidR="00236E1F" w:rsidRPr="00236E1F" w:rsidRDefault="00236E1F" w:rsidP="00D70B5C">
      <w:pPr>
        <w:pStyle w:val="BodyText"/>
      </w:pPr>
    </w:p>
    <w:p w14:paraId="5FC46AF0" w14:textId="77777777" w:rsidR="000C3595" w:rsidRPr="00195A9B" w:rsidRDefault="000C3595" w:rsidP="00DC7CBA">
      <w:pPr>
        <w:pStyle w:val="Heading3"/>
      </w:pPr>
      <w:bookmarkStart w:id="1" w:name="_Toc223445048"/>
      <w:r w:rsidRPr="00195A9B">
        <w:lastRenderedPageBreak/>
        <w:t>Disclaimer</w:t>
      </w:r>
      <w:bookmarkEnd w:id="1"/>
      <w:r w:rsidRPr="00195A9B">
        <w:t xml:space="preserve"> </w:t>
      </w:r>
    </w:p>
    <w:p w14:paraId="0D4759C6" w14:textId="69A44E45" w:rsidR="000C3595" w:rsidRPr="00D41449" w:rsidRDefault="000C3595" w:rsidP="00D70B5C">
      <w:pPr>
        <w:pStyle w:val="BodyText"/>
      </w:pPr>
      <w:r w:rsidRPr="00D41449">
        <w:t xml:space="preserve">While the information contained in this document has been </w:t>
      </w:r>
      <w:r w:rsidR="00251D11">
        <w:t>prepared</w:t>
      </w:r>
      <w:r w:rsidR="00251D11" w:rsidRPr="00D41449">
        <w:t xml:space="preserve"> </w:t>
      </w:r>
      <w:r w:rsidRPr="00D41449">
        <w:t xml:space="preserve">with all due care, LGIRS does not accept any liability to any person for the information (or the use of such information) which is provided in this document or incorporated into it by reference. </w:t>
      </w:r>
    </w:p>
    <w:p w14:paraId="054BB994" w14:textId="77777777" w:rsidR="000C3595" w:rsidRPr="00D41449" w:rsidRDefault="000C3595" w:rsidP="00D70B5C">
      <w:pPr>
        <w:pStyle w:val="BodyText"/>
      </w:pPr>
      <w:r w:rsidRPr="00D41449">
        <w:t xml:space="preserve">The information contained herein is provided on the basis that all persons accessing the document undertake responsibility for assessing the relevance and accuracy of its content. </w:t>
      </w:r>
    </w:p>
    <w:p w14:paraId="451B2288" w14:textId="77777777" w:rsidR="000C3595" w:rsidRPr="00D41449" w:rsidRDefault="000C3595" w:rsidP="00DC7CBA">
      <w:pPr>
        <w:pStyle w:val="Heading3"/>
      </w:pPr>
      <w:bookmarkStart w:id="2" w:name="_Toc223445049"/>
      <w:r w:rsidRPr="00B41F04">
        <w:t>About LGIRS</w:t>
      </w:r>
      <w:bookmarkEnd w:id="2"/>
      <w:r w:rsidRPr="00D41449">
        <w:t xml:space="preserve"> </w:t>
      </w:r>
    </w:p>
    <w:p w14:paraId="69DAD8E2" w14:textId="77777777" w:rsidR="00EC003B" w:rsidRDefault="00EB01BD" w:rsidP="00D70B5C">
      <w:pPr>
        <w:pStyle w:val="BodyText"/>
      </w:pPr>
      <w:r>
        <w:t>Following the WA State Election in March 2025, the WA Government announced targ</w:t>
      </w:r>
      <w:r w:rsidR="00BF0E11">
        <w:t xml:space="preserve">eted reforms involving nine departments which came into effect on 1 July 2025. The reform included reshaping the Department </w:t>
      </w:r>
      <w:r w:rsidR="00EA564C">
        <w:t xml:space="preserve">of Local Government, Sport and Cultural Industries (DLGSC). The local government and racing, gaming and liquor functions of DLGSC joined the industry regulation and safety functions (remit of the Department of Energy, Mines, Industry Regulation and Safety) to form </w:t>
      </w:r>
      <w:r w:rsidR="00EC003B">
        <w:t>LGIRS.</w:t>
      </w:r>
    </w:p>
    <w:p w14:paraId="3D0884FD" w14:textId="46E8BE57" w:rsidR="000C3595" w:rsidRPr="0038739C" w:rsidRDefault="000C3595" w:rsidP="00D70B5C">
      <w:pPr>
        <w:pStyle w:val="BodyText"/>
      </w:pPr>
      <w:r w:rsidRPr="0038739C">
        <w:t xml:space="preserve">LGIRS supports a safe, fair and resilient economy where Western Australian industries, workers, consumers and communities thrive. </w:t>
      </w:r>
    </w:p>
    <w:p w14:paraId="0AE29FA0" w14:textId="7A41AC5E" w:rsidR="000C3595" w:rsidRPr="00D3233C" w:rsidRDefault="000C3595" w:rsidP="000C3595">
      <w:pPr>
        <w:ind w:right="567"/>
        <w:rPr>
          <w:rStyle w:val="BodyTextChar"/>
        </w:rPr>
      </w:pPr>
      <w:r w:rsidRPr="00D3233C">
        <w:rPr>
          <w:rStyle w:val="BodyTextChar"/>
        </w:rPr>
        <w:t xml:space="preserve">LGIRS provides regulation and support to local governments to maintain quality and compliance with relevant legislation, for the benefit of all Western Australians. </w:t>
      </w:r>
    </w:p>
    <w:p w14:paraId="627D72C8" w14:textId="4CD43830" w:rsidR="007C7A3A" w:rsidRDefault="007C7A3A">
      <w:pPr>
        <w:spacing w:after="0" w:line="240" w:lineRule="auto"/>
      </w:pPr>
    </w:p>
    <w:p w14:paraId="5DED6643" w14:textId="77777777" w:rsidR="00435E9A" w:rsidRDefault="00435E9A" w:rsidP="00435E9A">
      <w:pPr>
        <w:pStyle w:val="Heading1"/>
        <w:rPr>
          <w:szCs w:val="42"/>
        </w:rPr>
      </w:pPr>
      <w:bookmarkStart w:id="3" w:name="_Toc223445050"/>
      <w:r w:rsidRPr="0038739C">
        <w:rPr>
          <w:szCs w:val="42"/>
        </w:rPr>
        <w:t>Abbreviations</w:t>
      </w:r>
      <w:bookmarkEnd w:id="3"/>
    </w:p>
    <w:tbl>
      <w:tblPr>
        <w:tblStyle w:val="TableGrid"/>
        <w:tblW w:w="0" w:type="auto"/>
        <w:tblLook w:val="04A0" w:firstRow="1" w:lastRow="0" w:firstColumn="1" w:lastColumn="0" w:noHBand="0" w:noVBand="1"/>
      </w:tblPr>
      <w:tblGrid>
        <w:gridCol w:w="4811"/>
        <w:gridCol w:w="4811"/>
      </w:tblGrid>
      <w:tr w:rsidR="00435E9A" w:rsidRPr="004A2130" w14:paraId="68949899" w14:textId="77777777" w:rsidTr="00D23F09">
        <w:trPr>
          <w:tblHeader/>
        </w:trPr>
        <w:tc>
          <w:tcPr>
            <w:tcW w:w="4811" w:type="dxa"/>
            <w:shd w:val="clear" w:color="auto" w:fill="F2F2F2" w:themeFill="background1" w:themeFillShade="F2"/>
          </w:tcPr>
          <w:p w14:paraId="77791099" w14:textId="77777777" w:rsidR="00435E9A" w:rsidRPr="00D103ED" w:rsidRDefault="00435E9A">
            <w:pPr>
              <w:pStyle w:val="TableContent"/>
              <w:rPr>
                <w:b/>
                <w:bCs/>
                <w:sz w:val="24"/>
              </w:rPr>
            </w:pPr>
            <w:r w:rsidRPr="00D103ED">
              <w:rPr>
                <w:b/>
                <w:bCs/>
                <w:sz w:val="24"/>
              </w:rPr>
              <w:t>Reference</w:t>
            </w:r>
          </w:p>
        </w:tc>
        <w:tc>
          <w:tcPr>
            <w:tcW w:w="4811" w:type="dxa"/>
            <w:shd w:val="clear" w:color="auto" w:fill="F2F2F2" w:themeFill="background1" w:themeFillShade="F2"/>
          </w:tcPr>
          <w:p w14:paraId="7A7EABE0" w14:textId="77777777" w:rsidR="00435E9A" w:rsidRPr="00D103ED" w:rsidRDefault="00435E9A">
            <w:pPr>
              <w:pStyle w:val="TableContent"/>
              <w:rPr>
                <w:b/>
                <w:bCs/>
                <w:sz w:val="24"/>
              </w:rPr>
            </w:pPr>
            <w:r w:rsidRPr="00D103ED">
              <w:rPr>
                <w:b/>
                <w:bCs/>
                <w:sz w:val="24"/>
              </w:rPr>
              <w:t>Abbreviation</w:t>
            </w:r>
          </w:p>
        </w:tc>
      </w:tr>
      <w:tr w:rsidR="00435E9A" w14:paraId="53E6777F" w14:textId="77777777">
        <w:tc>
          <w:tcPr>
            <w:tcW w:w="4811" w:type="dxa"/>
          </w:tcPr>
          <w:p w14:paraId="27AF18E6" w14:textId="77777777" w:rsidR="00435E9A" w:rsidRPr="00B52617" w:rsidRDefault="00435E9A">
            <w:pPr>
              <w:pStyle w:val="TableContent"/>
              <w:rPr>
                <w:i/>
                <w:iCs/>
                <w:sz w:val="24"/>
              </w:rPr>
            </w:pPr>
            <w:r w:rsidRPr="00B52617">
              <w:rPr>
                <w:i/>
                <w:iCs/>
                <w:sz w:val="24"/>
              </w:rPr>
              <w:t>Local Government Act 1995 (WA)</w:t>
            </w:r>
          </w:p>
        </w:tc>
        <w:tc>
          <w:tcPr>
            <w:tcW w:w="4811" w:type="dxa"/>
          </w:tcPr>
          <w:p w14:paraId="035AF7F0" w14:textId="77777777" w:rsidR="00435E9A" w:rsidRPr="00D869DF" w:rsidRDefault="00435E9A">
            <w:pPr>
              <w:pStyle w:val="TableContent"/>
              <w:rPr>
                <w:sz w:val="24"/>
              </w:rPr>
            </w:pPr>
            <w:r w:rsidRPr="00D869DF">
              <w:rPr>
                <w:sz w:val="24"/>
              </w:rPr>
              <w:t>LG Act</w:t>
            </w:r>
          </w:p>
        </w:tc>
      </w:tr>
      <w:tr w:rsidR="00435E9A" w14:paraId="4D2A982E" w14:textId="77777777">
        <w:tc>
          <w:tcPr>
            <w:tcW w:w="4811" w:type="dxa"/>
          </w:tcPr>
          <w:p w14:paraId="4B831DA6" w14:textId="77777777" w:rsidR="00435E9A" w:rsidRPr="00D869DF" w:rsidRDefault="00435E9A">
            <w:pPr>
              <w:pStyle w:val="TableContent"/>
              <w:rPr>
                <w:sz w:val="24"/>
              </w:rPr>
            </w:pPr>
            <w:r w:rsidRPr="00D869DF">
              <w:rPr>
                <w:sz w:val="24"/>
              </w:rPr>
              <w:t>Local Government (Financial Management) Regulations 1996 (WA)</w:t>
            </w:r>
          </w:p>
        </w:tc>
        <w:tc>
          <w:tcPr>
            <w:tcW w:w="4811" w:type="dxa"/>
          </w:tcPr>
          <w:p w14:paraId="00155355" w14:textId="77777777" w:rsidR="00435E9A" w:rsidRPr="00D869DF" w:rsidRDefault="00435E9A">
            <w:pPr>
              <w:pStyle w:val="TableContent"/>
              <w:rPr>
                <w:sz w:val="24"/>
              </w:rPr>
            </w:pPr>
            <w:r w:rsidRPr="00D869DF">
              <w:rPr>
                <w:sz w:val="24"/>
              </w:rPr>
              <w:t>LG (FM) Regs</w:t>
            </w:r>
          </w:p>
        </w:tc>
      </w:tr>
      <w:tr w:rsidR="00435E9A" w14:paraId="12DDC5E5" w14:textId="77777777">
        <w:tc>
          <w:tcPr>
            <w:tcW w:w="4811" w:type="dxa"/>
          </w:tcPr>
          <w:p w14:paraId="761CEE4E" w14:textId="77777777" w:rsidR="00435E9A" w:rsidRPr="00D869DF" w:rsidRDefault="00435E9A">
            <w:pPr>
              <w:pStyle w:val="TableContent"/>
              <w:rPr>
                <w:sz w:val="24"/>
              </w:rPr>
            </w:pPr>
            <w:r w:rsidRPr="00D869DF">
              <w:rPr>
                <w:sz w:val="24"/>
              </w:rPr>
              <w:t>Australian Accounting Standards</w:t>
            </w:r>
          </w:p>
        </w:tc>
        <w:tc>
          <w:tcPr>
            <w:tcW w:w="4811" w:type="dxa"/>
          </w:tcPr>
          <w:p w14:paraId="4EEF2CC2" w14:textId="77777777" w:rsidR="00435E9A" w:rsidRPr="00D869DF" w:rsidRDefault="00435E9A">
            <w:pPr>
              <w:pStyle w:val="TableContent"/>
              <w:rPr>
                <w:sz w:val="24"/>
              </w:rPr>
            </w:pPr>
            <w:r w:rsidRPr="00D869DF">
              <w:rPr>
                <w:sz w:val="24"/>
              </w:rPr>
              <w:t>AAS</w:t>
            </w:r>
          </w:p>
          <w:p w14:paraId="4894E338" w14:textId="047C6920" w:rsidR="00435E9A" w:rsidRPr="00D869DF" w:rsidRDefault="00435E9A">
            <w:pPr>
              <w:pStyle w:val="TableContent"/>
              <w:rPr>
                <w:sz w:val="24"/>
              </w:rPr>
            </w:pPr>
            <w:r w:rsidRPr="00D869DF">
              <w:rPr>
                <w:sz w:val="24"/>
              </w:rPr>
              <w:t>Any bold citations from AAS are referenced as disclosed in those documents.</w:t>
            </w:r>
          </w:p>
        </w:tc>
      </w:tr>
      <w:tr w:rsidR="00435E9A" w14:paraId="53455ABC" w14:textId="77777777">
        <w:tc>
          <w:tcPr>
            <w:tcW w:w="4811" w:type="dxa"/>
          </w:tcPr>
          <w:p w14:paraId="60FDA0E8" w14:textId="77777777" w:rsidR="00435E9A" w:rsidRPr="00D869DF" w:rsidRDefault="00435E9A">
            <w:pPr>
              <w:pStyle w:val="TableContent"/>
              <w:rPr>
                <w:sz w:val="24"/>
              </w:rPr>
            </w:pPr>
            <w:r w:rsidRPr="00D869DF">
              <w:rPr>
                <w:sz w:val="24"/>
              </w:rPr>
              <w:t>Australian Accounting Standards Board</w:t>
            </w:r>
          </w:p>
        </w:tc>
        <w:tc>
          <w:tcPr>
            <w:tcW w:w="4811" w:type="dxa"/>
          </w:tcPr>
          <w:p w14:paraId="7D12BF64" w14:textId="77777777" w:rsidR="00435E9A" w:rsidRPr="00D869DF" w:rsidRDefault="00435E9A">
            <w:pPr>
              <w:pStyle w:val="TableContent"/>
              <w:rPr>
                <w:sz w:val="24"/>
              </w:rPr>
            </w:pPr>
            <w:r w:rsidRPr="00D869DF">
              <w:rPr>
                <w:sz w:val="24"/>
              </w:rPr>
              <w:t>AASB</w:t>
            </w:r>
          </w:p>
        </w:tc>
      </w:tr>
      <w:tr w:rsidR="00435E9A" w14:paraId="6174B62B" w14:textId="77777777">
        <w:tc>
          <w:tcPr>
            <w:tcW w:w="4811" w:type="dxa"/>
          </w:tcPr>
          <w:p w14:paraId="26B6BE6F" w14:textId="77777777" w:rsidR="00435E9A" w:rsidRPr="00D869DF" w:rsidRDefault="00435E9A">
            <w:pPr>
              <w:pStyle w:val="TableContent"/>
              <w:rPr>
                <w:sz w:val="24"/>
              </w:rPr>
            </w:pPr>
            <w:r w:rsidRPr="00D869DF">
              <w:rPr>
                <w:sz w:val="24"/>
              </w:rPr>
              <w:t>Western Australia Local Government Association</w:t>
            </w:r>
          </w:p>
        </w:tc>
        <w:tc>
          <w:tcPr>
            <w:tcW w:w="4811" w:type="dxa"/>
          </w:tcPr>
          <w:p w14:paraId="4BB45D86" w14:textId="77777777" w:rsidR="00435E9A" w:rsidRPr="00D869DF" w:rsidRDefault="00435E9A">
            <w:pPr>
              <w:pStyle w:val="TableContent"/>
              <w:rPr>
                <w:sz w:val="24"/>
              </w:rPr>
            </w:pPr>
            <w:r w:rsidRPr="00D869DF">
              <w:rPr>
                <w:sz w:val="24"/>
              </w:rPr>
              <w:t>WALGA</w:t>
            </w:r>
          </w:p>
        </w:tc>
      </w:tr>
      <w:tr w:rsidR="00435E9A" w14:paraId="3016158D" w14:textId="77777777">
        <w:tc>
          <w:tcPr>
            <w:tcW w:w="4811" w:type="dxa"/>
          </w:tcPr>
          <w:p w14:paraId="557D7D51" w14:textId="7028663B" w:rsidR="00435E9A" w:rsidRPr="00D869DF" w:rsidRDefault="00435E9A">
            <w:pPr>
              <w:pStyle w:val="TableContent"/>
              <w:rPr>
                <w:sz w:val="24"/>
              </w:rPr>
            </w:pPr>
            <w:r w:rsidRPr="00D869DF">
              <w:rPr>
                <w:sz w:val="24"/>
              </w:rPr>
              <w:t>Local Government Professionals</w:t>
            </w:r>
            <w:r w:rsidR="00EB2EE3">
              <w:rPr>
                <w:sz w:val="24"/>
              </w:rPr>
              <w:t xml:space="preserve"> WA</w:t>
            </w:r>
          </w:p>
        </w:tc>
        <w:tc>
          <w:tcPr>
            <w:tcW w:w="4811" w:type="dxa"/>
          </w:tcPr>
          <w:p w14:paraId="4A3D6344" w14:textId="77777777" w:rsidR="00435E9A" w:rsidRPr="00D869DF" w:rsidRDefault="00435E9A">
            <w:pPr>
              <w:pStyle w:val="TableContent"/>
              <w:rPr>
                <w:sz w:val="24"/>
              </w:rPr>
            </w:pPr>
            <w:r w:rsidRPr="00D869DF">
              <w:rPr>
                <w:sz w:val="24"/>
              </w:rPr>
              <w:t>LG Pro</w:t>
            </w:r>
          </w:p>
        </w:tc>
      </w:tr>
      <w:tr w:rsidR="00435E9A" w14:paraId="31F88174" w14:textId="77777777">
        <w:tc>
          <w:tcPr>
            <w:tcW w:w="4811" w:type="dxa"/>
          </w:tcPr>
          <w:p w14:paraId="5A4580A3" w14:textId="77777777" w:rsidR="00435E9A" w:rsidRPr="00D869DF" w:rsidRDefault="00435E9A">
            <w:pPr>
              <w:pStyle w:val="TableContent"/>
              <w:rPr>
                <w:sz w:val="24"/>
              </w:rPr>
            </w:pPr>
            <w:r w:rsidRPr="00D869DF">
              <w:rPr>
                <w:sz w:val="24"/>
              </w:rPr>
              <w:t>Office of the Auditor General (WA)</w:t>
            </w:r>
          </w:p>
        </w:tc>
        <w:tc>
          <w:tcPr>
            <w:tcW w:w="4811" w:type="dxa"/>
          </w:tcPr>
          <w:p w14:paraId="3764D2D2" w14:textId="77777777" w:rsidR="00435E9A" w:rsidRPr="00D869DF" w:rsidRDefault="00435E9A">
            <w:pPr>
              <w:pStyle w:val="TableContent"/>
              <w:rPr>
                <w:sz w:val="24"/>
              </w:rPr>
            </w:pPr>
            <w:r w:rsidRPr="00D869DF">
              <w:rPr>
                <w:sz w:val="24"/>
              </w:rPr>
              <w:t>OAG</w:t>
            </w:r>
          </w:p>
        </w:tc>
      </w:tr>
      <w:tr w:rsidR="00435E9A" w14:paraId="2F158810" w14:textId="77777777">
        <w:tc>
          <w:tcPr>
            <w:tcW w:w="4811" w:type="dxa"/>
          </w:tcPr>
          <w:p w14:paraId="258B1DB4" w14:textId="77777777" w:rsidR="00435E9A" w:rsidRPr="00D869DF" w:rsidRDefault="00435E9A">
            <w:pPr>
              <w:pStyle w:val="TableContent"/>
              <w:rPr>
                <w:sz w:val="24"/>
              </w:rPr>
            </w:pPr>
            <w:r w:rsidRPr="00D869DF">
              <w:rPr>
                <w:sz w:val="24"/>
              </w:rPr>
              <w:t>Department of Local Government, Industry Regulation and Safety</w:t>
            </w:r>
          </w:p>
        </w:tc>
        <w:tc>
          <w:tcPr>
            <w:tcW w:w="4811" w:type="dxa"/>
          </w:tcPr>
          <w:p w14:paraId="64FF3EB5" w14:textId="77777777" w:rsidR="00435E9A" w:rsidRPr="00D869DF" w:rsidRDefault="00435E9A">
            <w:pPr>
              <w:pStyle w:val="TableContent"/>
              <w:rPr>
                <w:sz w:val="24"/>
              </w:rPr>
            </w:pPr>
            <w:r w:rsidRPr="00D869DF">
              <w:rPr>
                <w:sz w:val="24"/>
              </w:rPr>
              <w:t>LGIRS</w:t>
            </w:r>
          </w:p>
        </w:tc>
      </w:tr>
      <w:tr w:rsidR="00435E9A" w14:paraId="4C3EE07B" w14:textId="77777777">
        <w:tc>
          <w:tcPr>
            <w:tcW w:w="4811" w:type="dxa"/>
          </w:tcPr>
          <w:p w14:paraId="68118D46" w14:textId="77777777" w:rsidR="00435E9A" w:rsidRPr="00D869DF" w:rsidRDefault="00435E9A">
            <w:pPr>
              <w:pStyle w:val="TableContent"/>
              <w:rPr>
                <w:sz w:val="24"/>
              </w:rPr>
            </w:pPr>
            <w:r w:rsidRPr="00D869DF">
              <w:rPr>
                <w:sz w:val="24"/>
              </w:rPr>
              <w:lastRenderedPageBreak/>
              <w:t>Western Australia Treasury Corporation</w:t>
            </w:r>
          </w:p>
        </w:tc>
        <w:tc>
          <w:tcPr>
            <w:tcW w:w="4811" w:type="dxa"/>
          </w:tcPr>
          <w:p w14:paraId="0465B0DE" w14:textId="77777777" w:rsidR="00435E9A" w:rsidRPr="00D869DF" w:rsidRDefault="00435E9A">
            <w:pPr>
              <w:pStyle w:val="TableContent"/>
              <w:rPr>
                <w:sz w:val="24"/>
              </w:rPr>
            </w:pPr>
            <w:r w:rsidRPr="00D869DF">
              <w:rPr>
                <w:sz w:val="24"/>
              </w:rPr>
              <w:t>WATC</w:t>
            </w:r>
          </w:p>
        </w:tc>
      </w:tr>
      <w:tr w:rsidR="00435E9A" w14:paraId="7AB8CF8A" w14:textId="77777777">
        <w:tc>
          <w:tcPr>
            <w:tcW w:w="4811" w:type="dxa"/>
          </w:tcPr>
          <w:p w14:paraId="2336B27D" w14:textId="77777777" w:rsidR="00435E9A" w:rsidRPr="00D869DF" w:rsidRDefault="00435E9A">
            <w:pPr>
              <w:pStyle w:val="TableContent"/>
              <w:rPr>
                <w:sz w:val="24"/>
              </w:rPr>
            </w:pPr>
            <w:r w:rsidRPr="00D869DF">
              <w:rPr>
                <w:sz w:val="24"/>
              </w:rPr>
              <w:t>Public Sector Community Use</w:t>
            </w:r>
          </w:p>
        </w:tc>
        <w:tc>
          <w:tcPr>
            <w:tcW w:w="4811" w:type="dxa"/>
          </w:tcPr>
          <w:p w14:paraId="046A3D28" w14:textId="77777777" w:rsidR="00435E9A" w:rsidRPr="00D869DF" w:rsidRDefault="00435E9A">
            <w:pPr>
              <w:pStyle w:val="TableContent"/>
              <w:rPr>
                <w:sz w:val="24"/>
              </w:rPr>
            </w:pPr>
            <w:r w:rsidRPr="00D869DF">
              <w:rPr>
                <w:sz w:val="24"/>
              </w:rPr>
              <w:t>PSCU</w:t>
            </w:r>
          </w:p>
        </w:tc>
      </w:tr>
      <w:tr w:rsidR="00435E9A" w14:paraId="48F0037D" w14:textId="77777777">
        <w:tc>
          <w:tcPr>
            <w:tcW w:w="4811" w:type="dxa"/>
          </w:tcPr>
          <w:p w14:paraId="1EFEE130" w14:textId="1883AB94" w:rsidR="00435E9A" w:rsidRPr="00D869DF" w:rsidRDefault="00435E9A">
            <w:pPr>
              <w:pStyle w:val="TableContent"/>
              <w:rPr>
                <w:sz w:val="24"/>
              </w:rPr>
            </w:pPr>
            <w:r w:rsidRPr="00D869DF">
              <w:rPr>
                <w:sz w:val="24"/>
              </w:rPr>
              <w:t>LG (FM)</w:t>
            </w:r>
            <w:r w:rsidR="00692039">
              <w:rPr>
                <w:sz w:val="24"/>
              </w:rPr>
              <w:t xml:space="preserve"> </w:t>
            </w:r>
            <w:r w:rsidRPr="00D869DF">
              <w:rPr>
                <w:sz w:val="24"/>
              </w:rPr>
              <w:t>Regs, regulation17A(2)(a) Assets</w:t>
            </w:r>
          </w:p>
        </w:tc>
        <w:tc>
          <w:tcPr>
            <w:tcW w:w="4811" w:type="dxa"/>
          </w:tcPr>
          <w:p w14:paraId="3311B240" w14:textId="77777777" w:rsidR="00435E9A" w:rsidRPr="00D869DF" w:rsidRDefault="00435E9A">
            <w:pPr>
              <w:pStyle w:val="TableContent"/>
              <w:rPr>
                <w:sz w:val="24"/>
              </w:rPr>
            </w:pPr>
            <w:r w:rsidRPr="00D869DF">
              <w:rPr>
                <w:sz w:val="24"/>
              </w:rPr>
              <w:t>17A(2)(a) Assets</w:t>
            </w:r>
          </w:p>
        </w:tc>
      </w:tr>
      <w:tr w:rsidR="00594877" w14:paraId="48A8992C" w14:textId="77777777">
        <w:tc>
          <w:tcPr>
            <w:tcW w:w="4811" w:type="dxa"/>
          </w:tcPr>
          <w:p w14:paraId="7F8F3DF5" w14:textId="577714F0" w:rsidR="00594877" w:rsidRPr="00B773D3" w:rsidRDefault="00594877">
            <w:pPr>
              <w:pStyle w:val="TableContent"/>
              <w:rPr>
                <w:sz w:val="24"/>
              </w:rPr>
            </w:pPr>
            <w:r w:rsidRPr="00B773D3">
              <w:rPr>
                <w:sz w:val="24"/>
              </w:rPr>
              <w:t>Non-financial assets valuation guidelines</w:t>
            </w:r>
          </w:p>
        </w:tc>
        <w:tc>
          <w:tcPr>
            <w:tcW w:w="4811" w:type="dxa"/>
          </w:tcPr>
          <w:p w14:paraId="3548E5E7" w14:textId="24A00013" w:rsidR="00594877" w:rsidRPr="00B773D3" w:rsidRDefault="00594877">
            <w:pPr>
              <w:pStyle w:val="TableContent"/>
              <w:rPr>
                <w:sz w:val="24"/>
              </w:rPr>
            </w:pPr>
            <w:r w:rsidRPr="007A27AF">
              <w:rPr>
                <w:sz w:val="24"/>
              </w:rPr>
              <w:t>Guidelines</w:t>
            </w:r>
          </w:p>
        </w:tc>
      </w:tr>
      <w:tr w:rsidR="00B12DDD" w14:paraId="6F898C0A" w14:textId="77777777">
        <w:tc>
          <w:tcPr>
            <w:tcW w:w="4811" w:type="dxa"/>
          </w:tcPr>
          <w:p w14:paraId="78EF5FB3" w14:textId="36AB99FD" w:rsidR="00B12DDD" w:rsidRPr="00B773D3" w:rsidRDefault="00B12DDD">
            <w:pPr>
              <w:pStyle w:val="TableContent"/>
              <w:rPr>
                <w:sz w:val="24"/>
              </w:rPr>
            </w:pPr>
            <w:r w:rsidRPr="00B773D3">
              <w:rPr>
                <w:sz w:val="24"/>
              </w:rPr>
              <w:t>Western Australia</w:t>
            </w:r>
          </w:p>
        </w:tc>
        <w:tc>
          <w:tcPr>
            <w:tcW w:w="4811" w:type="dxa"/>
          </w:tcPr>
          <w:p w14:paraId="12375376" w14:textId="4530A4D7" w:rsidR="00B12DDD" w:rsidRPr="00F419D4" w:rsidRDefault="00B12DDD">
            <w:pPr>
              <w:pStyle w:val="TableContent"/>
              <w:rPr>
                <w:sz w:val="24"/>
              </w:rPr>
            </w:pPr>
            <w:r w:rsidRPr="00EB2EE3">
              <w:rPr>
                <w:sz w:val="24"/>
                <w:szCs w:val="32"/>
              </w:rPr>
              <w:t>WA</w:t>
            </w:r>
          </w:p>
        </w:tc>
      </w:tr>
    </w:tbl>
    <w:p w14:paraId="2C939FE5" w14:textId="77777777" w:rsidR="00594877" w:rsidRDefault="00594877">
      <w:pPr>
        <w:spacing w:after="0" w:line="240" w:lineRule="auto"/>
      </w:pPr>
      <w:r>
        <w:br w:type="page"/>
      </w:r>
    </w:p>
    <w:p w14:paraId="07A50C12" w14:textId="2EB83229" w:rsidR="00C13A96" w:rsidRPr="00240EE5" w:rsidRDefault="00C13A96" w:rsidP="0035214B">
      <w:pPr>
        <w:pStyle w:val="TOCHeading"/>
      </w:pPr>
      <w:r w:rsidRPr="00240EE5">
        <w:lastRenderedPageBreak/>
        <w:t>Table of contents</w:t>
      </w:r>
    </w:p>
    <w:p w14:paraId="198D8622" w14:textId="5D8738B6" w:rsidR="00B40359" w:rsidRDefault="00C13A96">
      <w:pPr>
        <w:pStyle w:val="TOC3"/>
        <w:rPr>
          <w:rFonts w:asciiTheme="minorHAnsi" w:hAnsiTheme="minorHAnsi"/>
          <w:color w:val="auto"/>
          <w:kern w:val="2"/>
          <w:szCs w:val="24"/>
          <w14:ligatures w14:val="standardContextual"/>
        </w:rPr>
      </w:pPr>
      <w:r w:rsidRPr="00240EE5">
        <w:rPr>
          <w:rFonts w:cs="Arial"/>
          <w:b/>
          <w:caps/>
          <w:sz w:val="28"/>
        </w:rPr>
        <w:fldChar w:fldCharType="begin"/>
      </w:r>
      <w:r w:rsidRPr="00240EE5">
        <w:rPr>
          <w:rFonts w:cs="Arial"/>
          <w:caps/>
        </w:rPr>
        <w:instrText xml:space="preserve"> TOC \o "3-3" \h \z \t "Heading 1,1,Heading 2,2" </w:instrText>
      </w:r>
      <w:r w:rsidRPr="00240EE5">
        <w:rPr>
          <w:rFonts w:cs="Arial"/>
          <w:b/>
          <w:caps/>
          <w:sz w:val="28"/>
        </w:rPr>
        <w:fldChar w:fldCharType="separate"/>
      </w:r>
      <w:hyperlink w:anchor="_Toc223445047" w:history="1">
        <w:r w:rsidR="00B40359" w:rsidRPr="00240CB4">
          <w:rPr>
            <w:rStyle w:val="Hyperlink"/>
          </w:rPr>
          <w:t>Copyright</w:t>
        </w:r>
        <w:r w:rsidR="00B40359">
          <w:rPr>
            <w:webHidden/>
          </w:rPr>
          <w:tab/>
        </w:r>
        <w:r w:rsidR="00B40359">
          <w:rPr>
            <w:webHidden/>
          </w:rPr>
          <w:fldChar w:fldCharType="begin"/>
        </w:r>
        <w:r w:rsidR="00B40359">
          <w:rPr>
            <w:webHidden/>
          </w:rPr>
          <w:instrText xml:space="preserve"> PAGEREF _Toc223445047 \h </w:instrText>
        </w:r>
        <w:r w:rsidR="00B40359">
          <w:rPr>
            <w:webHidden/>
          </w:rPr>
        </w:r>
        <w:r w:rsidR="00B40359">
          <w:rPr>
            <w:webHidden/>
          </w:rPr>
          <w:fldChar w:fldCharType="separate"/>
        </w:r>
        <w:r w:rsidR="00B40359">
          <w:rPr>
            <w:webHidden/>
          </w:rPr>
          <w:t>i</w:t>
        </w:r>
        <w:r w:rsidR="00B40359">
          <w:rPr>
            <w:webHidden/>
          </w:rPr>
          <w:fldChar w:fldCharType="end"/>
        </w:r>
      </w:hyperlink>
    </w:p>
    <w:p w14:paraId="655F77BA" w14:textId="78496A87" w:rsidR="00B40359" w:rsidRDefault="00B40359">
      <w:pPr>
        <w:pStyle w:val="TOC3"/>
        <w:rPr>
          <w:rFonts w:asciiTheme="minorHAnsi" w:hAnsiTheme="minorHAnsi"/>
          <w:color w:val="auto"/>
          <w:kern w:val="2"/>
          <w:szCs w:val="24"/>
          <w14:ligatures w14:val="standardContextual"/>
        </w:rPr>
      </w:pPr>
      <w:hyperlink w:anchor="_Toc223445048" w:history="1">
        <w:r w:rsidRPr="00240CB4">
          <w:rPr>
            <w:rStyle w:val="Hyperlink"/>
          </w:rPr>
          <w:t>Disclaimer</w:t>
        </w:r>
        <w:r>
          <w:rPr>
            <w:webHidden/>
          </w:rPr>
          <w:tab/>
        </w:r>
        <w:r>
          <w:rPr>
            <w:webHidden/>
          </w:rPr>
          <w:fldChar w:fldCharType="begin"/>
        </w:r>
        <w:r>
          <w:rPr>
            <w:webHidden/>
          </w:rPr>
          <w:instrText xml:space="preserve"> PAGEREF _Toc223445048 \h </w:instrText>
        </w:r>
        <w:r>
          <w:rPr>
            <w:webHidden/>
          </w:rPr>
        </w:r>
        <w:r>
          <w:rPr>
            <w:webHidden/>
          </w:rPr>
          <w:fldChar w:fldCharType="separate"/>
        </w:r>
        <w:r>
          <w:rPr>
            <w:webHidden/>
          </w:rPr>
          <w:t>ii</w:t>
        </w:r>
        <w:r>
          <w:rPr>
            <w:webHidden/>
          </w:rPr>
          <w:fldChar w:fldCharType="end"/>
        </w:r>
      </w:hyperlink>
    </w:p>
    <w:p w14:paraId="1A810F50" w14:textId="1DFC60A4" w:rsidR="00B40359" w:rsidRDefault="00B40359">
      <w:pPr>
        <w:pStyle w:val="TOC3"/>
        <w:rPr>
          <w:rFonts w:asciiTheme="minorHAnsi" w:hAnsiTheme="minorHAnsi"/>
          <w:color w:val="auto"/>
          <w:kern w:val="2"/>
          <w:szCs w:val="24"/>
          <w14:ligatures w14:val="standardContextual"/>
        </w:rPr>
      </w:pPr>
      <w:hyperlink w:anchor="_Toc223445049" w:history="1">
        <w:r w:rsidRPr="00240CB4">
          <w:rPr>
            <w:rStyle w:val="Hyperlink"/>
          </w:rPr>
          <w:t>About LGIRS</w:t>
        </w:r>
        <w:r>
          <w:rPr>
            <w:webHidden/>
          </w:rPr>
          <w:tab/>
        </w:r>
        <w:r>
          <w:rPr>
            <w:webHidden/>
          </w:rPr>
          <w:fldChar w:fldCharType="begin"/>
        </w:r>
        <w:r>
          <w:rPr>
            <w:webHidden/>
          </w:rPr>
          <w:instrText xml:space="preserve"> PAGEREF _Toc223445049 \h </w:instrText>
        </w:r>
        <w:r>
          <w:rPr>
            <w:webHidden/>
          </w:rPr>
        </w:r>
        <w:r>
          <w:rPr>
            <w:webHidden/>
          </w:rPr>
          <w:fldChar w:fldCharType="separate"/>
        </w:r>
        <w:r>
          <w:rPr>
            <w:webHidden/>
          </w:rPr>
          <w:t>ii</w:t>
        </w:r>
        <w:r>
          <w:rPr>
            <w:webHidden/>
          </w:rPr>
          <w:fldChar w:fldCharType="end"/>
        </w:r>
      </w:hyperlink>
    </w:p>
    <w:p w14:paraId="64352363" w14:textId="010814C9" w:rsidR="00B40359" w:rsidRDefault="00B40359">
      <w:pPr>
        <w:pStyle w:val="TOC1"/>
        <w:rPr>
          <w:rFonts w:asciiTheme="minorHAnsi" w:eastAsiaTheme="minorEastAsia" w:hAnsiTheme="minorHAnsi" w:cstheme="minorBidi"/>
          <w:b w:val="0"/>
          <w:noProof/>
          <w:color w:val="auto"/>
          <w:kern w:val="2"/>
          <w:sz w:val="24"/>
          <w:lang w:eastAsia="en-AU"/>
          <w14:ligatures w14:val="standardContextual"/>
        </w:rPr>
      </w:pPr>
      <w:hyperlink w:anchor="_Toc223445050" w:history="1">
        <w:r w:rsidRPr="00240CB4">
          <w:rPr>
            <w:rStyle w:val="Hyperlink"/>
            <w:noProof/>
          </w:rPr>
          <w:t>Abbreviations</w:t>
        </w:r>
        <w:r>
          <w:rPr>
            <w:noProof/>
            <w:webHidden/>
          </w:rPr>
          <w:tab/>
        </w:r>
        <w:r>
          <w:rPr>
            <w:noProof/>
            <w:webHidden/>
          </w:rPr>
          <w:fldChar w:fldCharType="begin"/>
        </w:r>
        <w:r>
          <w:rPr>
            <w:noProof/>
            <w:webHidden/>
          </w:rPr>
          <w:instrText xml:space="preserve"> PAGEREF _Toc223445050 \h </w:instrText>
        </w:r>
        <w:r>
          <w:rPr>
            <w:noProof/>
            <w:webHidden/>
          </w:rPr>
        </w:r>
        <w:r>
          <w:rPr>
            <w:noProof/>
            <w:webHidden/>
          </w:rPr>
          <w:fldChar w:fldCharType="separate"/>
        </w:r>
        <w:r>
          <w:rPr>
            <w:noProof/>
            <w:webHidden/>
          </w:rPr>
          <w:t>ii</w:t>
        </w:r>
        <w:r>
          <w:rPr>
            <w:noProof/>
            <w:webHidden/>
          </w:rPr>
          <w:fldChar w:fldCharType="end"/>
        </w:r>
      </w:hyperlink>
    </w:p>
    <w:p w14:paraId="659B7710" w14:textId="04A5B274"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51" w:history="1">
        <w:r w:rsidRPr="00240CB4">
          <w:rPr>
            <w:rStyle w:val="Hyperlink"/>
          </w:rPr>
          <w:t>Preface and acknowledgments</w:t>
        </w:r>
        <w:r>
          <w:rPr>
            <w:webHidden/>
          </w:rPr>
          <w:tab/>
        </w:r>
        <w:r>
          <w:rPr>
            <w:webHidden/>
          </w:rPr>
          <w:fldChar w:fldCharType="begin"/>
        </w:r>
        <w:r>
          <w:rPr>
            <w:webHidden/>
          </w:rPr>
          <w:instrText xml:space="preserve"> PAGEREF _Toc223445051 \h </w:instrText>
        </w:r>
        <w:r>
          <w:rPr>
            <w:webHidden/>
          </w:rPr>
        </w:r>
        <w:r>
          <w:rPr>
            <w:webHidden/>
          </w:rPr>
          <w:fldChar w:fldCharType="separate"/>
        </w:r>
        <w:r>
          <w:rPr>
            <w:webHidden/>
          </w:rPr>
          <w:t>1</w:t>
        </w:r>
        <w:r>
          <w:rPr>
            <w:webHidden/>
          </w:rPr>
          <w:fldChar w:fldCharType="end"/>
        </w:r>
      </w:hyperlink>
    </w:p>
    <w:p w14:paraId="18338272" w14:textId="37189676" w:rsidR="00B40359" w:rsidRDefault="00B40359">
      <w:pPr>
        <w:pStyle w:val="TOC1"/>
        <w:rPr>
          <w:rFonts w:asciiTheme="minorHAnsi" w:eastAsiaTheme="minorEastAsia" w:hAnsiTheme="minorHAnsi" w:cstheme="minorBidi"/>
          <w:b w:val="0"/>
          <w:noProof/>
          <w:color w:val="auto"/>
          <w:kern w:val="2"/>
          <w:sz w:val="24"/>
          <w:lang w:eastAsia="en-AU"/>
          <w14:ligatures w14:val="standardContextual"/>
        </w:rPr>
      </w:pPr>
      <w:hyperlink w:anchor="_Toc223445052" w:history="1">
        <w:r w:rsidRPr="00240CB4">
          <w:rPr>
            <w:rStyle w:val="Hyperlink"/>
            <w:noProof/>
          </w:rPr>
          <w:t>Brief introduction</w:t>
        </w:r>
        <w:r>
          <w:rPr>
            <w:noProof/>
            <w:webHidden/>
          </w:rPr>
          <w:tab/>
        </w:r>
        <w:r>
          <w:rPr>
            <w:noProof/>
            <w:webHidden/>
          </w:rPr>
          <w:fldChar w:fldCharType="begin"/>
        </w:r>
        <w:r>
          <w:rPr>
            <w:noProof/>
            <w:webHidden/>
          </w:rPr>
          <w:instrText xml:space="preserve"> PAGEREF _Toc223445052 \h </w:instrText>
        </w:r>
        <w:r>
          <w:rPr>
            <w:noProof/>
            <w:webHidden/>
          </w:rPr>
        </w:r>
        <w:r>
          <w:rPr>
            <w:noProof/>
            <w:webHidden/>
          </w:rPr>
          <w:fldChar w:fldCharType="separate"/>
        </w:r>
        <w:r>
          <w:rPr>
            <w:noProof/>
            <w:webHidden/>
          </w:rPr>
          <w:t>2</w:t>
        </w:r>
        <w:r>
          <w:rPr>
            <w:noProof/>
            <w:webHidden/>
          </w:rPr>
          <w:fldChar w:fldCharType="end"/>
        </w:r>
      </w:hyperlink>
    </w:p>
    <w:p w14:paraId="0B201CE5" w14:textId="4DE8DD0A" w:rsidR="00B40359" w:rsidRDefault="00B40359">
      <w:pPr>
        <w:pStyle w:val="TOC1"/>
        <w:rPr>
          <w:rFonts w:asciiTheme="minorHAnsi" w:eastAsiaTheme="minorEastAsia" w:hAnsiTheme="minorHAnsi" w:cstheme="minorBidi"/>
          <w:b w:val="0"/>
          <w:noProof/>
          <w:color w:val="auto"/>
          <w:kern w:val="2"/>
          <w:sz w:val="24"/>
          <w:lang w:eastAsia="en-AU"/>
          <w14:ligatures w14:val="standardContextual"/>
        </w:rPr>
      </w:pPr>
      <w:hyperlink w:anchor="_Toc223445053" w:history="1">
        <w:r w:rsidRPr="00240CB4">
          <w:rPr>
            <w:rStyle w:val="Hyperlink"/>
            <w:noProof/>
          </w:rPr>
          <w:t>Part A</w:t>
        </w:r>
        <w:r>
          <w:rPr>
            <w:noProof/>
            <w:webHidden/>
          </w:rPr>
          <w:tab/>
        </w:r>
        <w:r>
          <w:rPr>
            <w:noProof/>
            <w:webHidden/>
          </w:rPr>
          <w:fldChar w:fldCharType="begin"/>
        </w:r>
        <w:r>
          <w:rPr>
            <w:noProof/>
            <w:webHidden/>
          </w:rPr>
          <w:instrText xml:space="preserve"> PAGEREF _Toc223445053 \h </w:instrText>
        </w:r>
        <w:r>
          <w:rPr>
            <w:noProof/>
            <w:webHidden/>
          </w:rPr>
        </w:r>
        <w:r>
          <w:rPr>
            <w:noProof/>
            <w:webHidden/>
          </w:rPr>
          <w:fldChar w:fldCharType="separate"/>
        </w:r>
        <w:r>
          <w:rPr>
            <w:noProof/>
            <w:webHidden/>
          </w:rPr>
          <w:t>3</w:t>
        </w:r>
        <w:r>
          <w:rPr>
            <w:noProof/>
            <w:webHidden/>
          </w:rPr>
          <w:fldChar w:fldCharType="end"/>
        </w:r>
      </w:hyperlink>
    </w:p>
    <w:p w14:paraId="6A01299F" w14:textId="0DEB06B5"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54" w:history="1">
        <w:r w:rsidRPr="00240CB4">
          <w:rPr>
            <w:rStyle w:val="Hyperlink"/>
          </w:rPr>
          <w:t>Introduction</w:t>
        </w:r>
        <w:r>
          <w:rPr>
            <w:webHidden/>
          </w:rPr>
          <w:tab/>
        </w:r>
        <w:r>
          <w:rPr>
            <w:webHidden/>
          </w:rPr>
          <w:fldChar w:fldCharType="begin"/>
        </w:r>
        <w:r>
          <w:rPr>
            <w:webHidden/>
          </w:rPr>
          <w:instrText xml:space="preserve"> PAGEREF _Toc223445054 \h </w:instrText>
        </w:r>
        <w:r>
          <w:rPr>
            <w:webHidden/>
          </w:rPr>
        </w:r>
        <w:r>
          <w:rPr>
            <w:webHidden/>
          </w:rPr>
          <w:fldChar w:fldCharType="separate"/>
        </w:r>
        <w:r>
          <w:rPr>
            <w:webHidden/>
          </w:rPr>
          <w:t>4</w:t>
        </w:r>
        <w:r>
          <w:rPr>
            <w:webHidden/>
          </w:rPr>
          <w:fldChar w:fldCharType="end"/>
        </w:r>
      </w:hyperlink>
    </w:p>
    <w:p w14:paraId="49A6ADF3" w14:textId="4ADB1CDE"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55" w:history="1">
        <w:r w:rsidRPr="00240CB4">
          <w:rPr>
            <w:rStyle w:val="Hyperlink"/>
          </w:rPr>
          <w:t>Compliance with LG (FM) Regs and AAS</w:t>
        </w:r>
        <w:r>
          <w:rPr>
            <w:webHidden/>
          </w:rPr>
          <w:tab/>
        </w:r>
        <w:r>
          <w:rPr>
            <w:webHidden/>
          </w:rPr>
          <w:fldChar w:fldCharType="begin"/>
        </w:r>
        <w:r>
          <w:rPr>
            <w:webHidden/>
          </w:rPr>
          <w:instrText xml:space="preserve"> PAGEREF _Toc223445055 \h </w:instrText>
        </w:r>
        <w:r>
          <w:rPr>
            <w:webHidden/>
          </w:rPr>
        </w:r>
        <w:r>
          <w:rPr>
            <w:webHidden/>
          </w:rPr>
          <w:fldChar w:fldCharType="separate"/>
        </w:r>
        <w:r>
          <w:rPr>
            <w:webHidden/>
          </w:rPr>
          <w:t>5</w:t>
        </w:r>
        <w:r>
          <w:rPr>
            <w:webHidden/>
          </w:rPr>
          <w:fldChar w:fldCharType="end"/>
        </w:r>
      </w:hyperlink>
    </w:p>
    <w:p w14:paraId="1A6C206A" w14:textId="406E3611"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56" w:history="1">
        <w:r w:rsidRPr="00240CB4">
          <w:rPr>
            <w:rStyle w:val="Hyperlink"/>
          </w:rPr>
          <w:t>17A(2)(a) Assets</w:t>
        </w:r>
        <w:r>
          <w:rPr>
            <w:webHidden/>
          </w:rPr>
          <w:tab/>
        </w:r>
        <w:r>
          <w:rPr>
            <w:webHidden/>
          </w:rPr>
          <w:fldChar w:fldCharType="begin"/>
        </w:r>
        <w:r>
          <w:rPr>
            <w:webHidden/>
          </w:rPr>
          <w:instrText xml:space="preserve"> PAGEREF _Toc223445056 \h </w:instrText>
        </w:r>
        <w:r>
          <w:rPr>
            <w:webHidden/>
          </w:rPr>
        </w:r>
        <w:r>
          <w:rPr>
            <w:webHidden/>
          </w:rPr>
          <w:fldChar w:fldCharType="separate"/>
        </w:r>
        <w:r>
          <w:rPr>
            <w:webHidden/>
          </w:rPr>
          <w:t>5</w:t>
        </w:r>
        <w:r>
          <w:rPr>
            <w:webHidden/>
          </w:rPr>
          <w:fldChar w:fldCharType="end"/>
        </w:r>
      </w:hyperlink>
    </w:p>
    <w:p w14:paraId="412453E1" w14:textId="75F96D17"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57" w:history="1">
        <w:r w:rsidRPr="00240CB4">
          <w:rPr>
            <w:rStyle w:val="Hyperlink"/>
          </w:rPr>
          <w:t>Assets other than 17A(2)(a) Assets</w:t>
        </w:r>
        <w:r>
          <w:rPr>
            <w:webHidden/>
          </w:rPr>
          <w:tab/>
        </w:r>
        <w:r>
          <w:rPr>
            <w:webHidden/>
          </w:rPr>
          <w:fldChar w:fldCharType="begin"/>
        </w:r>
        <w:r>
          <w:rPr>
            <w:webHidden/>
          </w:rPr>
          <w:instrText xml:space="preserve"> PAGEREF _Toc223445057 \h </w:instrText>
        </w:r>
        <w:r>
          <w:rPr>
            <w:webHidden/>
          </w:rPr>
        </w:r>
        <w:r>
          <w:rPr>
            <w:webHidden/>
          </w:rPr>
          <w:fldChar w:fldCharType="separate"/>
        </w:r>
        <w:r>
          <w:rPr>
            <w:webHidden/>
          </w:rPr>
          <w:t>16</w:t>
        </w:r>
        <w:r>
          <w:rPr>
            <w:webHidden/>
          </w:rPr>
          <w:fldChar w:fldCharType="end"/>
        </w:r>
      </w:hyperlink>
    </w:p>
    <w:p w14:paraId="29B2C29F" w14:textId="77FB99DA"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58" w:history="1">
        <w:r w:rsidRPr="00240CB4">
          <w:rPr>
            <w:rStyle w:val="Hyperlink"/>
          </w:rPr>
          <w:t>Excluded assets</w:t>
        </w:r>
        <w:r>
          <w:rPr>
            <w:webHidden/>
          </w:rPr>
          <w:tab/>
        </w:r>
        <w:r>
          <w:rPr>
            <w:webHidden/>
          </w:rPr>
          <w:fldChar w:fldCharType="begin"/>
        </w:r>
        <w:r>
          <w:rPr>
            <w:webHidden/>
          </w:rPr>
          <w:instrText xml:space="preserve"> PAGEREF _Toc223445058 \h </w:instrText>
        </w:r>
        <w:r>
          <w:rPr>
            <w:webHidden/>
          </w:rPr>
        </w:r>
        <w:r>
          <w:rPr>
            <w:webHidden/>
          </w:rPr>
          <w:fldChar w:fldCharType="separate"/>
        </w:r>
        <w:r>
          <w:rPr>
            <w:webHidden/>
          </w:rPr>
          <w:t>17</w:t>
        </w:r>
        <w:r>
          <w:rPr>
            <w:webHidden/>
          </w:rPr>
          <w:fldChar w:fldCharType="end"/>
        </w:r>
      </w:hyperlink>
    </w:p>
    <w:p w14:paraId="49E1061C" w14:textId="5C08ACA6"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59" w:history="1">
        <w:r w:rsidRPr="00240CB4">
          <w:rPr>
            <w:rStyle w:val="Hyperlink"/>
          </w:rPr>
          <w:t>Summary of LG (FM) Regs, regulation 17A</w:t>
        </w:r>
        <w:r>
          <w:rPr>
            <w:webHidden/>
          </w:rPr>
          <w:tab/>
        </w:r>
        <w:r>
          <w:rPr>
            <w:webHidden/>
          </w:rPr>
          <w:fldChar w:fldCharType="begin"/>
        </w:r>
        <w:r>
          <w:rPr>
            <w:webHidden/>
          </w:rPr>
          <w:instrText xml:space="preserve"> PAGEREF _Toc223445059 \h </w:instrText>
        </w:r>
        <w:r>
          <w:rPr>
            <w:webHidden/>
          </w:rPr>
        </w:r>
        <w:r>
          <w:rPr>
            <w:webHidden/>
          </w:rPr>
          <w:fldChar w:fldCharType="separate"/>
        </w:r>
        <w:r>
          <w:rPr>
            <w:webHidden/>
          </w:rPr>
          <w:t>18</w:t>
        </w:r>
        <w:r>
          <w:rPr>
            <w:webHidden/>
          </w:rPr>
          <w:fldChar w:fldCharType="end"/>
        </w:r>
      </w:hyperlink>
    </w:p>
    <w:p w14:paraId="58B42A6D" w14:textId="0F255B81"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60" w:history="1">
        <w:r w:rsidRPr="00240CB4">
          <w:rPr>
            <w:rStyle w:val="Hyperlink"/>
          </w:rPr>
          <w:t>Summary of fair value measurement for WA</w:t>
        </w:r>
        <w:r>
          <w:rPr>
            <w:webHidden/>
          </w:rPr>
          <w:tab/>
        </w:r>
        <w:r>
          <w:rPr>
            <w:webHidden/>
          </w:rPr>
          <w:fldChar w:fldCharType="begin"/>
        </w:r>
        <w:r>
          <w:rPr>
            <w:webHidden/>
          </w:rPr>
          <w:instrText xml:space="preserve"> PAGEREF _Toc223445060 \h </w:instrText>
        </w:r>
        <w:r>
          <w:rPr>
            <w:webHidden/>
          </w:rPr>
        </w:r>
        <w:r>
          <w:rPr>
            <w:webHidden/>
          </w:rPr>
          <w:fldChar w:fldCharType="separate"/>
        </w:r>
        <w:r>
          <w:rPr>
            <w:webHidden/>
          </w:rPr>
          <w:t>20</w:t>
        </w:r>
        <w:r>
          <w:rPr>
            <w:webHidden/>
          </w:rPr>
          <w:fldChar w:fldCharType="end"/>
        </w:r>
      </w:hyperlink>
    </w:p>
    <w:p w14:paraId="12CC71AA" w14:textId="163941B8"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61" w:history="1">
        <w:r w:rsidRPr="00240CB4">
          <w:rPr>
            <w:rStyle w:val="Hyperlink"/>
          </w:rPr>
          <w:t>Application of Guidelines sections to WA</w:t>
        </w:r>
        <w:r>
          <w:rPr>
            <w:webHidden/>
          </w:rPr>
          <w:tab/>
        </w:r>
        <w:r>
          <w:rPr>
            <w:webHidden/>
          </w:rPr>
          <w:fldChar w:fldCharType="begin"/>
        </w:r>
        <w:r>
          <w:rPr>
            <w:webHidden/>
          </w:rPr>
          <w:instrText xml:space="preserve"> PAGEREF _Toc223445061 \h </w:instrText>
        </w:r>
        <w:r>
          <w:rPr>
            <w:webHidden/>
          </w:rPr>
        </w:r>
        <w:r>
          <w:rPr>
            <w:webHidden/>
          </w:rPr>
          <w:fldChar w:fldCharType="separate"/>
        </w:r>
        <w:r>
          <w:rPr>
            <w:webHidden/>
          </w:rPr>
          <w:t>23</w:t>
        </w:r>
        <w:r>
          <w:rPr>
            <w:webHidden/>
          </w:rPr>
          <w:fldChar w:fldCharType="end"/>
        </w:r>
      </w:hyperlink>
    </w:p>
    <w:p w14:paraId="483146F9" w14:textId="2988788A" w:rsidR="00B40359" w:rsidRDefault="00B40359">
      <w:pPr>
        <w:pStyle w:val="TOC1"/>
        <w:rPr>
          <w:rFonts w:asciiTheme="minorHAnsi" w:eastAsiaTheme="minorEastAsia" w:hAnsiTheme="minorHAnsi" w:cstheme="minorBidi"/>
          <w:b w:val="0"/>
          <w:noProof/>
          <w:color w:val="auto"/>
          <w:kern w:val="2"/>
          <w:sz w:val="24"/>
          <w:lang w:eastAsia="en-AU"/>
          <w14:ligatures w14:val="standardContextual"/>
        </w:rPr>
      </w:pPr>
      <w:hyperlink w:anchor="_Toc223445062" w:history="1">
        <w:r w:rsidRPr="00240CB4">
          <w:rPr>
            <w:rStyle w:val="Hyperlink"/>
            <w:noProof/>
          </w:rPr>
          <w:t>Part B</w:t>
        </w:r>
        <w:r>
          <w:rPr>
            <w:noProof/>
            <w:webHidden/>
          </w:rPr>
          <w:tab/>
        </w:r>
        <w:r>
          <w:rPr>
            <w:noProof/>
            <w:webHidden/>
          </w:rPr>
          <w:fldChar w:fldCharType="begin"/>
        </w:r>
        <w:r>
          <w:rPr>
            <w:noProof/>
            <w:webHidden/>
          </w:rPr>
          <w:instrText xml:space="preserve"> PAGEREF _Toc223445062 \h </w:instrText>
        </w:r>
        <w:r>
          <w:rPr>
            <w:noProof/>
            <w:webHidden/>
          </w:rPr>
        </w:r>
        <w:r>
          <w:rPr>
            <w:noProof/>
            <w:webHidden/>
          </w:rPr>
          <w:fldChar w:fldCharType="separate"/>
        </w:r>
        <w:r>
          <w:rPr>
            <w:noProof/>
            <w:webHidden/>
          </w:rPr>
          <w:t>24</w:t>
        </w:r>
        <w:r>
          <w:rPr>
            <w:noProof/>
            <w:webHidden/>
          </w:rPr>
          <w:fldChar w:fldCharType="end"/>
        </w:r>
      </w:hyperlink>
    </w:p>
    <w:p w14:paraId="257C8B7C" w14:textId="555F02AC"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63" w:history="1">
        <w:r w:rsidRPr="00240CB4">
          <w:rPr>
            <w:rStyle w:val="Hyperlink"/>
          </w:rPr>
          <w:t>Background</w:t>
        </w:r>
        <w:r>
          <w:rPr>
            <w:webHidden/>
          </w:rPr>
          <w:tab/>
        </w:r>
        <w:r>
          <w:rPr>
            <w:webHidden/>
          </w:rPr>
          <w:fldChar w:fldCharType="begin"/>
        </w:r>
        <w:r>
          <w:rPr>
            <w:webHidden/>
          </w:rPr>
          <w:instrText xml:space="preserve"> PAGEREF _Toc223445063 \h </w:instrText>
        </w:r>
        <w:r>
          <w:rPr>
            <w:webHidden/>
          </w:rPr>
        </w:r>
        <w:r>
          <w:rPr>
            <w:webHidden/>
          </w:rPr>
          <w:fldChar w:fldCharType="separate"/>
        </w:r>
        <w:r>
          <w:rPr>
            <w:webHidden/>
          </w:rPr>
          <w:t>25</w:t>
        </w:r>
        <w:r>
          <w:rPr>
            <w:webHidden/>
          </w:rPr>
          <w:fldChar w:fldCharType="end"/>
        </w:r>
      </w:hyperlink>
    </w:p>
    <w:p w14:paraId="35FFE366" w14:textId="5DA9372F"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64" w:history="1">
        <w:r w:rsidRPr="00240CB4">
          <w:rPr>
            <w:rStyle w:val="Hyperlink"/>
          </w:rPr>
          <w:t>Accounting records for assets</w:t>
        </w:r>
        <w:r>
          <w:rPr>
            <w:webHidden/>
          </w:rPr>
          <w:tab/>
        </w:r>
        <w:r>
          <w:rPr>
            <w:webHidden/>
          </w:rPr>
          <w:fldChar w:fldCharType="begin"/>
        </w:r>
        <w:r>
          <w:rPr>
            <w:webHidden/>
          </w:rPr>
          <w:instrText xml:space="preserve"> PAGEREF _Toc223445064 \h </w:instrText>
        </w:r>
        <w:r>
          <w:rPr>
            <w:webHidden/>
          </w:rPr>
        </w:r>
        <w:r>
          <w:rPr>
            <w:webHidden/>
          </w:rPr>
          <w:fldChar w:fldCharType="separate"/>
        </w:r>
        <w:r>
          <w:rPr>
            <w:webHidden/>
          </w:rPr>
          <w:t>26</w:t>
        </w:r>
        <w:r>
          <w:rPr>
            <w:webHidden/>
          </w:rPr>
          <w:fldChar w:fldCharType="end"/>
        </w:r>
      </w:hyperlink>
    </w:p>
    <w:p w14:paraId="34C3813E" w14:textId="6A36B1F2"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65" w:history="1">
        <w:r w:rsidRPr="00240CB4">
          <w:rPr>
            <w:rStyle w:val="Hyperlink"/>
          </w:rPr>
          <w:t>Asset registers</w:t>
        </w:r>
        <w:r>
          <w:rPr>
            <w:webHidden/>
          </w:rPr>
          <w:tab/>
        </w:r>
        <w:r>
          <w:rPr>
            <w:webHidden/>
          </w:rPr>
          <w:fldChar w:fldCharType="begin"/>
        </w:r>
        <w:r>
          <w:rPr>
            <w:webHidden/>
          </w:rPr>
          <w:instrText xml:space="preserve"> PAGEREF _Toc223445065 \h </w:instrText>
        </w:r>
        <w:r>
          <w:rPr>
            <w:webHidden/>
          </w:rPr>
        </w:r>
        <w:r>
          <w:rPr>
            <w:webHidden/>
          </w:rPr>
          <w:fldChar w:fldCharType="separate"/>
        </w:r>
        <w:r>
          <w:rPr>
            <w:webHidden/>
          </w:rPr>
          <w:t>27</w:t>
        </w:r>
        <w:r>
          <w:rPr>
            <w:webHidden/>
          </w:rPr>
          <w:fldChar w:fldCharType="end"/>
        </w:r>
      </w:hyperlink>
    </w:p>
    <w:p w14:paraId="4B420269" w14:textId="20C9BC47"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66" w:history="1">
        <w:r w:rsidRPr="00240CB4">
          <w:rPr>
            <w:rStyle w:val="Hyperlink"/>
          </w:rPr>
          <w:t>Operational controls for assets</w:t>
        </w:r>
        <w:r>
          <w:rPr>
            <w:webHidden/>
          </w:rPr>
          <w:tab/>
        </w:r>
        <w:r>
          <w:rPr>
            <w:webHidden/>
          </w:rPr>
          <w:fldChar w:fldCharType="begin"/>
        </w:r>
        <w:r>
          <w:rPr>
            <w:webHidden/>
          </w:rPr>
          <w:instrText xml:space="preserve"> PAGEREF _Toc223445066 \h </w:instrText>
        </w:r>
        <w:r>
          <w:rPr>
            <w:webHidden/>
          </w:rPr>
        </w:r>
        <w:r>
          <w:rPr>
            <w:webHidden/>
          </w:rPr>
          <w:fldChar w:fldCharType="separate"/>
        </w:r>
        <w:r>
          <w:rPr>
            <w:webHidden/>
          </w:rPr>
          <w:t>27</w:t>
        </w:r>
        <w:r>
          <w:rPr>
            <w:webHidden/>
          </w:rPr>
          <w:fldChar w:fldCharType="end"/>
        </w:r>
      </w:hyperlink>
    </w:p>
    <w:p w14:paraId="3E635CA6" w14:textId="60EDA336"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67" w:history="1">
        <w:r w:rsidRPr="00240CB4">
          <w:rPr>
            <w:rStyle w:val="Hyperlink"/>
          </w:rPr>
          <w:t>Scheduling of valuations</w:t>
        </w:r>
        <w:r>
          <w:rPr>
            <w:webHidden/>
          </w:rPr>
          <w:tab/>
        </w:r>
        <w:r>
          <w:rPr>
            <w:webHidden/>
          </w:rPr>
          <w:fldChar w:fldCharType="begin"/>
        </w:r>
        <w:r>
          <w:rPr>
            <w:webHidden/>
          </w:rPr>
          <w:instrText xml:space="preserve"> PAGEREF _Toc223445067 \h </w:instrText>
        </w:r>
        <w:r>
          <w:rPr>
            <w:webHidden/>
          </w:rPr>
        </w:r>
        <w:r>
          <w:rPr>
            <w:webHidden/>
          </w:rPr>
          <w:fldChar w:fldCharType="separate"/>
        </w:r>
        <w:r>
          <w:rPr>
            <w:webHidden/>
          </w:rPr>
          <w:t>28</w:t>
        </w:r>
        <w:r>
          <w:rPr>
            <w:webHidden/>
          </w:rPr>
          <w:fldChar w:fldCharType="end"/>
        </w:r>
      </w:hyperlink>
    </w:p>
    <w:p w14:paraId="04E6125E" w14:textId="3A8DB296"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68" w:history="1">
        <w:r w:rsidRPr="00240CB4">
          <w:rPr>
            <w:rStyle w:val="Hyperlink"/>
          </w:rPr>
          <w:t>Valuation strategy</w:t>
        </w:r>
        <w:r>
          <w:rPr>
            <w:webHidden/>
          </w:rPr>
          <w:tab/>
        </w:r>
        <w:r>
          <w:rPr>
            <w:webHidden/>
          </w:rPr>
          <w:fldChar w:fldCharType="begin"/>
        </w:r>
        <w:r>
          <w:rPr>
            <w:webHidden/>
          </w:rPr>
          <w:instrText xml:space="preserve"> PAGEREF _Toc223445068 \h </w:instrText>
        </w:r>
        <w:r>
          <w:rPr>
            <w:webHidden/>
          </w:rPr>
        </w:r>
        <w:r>
          <w:rPr>
            <w:webHidden/>
          </w:rPr>
          <w:fldChar w:fldCharType="separate"/>
        </w:r>
        <w:r>
          <w:rPr>
            <w:webHidden/>
          </w:rPr>
          <w:t>29</w:t>
        </w:r>
        <w:r>
          <w:rPr>
            <w:webHidden/>
          </w:rPr>
          <w:fldChar w:fldCharType="end"/>
        </w:r>
      </w:hyperlink>
    </w:p>
    <w:p w14:paraId="095B4D42" w14:textId="15F2B882"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69" w:history="1">
        <w:r w:rsidRPr="00240CB4">
          <w:rPr>
            <w:rStyle w:val="Hyperlink"/>
          </w:rPr>
          <w:t>Valuation methodology</w:t>
        </w:r>
        <w:r>
          <w:rPr>
            <w:webHidden/>
          </w:rPr>
          <w:tab/>
        </w:r>
        <w:r>
          <w:rPr>
            <w:webHidden/>
          </w:rPr>
          <w:fldChar w:fldCharType="begin"/>
        </w:r>
        <w:r>
          <w:rPr>
            <w:webHidden/>
          </w:rPr>
          <w:instrText xml:space="preserve"> PAGEREF _Toc223445069 \h </w:instrText>
        </w:r>
        <w:r>
          <w:rPr>
            <w:webHidden/>
          </w:rPr>
        </w:r>
        <w:r>
          <w:rPr>
            <w:webHidden/>
          </w:rPr>
          <w:fldChar w:fldCharType="separate"/>
        </w:r>
        <w:r>
          <w:rPr>
            <w:webHidden/>
          </w:rPr>
          <w:t>30</w:t>
        </w:r>
        <w:r>
          <w:rPr>
            <w:webHidden/>
          </w:rPr>
          <w:fldChar w:fldCharType="end"/>
        </w:r>
      </w:hyperlink>
    </w:p>
    <w:p w14:paraId="0EAF9DCB" w14:textId="713C82E3"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0" w:history="1">
        <w:r w:rsidRPr="00240CB4">
          <w:rPr>
            <w:rStyle w:val="Hyperlink"/>
          </w:rPr>
          <w:t>Scope of works</w:t>
        </w:r>
        <w:r>
          <w:rPr>
            <w:webHidden/>
          </w:rPr>
          <w:tab/>
        </w:r>
        <w:r>
          <w:rPr>
            <w:webHidden/>
          </w:rPr>
          <w:fldChar w:fldCharType="begin"/>
        </w:r>
        <w:r>
          <w:rPr>
            <w:webHidden/>
          </w:rPr>
          <w:instrText xml:space="preserve"> PAGEREF _Toc223445070 \h </w:instrText>
        </w:r>
        <w:r>
          <w:rPr>
            <w:webHidden/>
          </w:rPr>
        </w:r>
        <w:r>
          <w:rPr>
            <w:webHidden/>
          </w:rPr>
          <w:fldChar w:fldCharType="separate"/>
        </w:r>
        <w:r>
          <w:rPr>
            <w:webHidden/>
          </w:rPr>
          <w:t>32</w:t>
        </w:r>
        <w:r>
          <w:rPr>
            <w:webHidden/>
          </w:rPr>
          <w:fldChar w:fldCharType="end"/>
        </w:r>
      </w:hyperlink>
    </w:p>
    <w:p w14:paraId="02452CCC" w14:textId="092F2DC9"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1" w:history="1">
        <w:r w:rsidRPr="00240CB4">
          <w:rPr>
            <w:rStyle w:val="Hyperlink"/>
          </w:rPr>
          <w:t>Unit rates or cost of construction</w:t>
        </w:r>
        <w:r>
          <w:rPr>
            <w:webHidden/>
          </w:rPr>
          <w:tab/>
        </w:r>
        <w:r>
          <w:rPr>
            <w:webHidden/>
          </w:rPr>
          <w:fldChar w:fldCharType="begin"/>
        </w:r>
        <w:r>
          <w:rPr>
            <w:webHidden/>
          </w:rPr>
          <w:instrText xml:space="preserve"> PAGEREF _Toc223445071 \h </w:instrText>
        </w:r>
        <w:r>
          <w:rPr>
            <w:webHidden/>
          </w:rPr>
        </w:r>
        <w:r>
          <w:rPr>
            <w:webHidden/>
          </w:rPr>
          <w:fldChar w:fldCharType="separate"/>
        </w:r>
        <w:r>
          <w:rPr>
            <w:webHidden/>
          </w:rPr>
          <w:t>34</w:t>
        </w:r>
        <w:r>
          <w:rPr>
            <w:webHidden/>
          </w:rPr>
          <w:fldChar w:fldCharType="end"/>
        </w:r>
      </w:hyperlink>
    </w:p>
    <w:p w14:paraId="32D43C7E" w14:textId="70E9E6A5"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2" w:history="1">
        <w:r w:rsidRPr="00240CB4">
          <w:rPr>
            <w:rStyle w:val="Hyperlink"/>
          </w:rPr>
          <w:t>Condition or consumption scores</w:t>
        </w:r>
        <w:r>
          <w:rPr>
            <w:webHidden/>
          </w:rPr>
          <w:tab/>
        </w:r>
        <w:r>
          <w:rPr>
            <w:webHidden/>
          </w:rPr>
          <w:fldChar w:fldCharType="begin"/>
        </w:r>
        <w:r>
          <w:rPr>
            <w:webHidden/>
          </w:rPr>
          <w:instrText xml:space="preserve"> PAGEREF _Toc223445072 \h </w:instrText>
        </w:r>
        <w:r>
          <w:rPr>
            <w:webHidden/>
          </w:rPr>
        </w:r>
        <w:r>
          <w:rPr>
            <w:webHidden/>
          </w:rPr>
          <w:fldChar w:fldCharType="separate"/>
        </w:r>
        <w:r>
          <w:rPr>
            <w:webHidden/>
          </w:rPr>
          <w:t>36</w:t>
        </w:r>
        <w:r>
          <w:rPr>
            <w:webHidden/>
          </w:rPr>
          <w:fldChar w:fldCharType="end"/>
        </w:r>
      </w:hyperlink>
    </w:p>
    <w:p w14:paraId="132171F7" w14:textId="7EDFA754"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3" w:history="1">
        <w:r w:rsidRPr="00240CB4">
          <w:rPr>
            <w:rStyle w:val="Hyperlink"/>
          </w:rPr>
          <w:t>Relationship between condition and remaining value</w:t>
        </w:r>
        <w:r>
          <w:rPr>
            <w:webHidden/>
          </w:rPr>
          <w:tab/>
        </w:r>
        <w:r>
          <w:rPr>
            <w:webHidden/>
          </w:rPr>
          <w:fldChar w:fldCharType="begin"/>
        </w:r>
        <w:r>
          <w:rPr>
            <w:webHidden/>
          </w:rPr>
          <w:instrText xml:space="preserve"> PAGEREF _Toc223445073 \h </w:instrText>
        </w:r>
        <w:r>
          <w:rPr>
            <w:webHidden/>
          </w:rPr>
        </w:r>
        <w:r>
          <w:rPr>
            <w:webHidden/>
          </w:rPr>
          <w:fldChar w:fldCharType="separate"/>
        </w:r>
        <w:r>
          <w:rPr>
            <w:webHidden/>
          </w:rPr>
          <w:t>38</w:t>
        </w:r>
        <w:r>
          <w:rPr>
            <w:webHidden/>
          </w:rPr>
          <w:fldChar w:fldCharType="end"/>
        </w:r>
      </w:hyperlink>
    </w:p>
    <w:p w14:paraId="051DC017" w14:textId="11E840D6"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4" w:history="1">
        <w:r w:rsidRPr="00240CB4">
          <w:rPr>
            <w:rStyle w:val="Hyperlink"/>
          </w:rPr>
          <w:t>Assessment of the impact of obsolescence on value</w:t>
        </w:r>
        <w:r>
          <w:rPr>
            <w:webHidden/>
          </w:rPr>
          <w:tab/>
        </w:r>
        <w:r>
          <w:rPr>
            <w:webHidden/>
          </w:rPr>
          <w:fldChar w:fldCharType="begin"/>
        </w:r>
        <w:r>
          <w:rPr>
            <w:webHidden/>
          </w:rPr>
          <w:instrText xml:space="preserve"> PAGEREF _Toc223445074 \h </w:instrText>
        </w:r>
        <w:r>
          <w:rPr>
            <w:webHidden/>
          </w:rPr>
        </w:r>
        <w:r>
          <w:rPr>
            <w:webHidden/>
          </w:rPr>
          <w:fldChar w:fldCharType="separate"/>
        </w:r>
        <w:r>
          <w:rPr>
            <w:webHidden/>
          </w:rPr>
          <w:t>40</w:t>
        </w:r>
        <w:r>
          <w:rPr>
            <w:webHidden/>
          </w:rPr>
          <w:fldChar w:fldCharType="end"/>
        </w:r>
      </w:hyperlink>
    </w:p>
    <w:p w14:paraId="615EDE09" w14:textId="6792971B"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5" w:history="1">
        <w:r w:rsidRPr="00240CB4">
          <w:rPr>
            <w:rStyle w:val="Hyperlink"/>
          </w:rPr>
          <w:t>Residual value</w:t>
        </w:r>
        <w:r>
          <w:rPr>
            <w:webHidden/>
          </w:rPr>
          <w:tab/>
        </w:r>
        <w:r>
          <w:rPr>
            <w:webHidden/>
          </w:rPr>
          <w:fldChar w:fldCharType="begin"/>
        </w:r>
        <w:r>
          <w:rPr>
            <w:webHidden/>
          </w:rPr>
          <w:instrText xml:space="preserve"> PAGEREF _Toc223445075 \h </w:instrText>
        </w:r>
        <w:r>
          <w:rPr>
            <w:webHidden/>
          </w:rPr>
        </w:r>
        <w:r>
          <w:rPr>
            <w:webHidden/>
          </w:rPr>
          <w:fldChar w:fldCharType="separate"/>
        </w:r>
        <w:r>
          <w:rPr>
            <w:webHidden/>
          </w:rPr>
          <w:t>41</w:t>
        </w:r>
        <w:r>
          <w:rPr>
            <w:webHidden/>
          </w:rPr>
          <w:fldChar w:fldCharType="end"/>
        </w:r>
      </w:hyperlink>
    </w:p>
    <w:p w14:paraId="0F78FB81" w14:textId="2B4F9EA3"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6" w:history="1">
        <w:r w:rsidRPr="00240CB4">
          <w:rPr>
            <w:rStyle w:val="Hyperlink"/>
          </w:rPr>
          <w:t>Useful life and remaining useful life</w:t>
        </w:r>
        <w:r>
          <w:rPr>
            <w:webHidden/>
          </w:rPr>
          <w:tab/>
        </w:r>
        <w:r>
          <w:rPr>
            <w:webHidden/>
          </w:rPr>
          <w:fldChar w:fldCharType="begin"/>
        </w:r>
        <w:r>
          <w:rPr>
            <w:webHidden/>
          </w:rPr>
          <w:instrText xml:space="preserve"> PAGEREF _Toc223445076 \h </w:instrText>
        </w:r>
        <w:r>
          <w:rPr>
            <w:webHidden/>
          </w:rPr>
        </w:r>
        <w:r>
          <w:rPr>
            <w:webHidden/>
          </w:rPr>
          <w:fldChar w:fldCharType="separate"/>
        </w:r>
        <w:r>
          <w:rPr>
            <w:webHidden/>
          </w:rPr>
          <w:t>41</w:t>
        </w:r>
        <w:r>
          <w:rPr>
            <w:webHidden/>
          </w:rPr>
          <w:fldChar w:fldCharType="end"/>
        </w:r>
      </w:hyperlink>
    </w:p>
    <w:p w14:paraId="2F553D7C" w14:textId="2786EF37"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7" w:history="1">
        <w:r w:rsidRPr="00240CB4">
          <w:rPr>
            <w:rStyle w:val="Hyperlink"/>
          </w:rPr>
          <w:t>Indices</w:t>
        </w:r>
        <w:r>
          <w:rPr>
            <w:webHidden/>
          </w:rPr>
          <w:tab/>
        </w:r>
        <w:r>
          <w:rPr>
            <w:webHidden/>
          </w:rPr>
          <w:fldChar w:fldCharType="begin"/>
        </w:r>
        <w:r>
          <w:rPr>
            <w:webHidden/>
          </w:rPr>
          <w:instrText xml:space="preserve"> PAGEREF _Toc223445077 \h </w:instrText>
        </w:r>
        <w:r>
          <w:rPr>
            <w:webHidden/>
          </w:rPr>
        </w:r>
        <w:r>
          <w:rPr>
            <w:webHidden/>
          </w:rPr>
          <w:fldChar w:fldCharType="separate"/>
        </w:r>
        <w:r>
          <w:rPr>
            <w:webHidden/>
          </w:rPr>
          <w:t>43</w:t>
        </w:r>
        <w:r>
          <w:rPr>
            <w:webHidden/>
          </w:rPr>
          <w:fldChar w:fldCharType="end"/>
        </w:r>
      </w:hyperlink>
    </w:p>
    <w:p w14:paraId="74248BAB" w14:textId="065D48BF"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8" w:history="1">
        <w:r w:rsidRPr="00240CB4">
          <w:rPr>
            <w:rStyle w:val="Hyperlink"/>
          </w:rPr>
          <w:t>Valuer’s report</w:t>
        </w:r>
        <w:r>
          <w:rPr>
            <w:webHidden/>
          </w:rPr>
          <w:tab/>
        </w:r>
        <w:r>
          <w:rPr>
            <w:webHidden/>
          </w:rPr>
          <w:fldChar w:fldCharType="begin"/>
        </w:r>
        <w:r>
          <w:rPr>
            <w:webHidden/>
          </w:rPr>
          <w:instrText xml:space="preserve"> PAGEREF _Toc223445078 \h </w:instrText>
        </w:r>
        <w:r>
          <w:rPr>
            <w:webHidden/>
          </w:rPr>
        </w:r>
        <w:r>
          <w:rPr>
            <w:webHidden/>
          </w:rPr>
          <w:fldChar w:fldCharType="separate"/>
        </w:r>
        <w:r>
          <w:rPr>
            <w:webHidden/>
          </w:rPr>
          <w:t>44</w:t>
        </w:r>
        <w:r>
          <w:rPr>
            <w:webHidden/>
          </w:rPr>
          <w:fldChar w:fldCharType="end"/>
        </w:r>
      </w:hyperlink>
    </w:p>
    <w:p w14:paraId="390F2638" w14:textId="337FA267"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79" w:history="1">
        <w:r w:rsidRPr="00240CB4">
          <w:rPr>
            <w:rStyle w:val="Hyperlink"/>
          </w:rPr>
          <w:t>Documentation</w:t>
        </w:r>
        <w:r>
          <w:rPr>
            <w:webHidden/>
          </w:rPr>
          <w:tab/>
        </w:r>
        <w:r>
          <w:rPr>
            <w:webHidden/>
          </w:rPr>
          <w:fldChar w:fldCharType="begin"/>
        </w:r>
        <w:r>
          <w:rPr>
            <w:webHidden/>
          </w:rPr>
          <w:instrText xml:space="preserve"> PAGEREF _Toc223445079 \h </w:instrText>
        </w:r>
        <w:r>
          <w:rPr>
            <w:webHidden/>
          </w:rPr>
        </w:r>
        <w:r>
          <w:rPr>
            <w:webHidden/>
          </w:rPr>
          <w:fldChar w:fldCharType="separate"/>
        </w:r>
        <w:r>
          <w:rPr>
            <w:webHidden/>
          </w:rPr>
          <w:t>45</w:t>
        </w:r>
        <w:r>
          <w:rPr>
            <w:webHidden/>
          </w:rPr>
          <w:fldChar w:fldCharType="end"/>
        </w:r>
      </w:hyperlink>
    </w:p>
    <w:p w14:paraId="1539F901" w14:textId="2DBBBB65"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80" w:history="1">
        <w:r w:rsidRPr="00240CB4">
          <w:rPr>
            <w:rStyle w:val="Hyperlink"/>
          </w:rPr>
          <w:t>Insurance valuations</w:t>
        </w:r>
        <w:r>
          <w:rPr>
            <w:webHidden/>
          </w:rPr>
          <w:tab/>
        </w:r>
        <w:r>
          <w:rPr>
            <w:webHidden/>
          </w:rPr>
          <w:fldChar w:fldCharType="begin"/>
        </w:r>
        <w:r>
          <w:rPr>
            <w:webHidden/>
          </w:rPr>
          <w:instrText xml:space="preserve"> PAGEREF _Toc223445080 \h </w:instrText>
        </w:r>
        <w:r>
          <w:rPr>
            <w:webHidden/>
          </w:rPr>
        </w:r>
        <w:r>
          <w:rPr>
            <w:webHidden/>
          </w:rPr>
          <w:fldChar w:fldCharType="separate"/>
        </w:r>
        <w:r>
          <w:rPr>
            <w:webHidden/>
          </w:rPr>
          <w:t>46</w:t>
        </w:r>
        <w:r>
          <w:rPr>
            <w:webHidden/>
          </w:rPr>
          <w:fldChar w:fldCharType="end"/>
        </w:r>
      </w:hyperlink>
    </w:p>
    <w:p w14:paraId="6C1259DA" w14:textId="1DC1C4C7" w:rsidR="00B40359" w:rsidRDefault="00B40359">
      <w:pPr>
        <w:pStyle w:val="TOC1"/>
        <w:rPr>
          <w:rFonts w:asciiTheme="minorHAnsi" w:eastAsiaTheme="minorEastAsia" w:hAnsiTheme="minorHAnsi" w:cstheme="minorBidi"/>
          <w:b w:val="0"/>
          <w:noProof/>
          <w:color w:val="auto"/>
          <w:kern w:val="2"/>
          <w:sz w:val="24"/>
          <w:lang w:eastAsia="en-AU"/>
          <w14:ligatures w14:val="standardContextual"/>
        </w:rPr>
      </w:pPr>
      <w:hyperlink w:anchor="_Toc223445081" w:history="1">
        <w:r w:rsidRPr="00240CB4">
          <w:rPr>
            <w:rStyle w:val="Hyperlink"/>
            <w:noProof/>
          </w:rPr>
          <w:t>Attachment A: Valuation under the accounting standards</w:t>
        </w:r>
        <w:r>
          <w:rPr>
            <w:noProof/>
            <w:webHidden/>
          </w:rPr>
          <w:tab/>
        </w:r>
        <w:r>
          <w:rPr>
            <w:noProof/>
            <w:webHidden/>
          </w:rPr>
          <w:fldChar w:fldCharType="begin"/>
        </w:r>
        <w:r>
          <w:rPr>
            <w:noProof/>
            <w:webHidden/>
          </w:rPr>
          <w:instrText xml:space="preserve"> PAGEREF _Toc223445081 \h </w:instrText>
        </w:r>
        <w:r>
          <w:rPr>
            <w:noProof/>
            <w:webHidden/>
          </w:rPr>
        </w:r>
        <w:r>
          <w:rPr>
            <w:noProof/>
            <w:webHidden/>
          </w:rPr>
          <w:fldChar w:fldCharType="separate"/>
        </w:r>
        <w:r>
          <w:rPr>
            <w:noProof/>
            <w:webHidden/>
          </w:rPr>
          <w:t>48</w:t>
        </w:r>
        <w:r>
          <w:rPr>
            <w:noProof/>
            <w:webHidden/>
          </w:rPr>
          <w:fldChar w:fldCharType="end"/>
        </w:r>
      </w:hyperlink>
    </w:p>
    <w:p w14:paraId="170DECC5" w14:textId="70C145C5"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82" w:history="1">
        <w:r w:rsidRPr="00240CB4">
          <w:rPr>
            <w:rStyle w:val="Hyperlink"/>
          </w:rPr>
          <w:t>Introduction</w:t>
        </w:r>
        <w:r>
          <w:rPr>
            <w:webHidden/>
          </w:rPr>
          <w:tab/>
        </w:r>
        <w:r>
          <w:rPr>
            <w:webHidden/>
          </w:rPr>
          <w:fldChar w:fldCharType="begin"/>
        </w:r>
        <w:r>
          <w:rPr>
            <w:webHidden/>
          </w:rPr>
          <w:instrText xml:space="preserve"> PAGEREF _Toc223445082 \h </w:instrText>
        </w:r>
        <w:r>
          <w:rPr>
            <w:webHidden/>
          </w:rPr>
        </w:r>
        <w:r>
          <w:rPr>
            <w:webHidden/>
          </w:rPr>
          <w:fldChar w:fldCharType="separate"/>
        </w:r>
        <w:r>
          <w:rPr>
            <w:webHidden/>
          </w:rPr>
          <w:t>48</w:t>
        </w:r>
        <w:r>
          <w:rPr>
            <w:webHidden/>
          </w:rPr>
          <w:fldChar w:fldCharType="end"/>
        </w:r>
      </w:hyperlink>
    </w:p>
    <w:p w14:paraId="0C40FCB0" w14:textId="79D76EA8"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83" w:history="1">
        <w:r w:rsidRPr="00240CB4">
          <w:rPr>
            <w:rStyle w:val="Hyperlink"/>
          </w:rPr>
          <w:t>AASB 13 Fair Value Measurement (2022)</w:t>
        </w:r>
        <w:r>
          <w:rPr>
            <w:webHidden/>
          </w:rPr>
          <w:tab/>
        </w:r>
        <w:r>
          <w:rPr>
            <w:webHidden/>
          </w:rPr>
          <w:fldChar w:fldCharType="begin"/>
        </w:r>
        <w:r>
          <w:rPr>
            <w:webHidden/>
          </w:rPr>
          <w:instrText xml:space="preserve"> PAGEREF _Toc223445083 \h </w:instrText>
        </w:r>
        <w:r>
          <w:rPr>
            <w:webHidden/>
          </w:rPr>
        </w:r>
        <w:r>
          <w:rPr>
            <w:webHidden/>
          </w:rPr>
          <w:fldChar w:fldCharType="separate"/>
        </w:r>
        <w:r>
          <w:rPr>
            <w:webHidden/>
          </w:rPr>
          <w:t>49</w:t>
        </w:r>
        <w:r>
          <w:rPr>
            <w:webHidden/>
          </w:rPr>
          <w:fldChar w:fldCharType="end"/>
        </w:r>
      </w:hyperlink>
    </w:p>
    <w:p w14:paraId="342AAB7A" w14:textId="6C4817BE"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84" w:history="1">
        <w:r w:rsidRPr="00240CB4">
          <w:rPr>
            <w:rStyle w:val="Hyperlink"/>
          </w:rPr>
          <w:t>AASB 116 Property, Plant and Equipment (2022)</w:t>
        </w:r>
        <w:r>
          <w:rPr>
            <w:webHidden/>
          </w:rPr>
          <w:tab/>
        </w:r>
        <w:r>
          <w:rPr>
            <w:webHidden/>
          </w:rPr>
          <w:fldChar w:fldCharType="begin"/>
        </w:r>
        <w:r>
          <w:rPr>
            <w:webHidden/>
          </w:rPr>
          <w:instrText xml:space="preserve"> PAGEREF _Toc223445084 \h </w:instrText>
        </w:r>
        <w:r>
          <w:rPr>
            <w:webHidden/>
          </w:rPr>
        </w:r>
        <w:r>
          <w:rPr>
            <w:webHidden/>
          </w:rPr>
          <w:fldChar w:fldCharType="separate"/>
        </w:r>
        <w:r>
          <w:rPr>
            <w:webHidden/>
          </w:rPr>
          <w:t>64</w:t>
        </w:r>
        <w:r>
          <w:rPr>
            <w:webHidden/>
          </w:rPr>
          <w:fldChar w:fldCharType="end"/>
        </w:r>
      </w:hyperlink>
    </w:p>
    <w:p w14:paraId="6401425B" w14:textId="07AEA706"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85" w:history="1">
        <w:r w:rsidRPr="00240CB4">
          <w:rPr>
            <w:rStyle w:val="Hyperlink"/>
          </w:rPr>
          <w:t>AASB 136 Impairment of Assets (2022)</w:t>
        </w:r>
        <w:r>
          <w:rPr>
            <w:webHidden/>
          </w:rPr>
          <w:tab/>
        </w:r>
        <w:r>
          <w:rPr>
            <w:webHidden/>
          </w:rPr>
          <w:fldChar w:fldCharType="begin"/>
        </w:r>
        <w:r>
          <w:rPr>
            <w:webHidden/>
          </w:rPr>
          <w:instrText xml:space="preserve"> PAGEREF _Toc223445085 \h </w:instrText>
        </w:r>
        <w:r>
          <w:rPr>
            <w:webHidden/>
          </w:rPr>
        </w:r>
        <w:r>
          <w:rPr>
            <w:webHidden/>
          </w:rPr>
          <w:fldChar w:fldCharType="separate"/>
        </w:r>
        <w:r>
          <w:rPr>
            <w:webHidden/>
          </w:rPr>
          <w:t>71</w:t>
        </w:r>
        <w:r>
          <w:rPr>
            <w:webHidden/>
          </w:rPr>
          <w:fldChar w:fldCharType="end"/>
        </w:r>
      </w:hyperlink>
    </w:p>
    <w:p w14:paraId="1F5B9180" w14:textId="08DC3451"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86" w:history="1">
        <w:r w:rsidRPr="00240CB4">
          <w:rPr>
            <w:rStyle w:val="Hyperlink"/>
          </w:rPr>
          <w:t>AASB 140 Investment Property (2022)</w:t>
        </w:r>
        <w:r>
          <w:rPr>
            <w:webHidden/>
          </w:rPr>
          <w:tab/>
        </w:r>
        <w:r>
          <w:rPr>
            <w:webHidden/>
          </w:rPr>
          <w:fldChar w:fldCharType="begin"/>
        </w:r>
        <w:r>
          <w:rPr>
            <w:webHidden/>
          </w:rPr>
          <w:instrText xml:space="preserve"> PAGEREF _Toc223445086 \h </w:instrText>
        </w:r>
        <w:r>
          <w:rPr>
            <w:webHidden/>
          </w:rPr>
        </w:r>
        <w:r>
          <w:rPr>
            <w:webHidden/>
          </w:rPr>
          <w:fldChar w:fldCharType="separate"/>
        </w:r>
        <w:r>
          <w:rPr>
            <w:webHidden/>
          </w:rPr>
          <w:t>75</w:t>
        </w:r>
        <w:r>
          <w:rPr>
            <w:webHidden/>
          </w:rPr>
          <w:fldChar w:fldCharType="end"/>
        </w:r>
      </w:hyperlink>
    </w:p>
    <w:p w14:paraId="16E99952" w14:textId="74C97287"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87" w:history="1">
        <w:r w:rsidRPr="00240CB4">
          <w:rPr>
            <w:rStyle w:val="Hyperlink"/>
          </w:rPr>
          <w:t>AASB 108 Accounting Policies, Changes in Accounting Estimates and Errors (2021)</w:t>
        </w:r>
        <w:r>
          <w:rPr>
            <w:webHidden/>
          </w:rPr>
          <w:tab/>
        </w:r>
        <w:r>
          <w:rPr>
            <w:webHidden/>
          </w:rPr>
          <w:fldChar w:fldCharType="begin"/>
        </w:r>
        <w:r>
          <w:rPr>
            <w:webHidden/>
          </w:rPr>
          <w:instrText xml:space="preserve"> PAGEREF _Toc223445087 \h </w:instrText>
        </w:r>
        <w:r>
          <w:rPr>
            <w:webHidden/>
          </w:rPr>
        </w:r>
        <w:r>
          <w:rPr>
            <w:webHidden/>
          </w:rPr>
          <w:fldChar w:fldCharType="separate"/>
        </w:r>
        <w:r>
          <w:rPr>
            <w:webHidden/>
          </w:rPr>
          <w:t>81</w:t>
        </w:r>
        <w:r>
          <w:rPr>
            <w:webHidden/>
          </w:rPr>
          <w:fldChar w:fldCharType="end"/>
        </w:r>
      </w:hyperlink>
    </w:p>
    <w:p w14:paraId="1AAB8CA6" w14:textId="5E9866A0"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88" w:history="1">
        <w:r w:rsidRPr="00240CB4">
          <w:rPr>
            <w:rStyle w:val="Hyperlink"/>
          </w:rPr>
          <w:t>AASB 5 Non-current Assets Held for Sale and Discontinued Operations (2022)</w:t>
        </w:r>
        <w:r>
          <w:rPr>
            <w:webHidden/>
          </w:rPr>
          <w:tab/>
        </w:r>
        <w:r>
          <w:rPr>
            <w:webHidden/>
          </w:rPr>
          <w:fldChar w:fldCharType="begin"/>
        </w:r>
        <w:r>
          <w:rPr>
            <w:webHidden/>
          </w:rPr>
          <w:instrText xml:space="preserve"> PAGEREF _Toc223445088 \h </w:instrText>
        </w:r>
        <w:r>
          <w:rPr>
            <w:webHidden/>
          </w:rPr>
        </w:r>
        <w:r>
          <w:rPr>
            <w:webHidden/>
          </w:rPr>
          <w:fldChar w:fldCharType="separate"/>
        </w:r>
        <w:r>
          <w:rPr>
            <w:webHidden/>
          </w:rPr>
          <w:t>85</w:t>
        </w:r>
        <w:r>
          <w:rPr>
            <w:webHidden/>
          </w:rPr>
          <w:fldChar w:fldCharType="end"/>
        </w:r>
      </w:hyperlink>
    </w:p>
    <w:p w14:paraId="423F7613" w14:textId="5555AA4F"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89" w:history="1">
        <w:r w:rsidRPr="00240CB4">
          <w:rPr>
            <w:rStyle w:val="Hyperlink"/>
          </w:rPr>
          <w:t>AASB 137 Provisions, Contingent Liabilities and Contingent Assets (2022)</w:t>
        </w:r>
        <w:r>
          <w:rPr>
            <w:webHidden/>
          </w:rPr>
          <w:tab/>
        </w:r>
        <w:r>
          <w:rPr>
            <w:webHidden/>
          </w:rPr>
          <w:fldChar w:fldCharType="begin"/>
        </w:r>
        <w:r>
          <w:rPr>
            <w:webHidden/>
          </w:rPr>
          <w:instrText xml:space="preserve"> PAGEREF _Toc223445089 \h </w:instrText>
        </w:r>
        <w:r>
          <w:rPr>
            <w:webHidden/>
          </w:rPr>
        </w:r>
        <w:r>
          <w:rPr>
            <w:webHidden/>
          </w:rPr>
          <w:fldChar w:fldCharType="separate"/>
        </w:r>
        <w:r>
          <w:rPr>
            <w:webHidden/>
          </w:rPr>
          <w:t>88</w:t>
        </w:r>
        <w:r>
          <w:rPr>
            <w:webHidden/>
          </w:rPr>
          <w:fldChar w:fldCharType="end"/>
        </w:r>
      </w:hyperlink>
    </w:p>
    <w:p w14:paraId="17A19278" w14:textId="35F1BC48"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90" w:history="1">
        <w:r w:rsidRPr="00240CB4">
          <w:rPr>
            <w:rStyle w:val="Hyperlink"/>
          </w:rPr>
          <w:t>AASB 16 Leases (2022)</w:t>
        </w:r>
        <w:r>
          <w:rPr>
            <w:webHidden/>
          </w:rPr>
          <w:tab/>
        </w:r>
        <w:r>
          <w:rPr>
            <w:webHidden/>
          </w:rPr>
          <w:fldChar w:fldCharType="begin"/>
        </w:r>
        <w:r>
          <w:rPr>
            <w:webHidden/>
          </w:rPr>
          <w:instrText xml:space="preserve"> PAGEREF _Toc223445090 \h </w:instrText>
        </w:r>
        <w:r>
          <w:rPr>
            <w:webHidden/>
          </w:rPr>
        </w:r>
        <w:r>
          <w:rPr>
            <w:webHidden/>
          </w:rPr>
          <w:fldChar w:fldCharType="separate"/>
        </w:r>
        <w:r>
          <w:rPr>
            <w:webHidden/>
          </w:rPr>
          <w:t>92</w:t>
        </w:r>
        <w:r>
          <w:rPr>
            <w:webHidden/>
          </w:rPr>
          <w:fldChar w:fldCharType="end"/>
        </w:r>
      </w:hyperlink>
    </w:p>
    <w:p w14:paraId="2C7CB7B9" w14:textId="0C968FAC"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91" w:history="1">
        <w:r w:rsidRPr="00240CB4">
          <w:rPr>
            <w:rStyle w:val="Hyperlink"/>
          </w:rPr>
          <w:t>AASB 1051 Land Under Roads (2020)</w:t>
        </w:r>
        <w:r>
          <w:rPr>
            <w:webHidden/>
          </w:rPr>
          <w:tab/>
        </w:r>
        <w:r>
          <w:rPr>
            <w:webHidden/>
          </w:rPr>
          <w:fldChar w:fldCharType="begin"/>
        </w:r>
        <w:r>
          <w:rPr>
            <w:webHidden/>
          </w:rPr>
          <w:instrText xml:space="preserve"> PAGEREF _Toc223445091 \h </w:instrText>
        </w:r>
        <w:r>
          <w:rPr>
            <w:webHidden/>
          </w:rPr>
        </w:r>
        <w:r>
          <w:rPr>
            <w:webHidden/>
          </w:rPr>
          <w:fldChar w:fldCharType="separate"/>
        </w:r>
        <w:r>
          <w:rPr>
            <w:webHidden/>
          </w:rPr>
          <w:t>95</w:t>
        </w:r>
        <w:r>
          <w:rPr>
            <w:webHidden/>
          </w:rPr>
          <w:fldChar w:fldCharType="end"/>
        </w:r>
      </w:hyperlink>
    </w:p>
    <w:p w14:paraId="47A0FB8A" w14:textId="6AC255D4" w:rsidR="00B40359" w:rsidRDefault="00B40359">
      <w:pPr>
        <w:pStyle w:val="TOC1"/>
        <w:rPr>
          <w:rFonts w:asciiTheme="minorHAnsi" w:eastAsiaTheme="minorEastAsia" w:hAnsiTheme="minorHAnsi" w:cstheme="minorBidi"/>
          <w:b w:val="0"/>
          <w:noProof/>
          <w:color w:val="auto"/>
          <w:kern w:val="2"/>
          <w:sz w:val="24"/>
          <w:lang w:eastAsia="en-AU"/>
          <w14:ligatures w14:val="standardContextual"/>
        </w:rPr>
      </w:pPr>
      <w:hyperlink w:anchor="_Toc223445092" w:history="1">
        <w:r w:rsidRPr="00240CB4">
          <w:rPr>
            <w:rStyle w:val="Hyperlink"/>
            <w:noProof/>
          </w:rPr>
          <w:t>Attachment B: Guidance on specific asset types</w:t>
        </w:r>
        <w:r>
          <w:rPr>
            <w:noProof/>
            <w:webHidden/>
          </w:rPr>
          <w:tab/>
        </w:r>
        <w:r>
          <w:rPr>
            <w:noProof/>
            <w:webHidden/>
          </w:rPr>
          <w:fldChar w:fldCharType="begin"/>
        </w:r>
        <w:r>
          <w:rPr>
            <w:noProof/>
            <w:webHidden/>
          </w:rPr>
          <w:instrText xml:space="preserve"> PAGEREF _Toc223445092 \h </w:instrText>
        </w:r>
        <w:r>
          <w:rPr>
            <w:noProof/>
            <w:webHidden/>
          </w:rPr>
        </w:r>
        <w:r>
          <w:rPr>
            <w:noProof/>
            <w:webHidden/>
          </w:rPr>
          <w:fldChar w:fldCharType="separate"/>
        </w:r>
        <w:r>
          <w:rPr>
            <w:noProof/>
            <w:webHidden/>
          </w:rPr>
          <w:t>97</w:t>
        </w:r>
        <w:r>
          <w:rPr>
            <w:noProof/>
            <w:webHidden/>
          </w:rPr>
          <w:fldChar w:fldCharType="end"/>
        </w:r>
      </w:hyperlink>
    </w:p>
    <w:p w14:paraId="05DEB3FB" w14:textId="524EEDA8"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93" w:history="1">
        <w:r w:rsidRPr="00240CB4">
          <w:rPr>
            <w:rStyle w:val="Hyperlink"/>
          </w:rPr>
          <w:t>Jurisdictional rules</w:t>
        </w:r>
        <w:r>
          <w:rPr>
            <w:webHidden/>
          </w:rPr>
          <w:tab/>
        </w:r>
        <w:r>
          <w:rPr>
            <w:webHidden/>
          </w:rPr>
          <w:fldChar w:fldCharType="begin"/>
        </w:r>
        <w:r>
          <w:rPr>
            <w:webHidden/>
          </w:rPr>
          <w:instrText xml:space="preserve"> PAGEREF _Toc223445093 \h </w:instrText>
        </w:r>
        <w:r>
          <w:rPr>
            <w:webHidden/>
          </w:rPr>
        </w:r>
        <w:r>
          <w:rPr>
            <w:webHidden/>
          </w:rPr>
          <w:fldChar w:fldCharType="separate"/>
        </w:r>
        <w:r>
          <w:rPr>
            <w:webHidden/>
          </w:rPr>
          <w:t>98</w:t>
        </w:r>
        <w:r>
          <w:rPr>
            <w:webHidden/>
          </w:rPr>
          <w:fldChar w:fldCharType="end"/>
        </w:r>
      </w:hyperlink>
    </w:p>
    <w:p w14:paraId="4BAB454D" w14:textId="58265967"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94" w:history="1">
        <w:r w:rsidRPr="00240CB4">
          <w:rPr>
            <w:rStyle w:val="Hyperlink"/>
          </w:rPr>
          <w:t>Land</w:t>
        </w:r>
        <w:r>
          <w:rPr>
            <w:webHidden/>
          </w:rPr>
          <w:tab/>
        </w:r>
        <w:r>
          <w:rPr>
            <w:webHidden/>
          </w:rPr>
          <w:fldChar w:fldCharType="begin"/>
        </w:r>
        <w:r>
          <w:rPr>
            <w:webHidden/>
          </w:rPr>
          <w:instrText xml:space="preserve"> PAGEREF _Toc223445094 \h </w:instrText>
        </w:r>
        <w:r>
          <w:rPr>
            <w:webHidden/>
          </w:rPr>
        </w:r>
        <w:r>
          <w:rPr>
            <w:webHidden/>
          </w:rPr>
          <w:fldChar w:fldCharType="separate"/>
        </w:r>
        <w:r>
          <w:rPr>
            <w:webHidden/>
          </w:rPr>
          <w:t>102</w:t>
        </w:r>
        <w:r>
          <w:rPr>
            <w:webHidden/>
          </w:rPr>
          <w:fldChar w:fldCharType="end"/>
        </w:r>
      </w:hyperlink>
    </w:p>
    <w:p w14:paraId="048E7FC1" w14:textId="151DCEFA"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95" w:history="1">
        <w:r w:rsidRPr="00240CB4">
          <w:rPr>
            <w:rStyle w:val="Hyperlink"/>
          </w:rPr>
          <w:t>Buildings</w:t>
        </w:r>
        <w:r>
          <w:rPr>
            <w:webHidden/>
          </w:rPr>
          <w:tab/>
        </w:r>
        <w:r>
          <w:rPr>
            <w:webHidden/>
          </w:rPr>
          <w:fldChar w:fldCharType="begin"/>
        </w:r>
        <w:r>
          <w:rPr>
            <w:webHidden/>
          </w:rPr>
          <w:instrText xml:space="preserve"> PAGEREF _Toc223445095 \h </w:instrText>
        </w:r>
        <w:r>
          <w:rPr>
            <w:webHidden/>
          </w:rPr>
        </w:r>
        <w:r>
          <w:rPr>
            <w:webHidden/>
          </w:rPr>
          <w:fldChar w:fldCharType="separate"/>
        </w:r>
        <w:r>
          <w:rPr>
            <w:webHidden/>
          </w:rPr>
          <w:t>104</w:t>
        </w:r>
        <w:r>
          <w:rPr>
            <w:webHidden/>
          </w:rPr>
          <w:fldChar w:fldCharType="end"/>
        </w:r>
      </w:hyperlink>
    </w:p>
    <w:p w14:paraId="69C7CE5A" w14:textId="38B096C3"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96" w:history="1">
        <w:r w:rsidRPr="00240CB4">
          <w:rPr>
            <w:rStyle w:val="Hyperlink"/>
          </w:rPr>
          <w:t>Infrastructure</w:t>
        </w:r>
        <w:r>
          <w:rPr>
            <w:webHidden/>
          </w:rPr>
          <w:tab/>
        </w:r>
        <w:r>
          <w:rPr>
            <w:webHidden/>
          </w:rPr>
          <w:fldChar w:fldCharType="begin"/>
        </w:r>
        <w:r>
          <w:rPr>
            <w:webHidden/>
          </w:rPr>
          <w:instrText xml:space="preserve"> PAGEREF _Toc223445096 \h </w:instrText>
        </w:r>
        <w:r>
          <w:rPr>
            <w:webHidden/>
          </w:rPr>
        </w:r>
        <w:r>
          <w:rPr>
            <w:webHidden/>
          </w:rPr>
          <w:fldChar w:fldCharType="separate"/>
        </w:r>
        <w:r>
          <w:rPr>
            <w:webHidden/>
          </w:rPr>
          <w:t>104</w:t>
        </w:r>
        <w:r>
          <w:rPr>
            <w:webHidden/>
          </w:rPr>
          <w:fldChar w:fldCharType="end"/>
        </w:r>
      </w:hyperlink>
    </w:p>
    <w:p w14:paraId="31443839" w14:textId="01688CF1"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97" w:history="1">
        <w:r w:rsidRPr="00240CB4">
          <w:rPr>
            <w:rStyle w:val="Hyperlink"/>
          </w:rPr>
          <w:t>Plant and equipment</w:t>
        </w:r>
        <w:r>
          <w:rPr>
            <w:webHidden/>
          </w:rPr>
          <w:tab/>
        </w:r>
        <w:r>
          <w:rPr>
            <w:webHidden/>
          </w:rPr>
          <w:fldChar w:fldCharType="begin"/>
        </w:r>
        <w:r>
          <w:rPr>
            <w:webHidden/>
          </w:rPr>
          <w:instrText xml:space="preserve"> PAGEREF _Toc223445097 \h </w:instrText>
        </w:r>
        <w:r>
          <w:rPr>
            <w:webHidden/>
          </w:rPr>
        </w:r>
        <w:r>
          <w:rPr>
            <w:webHidden/>
          </w:rPr>
          <w:fldChar w:fldCharType="separate"/>
        </w:r>
        <w:r>
          <w:rPr>
            <w:webHidden/>
          </w:rPr>
          <w:t>105</w:t>
        </w:r>
        <w:r>
          <w:rPr>
            <w:webHidden/>
          </w:rPr>
          <w:fldChar w:fldCharType="end"/>
        </w:r>
      </w:hyperlink>
    </w:p>
    <w:p w14:paraId="212DC145" w14:textId="7913B948"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98" w:history="1">
        <w:r w:rsidRPr="00240CB4">
          <w:rPr>
            <w:rStyle w:val="Hyperlink"/>
          </w:rPr>
          <w:t>Landfills</w:t>
        </w:r>
        <w:r>
          <w:rPr>
            <w:webHidden/>
          </w:rPr>
          <w:tab/>
        </w:r>
        <w:r>
          <w:rPr>
            <w:webHidden/>
          </w:rPr>
          <w:fldChar w:fldCharType="begin"/>
        </w:r>
        <w:r>
          <w:rPr>
            <w:webHidden/>
          </w:rPr>
          <w:instrText xml:space="preserve"> PAGEREF _Toc223445098 \h </w:instrText>
        </w:r>
        <w:r>
          <w:rPr>
            <w:webHidden/>
          </w:rPr>
        </w:r>
        <w:r>
          <w:rPr>
            <w:webHidden/>
          </w:rPr>
          <w:fldChar w:fldCharType="separate"/>
        </w:r>
        <w:r>
          <w:rPr>
            <w:webHidden/>
          </w:rPr>
          <w:t>106</w:t>
        </w:r>
        <w:r>
          <w:rPr>
            <w:webHidden/>
          </w:rPr>
          <w:fldChar w:fldCharType="end"/>
        </w:r>
      </w:hyperlink>
    </w:p>
    <w:p w14:paraId="735C3062" w14:textId="21D64DC1"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099" w:history="1">
        <w:r w:rsidRPr="00240CB4">
          <w:rPr>
            <w:rStyle w:val="Hyperlink"/>
          </w:rPr>
          <w:t>Crossovers</w:t>
        </w:r>
        <w:r>
          <w:rPr>
            <w:webHidden/>
          </w:rPr>
          <w:tab/>
        </w:r>
        <w:r>
          <w:rPr>
            <w:webHidden/>
          </w:rPr>
          <w:fldChar w:fldCharType="begin"/>
        </w:r>
        <w:r>
          <w:rPr>
            <w:webHidden/>
          </w:rPr>
          <w:instrText xml:space="preserve"> PAGEREF _Toc223445099 \h </w:instrText>
        </w:r>
        <w:r>
          <w:rPr>
            <w:webHidden/>
          </w:rPr>
        </w:r>
        <w:r>
          <w:rPr>
            <w:webHidden/>
          </w:rPr>
          <w:fldChar w:fldCharType="separate"/>
        </w:r>
        <w:r>
          <w:rPr>
            <w:webHidden/>
          </w:rPr>
          <w:t>111</w:t>
        </w:r>
        <w:r>
          <w:rPr>
            <w:webHidden/>
          </w:rPr>
          <w:fldChar w:fldCharType="end"/>
        </w:r>
      </w:hyperlink>
    </w:p>
    <w:p w14:paraId="32B901E9" w14:textId="670DCFF1" w:rsidR="00B40359" w:rsidRDefault="00B40359">
      <w:pPr>
        <w:pStyle w:val="TOC1"/>
        <w:rPr>
          <w:rFonts w:asciiTheme="minorHAnsi" w:eastAsiaTheme="minorEastAsia" w:hAnsiTheme="minorHAnsi" w:cstheme="minorBidi"/>
          <w:b w:val="0"/>
          <w:noProof/>
          <w:color w:val="auto"/>
          <w:kern w:val="2"/>
          <w:sz w:val="24"/>
          <w:lang w:eastAsia="en-AU"/>
          <w14:ligatures w14:val="standardContextual"/>
        </w:rPr>
      </w:pPr>
      <w:hyperlink w:anchor="_Toc223445100" w:history="1">
        <w:r w:rsidRPr="00240CB4">
          <w:rPr>
            <w:rStyle w:val="Hyperlink"/>
            <w:noProof/>
          </w:rPr>
          <w:t>Attachment C: Pro-forma RFQ specifications</w:t>
        </w:r>
        <w:r>
          <w:rPr>
            <w:noProof/>
            <w:webHidden/>
          </w:rPr>
          <w:tab/>
        </w:r>
        <w:r>
          <w:rPr>
            <w:noProof/>
            <w:webHidden/>
          </w:rPr>
          <w:fldChar w:fldCharType="begin"/>
        </w:r>
        <w:r>
          <w:rPr>
            <w:noProof/>
            <w:webHidden/>
          </w:rPr>
          <w:instrText xml:space="preserve"> PAGEREF _Toc223445100 \h </w:instrText>
        </w:r>
        <w:r>
          <w:rPr>
            <w:noProof/>
            <w:webHidden/>
          </w:rPr>
        </w:r>
        <w:r>
          <w:rPr>
            <w:noProof/>
            <w:webHidden/>
          </w:rPr>
          <w:fldChar w:fldCharType="separate"/>
        </w:r>
        <w:r>
          <w:rPr>
            <w:noProof/>
            <w:webHidden/>
          </w:rPr>
          <w:t>116</w:t>
        </w:r>
        <w:r>
          <w:rPr>
            <w:noProof/>
            <w:webHidden/>
          </w:rPr>
          <w:fldChar w:fldCharType="end"/>
        </w:r>
      </w:hyperlink>
    </w:p>
    <w:p w14:paraId="7E8B071B" w14:textId="4F1A1A67"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101" w:history="1">
        <w:r w:rsidRPr="00240CB4">
          <w:rPr>
            <w:rStyle w:val="Hyperlink"/>
          </w:rPr>
          <w:t>Option 1: Valuation delivered by external valuers</w:t>
        </w:r>
        <w:r>
          <w:rPr>
            <w:webHidden/>
          </w:rPr>
          <w:tab/>
        </w:r>
        <w:r>
          <w:rPr>
            <w:webHidden/>
          </w:rPr>
          <w:fldChar w:fldCharType="begin"/>
        </w:r>
        <w:r>
          <w:rPr>
            <w:webHidden/>
          </w:rPr>
          <w:instrText xml:space="preserve"> PAGEREF _Toc223445101 \h </w:instrText>
        </w:r>
        <w:r>
          <w:rPr>
            <w:webHidden/>
          </w:rPr>
        </w:r>
        <w:r>
          <w:rPr>
            <w:webHidden/>
          </w:rPr>
          <w:fldChar w:fldCharType="separate"/>
        </w:r>
        <w:r>
          <w:rPr>
            <w:webHidden/>
          </w:rPr>
          <w:t>117</w:t>
        </w:r>
        <w:r>
          <w:rPr>
            <w:webHidden/>
          </w:rPr>
          <w:fldChar w:fldCharType="end"/>
        </w:r>
      </w:hyperlink>
    </w:p>
    <w:p w14:paraId="369C913E" w14:textId="6E2B816A" w:rsidR="00B40359" w:rsidRDefault="00B40359">
      <w:pPr>
        <w:pStyle w:val="TOC2"/>
        <w:rPr>
          <w:rFonts w:asciiTheme="minorHAnsi" w:eastAsiaTheme="minorEastAsia" w:hAnsiTheme="minorHAnsi" w:cstheme="minorBidi"/>
          <w:b w:val="0"/>
          <w:color w:val="auto"/>
          <w:kern w:val="2"/>
          <w:lang w:eastAsia="en-AU"/>
          <w14:ligatures w14:val="standardContextual"/>
        </w:rPr>
      </w:pPr>
      <w:hyperlink w:anchor="_Toc223445102" w:history="1">
        <w:r w:rsidRPr="00240CB4">
          <w:rPr>
            <w:rStyle w:val="Hyperlink"/>
          </w:rPr>
          <w:t>Option 2: Collaborative approach to build internal capability</w:t>
        </w:r>
        <w:r>
          <w:rPr>
            <w:webHidden/>
          </w:rPr>
          <w:tab/>
        </w:r>
        <w:r>
          <w:rPr>
            <w:webHidden/>
          </w:rPr>
          <w:fldChar w:fldCharType="begin"/>
        </w:r>
        <w:r>
          <w:rPr>
            <w:webHidden/>
          </w:rPr>
          <w:instrText xml:space="preserve"> PAGEREF _Toc223445102 \h </w:instrText>
        </w:r>
        <w:r>
          <w:rPr>
            <w:webHidden/>
          </w:rPr>
        </w:r>
        <w:r>
          <w:rPr>
            <w:webHidden/>
          </w:rPr>
          <w:fldChar w:fldCharType="separate"/>
        </w:r>
        <w:r>
          <w:rPr>
            <w:webHidden/>
          </w:rPr>
          <w:t>131</w:t>
        </w:r>
        <w:r>
          <w:rPr>
            <w:webHidden/>
          </w:rPr>
          <w:fldChar w:fldCharType="end"/>
        </w:r>
      </w:hyperlink>
    </w:p>
    <w:p w14:paraId="2F7CC9DF" w14:textId="1795491C" w:rsidR="00B40359" w:rsidRDefault="00B40359">
      <w:pPr>
        <w:pStyle w:val="TOC1"/>
        <w:rPr>
          <w:rFonts w:asciiTheme="minorHAnsi" w:eastAsiaTheme="minorEastAsia" w:hAnsiTheme="minorHAnsi" w:cstheme="minorBidi"/>
          <w:b w:val="0"/>
          <w:noProof/>
          <w:color w:val="auto"/>
          <w:kern w:val="2"/>
          <w:sz w:val="24"/>
          <w:lang w:eastAsia="en-AU"/>
          <w14:ligatures w14:val="standardContextual"/>
        </w:rPr>
      </w:pPr>
      <w:hyperlink w:anchor="_Toc223445103" w:history="1">
        <w:r w:rsidRPr="00240CB4">
          <w:rPr>
            <w:rStyle w:val="Hyperlink"/>
            <w:noProof/>
          </w:rPr>
          <w:t>References</w:t>
        </w:r>
        <w:r>
          <w:rPr>
            <w:noProof/>
            <w:webHidden/>
          </w:rPr>
          <w:tab/>
        </w:r>
        <w:r>
          <w:rPr>
            <w:noProof/>
            <w:webHidden/>
          </w:rPr>
          <w:fldChar w:fldCharType="begin"/>
        </w:r>
        <w:r>
          <w:rPr>
            <w:noProof/>
            <w:webHidden/>
          </w:rPr>
          <w:instrText xml:space="preserve"> PAGEREF _Toc223445103 \h </w:instrText>
        </w:r>
        <w:r>
          <w:rPr>
            <w:noProof/>
            <w:webHidden/>
          </w:rPr>
        </w:r>
        <w:r>
          <w:rPr>
            <w:noProof/>
            <w:webHidden/>
          </w:rPr>
          <w:fldChar w:fldCharType="separate"/>
        </w:r>
        <w:r>
          <w:rPr>
            <w:noProof/>
            <w:webHidden/>
          </w:rPr>
          <w:t>134</w:t>
        </w:r>
        <w:r>
          <w:rPr>
            <w:noProof/>
            <w:webHidden/>
          </w:rPr>
          <w:fldChar w:fldCharType="end"/>
        </w:r>
      </w:hyperlink>
    </w:p>
    <w:p w14:paraId="1A4ED67C" w14:textId="61593B63" w:rsidR="00C13A96" w:rsidRPr="000B3BDE" w:rsidRDefault="00C13A96" w:rsidP="00D70B5C">
      <w:pPr>
        <w:pStyle w:val="BodyText"/>
        <w:sectPr w:rsidR="00C13A96" w:rsidRPr="000B3BDE" w:rsidSect="00250839">
          <w:footerReference w:type="default" r:id="rId16"/>
          <w:pgSz w:w="11900" w:h="16840" w:code="9"/>
          <w:pgMar w:top="1926" w:right="1134" w:bottom="1134" w:left="1134" w:header="567" w:footer="141" w:gutter="0"/>
          <w:pgNumType w:fmt="lowerRoman"/>
          <w:cols w:space="567"/>
          <w:docGrid w:linePitch="326"/>
        </w:sectPr>
      </w:pPr>
      <w:r w:rsidRPr="00240EE5">
        <w:fldChar w:fldCharType="end"/>
      </w:r>
    </w:p>
    <w:p w14:paraId="79D8830C" w14:textId="77777777" w:rsidR="00387651" w:rsidRPr="00D41449" w:rsidRDefault="00387651" w:rsidP="00DA4F4D">
      <w:pPr>
        <w:pStyle w:val="Heading2"/>
      </w:pPr>
      <w:bookmarkStart w:id="4" w:name="_Toc207722712"/>
      <w:bookmarkStart w:id="5" w:name="_Toc502146109"/>
      <w:bookmarkStart w:id="6" w:name="_Hlk504552460"/>
      <w:bookmarkStart w:id="7" w:name="_Toc223445051"/>
      <w:r w:rsidRPr="00B87E37">
        <w:lastRenderedPageBreak/>
        <w:t>Preface and acknowledgments</w:t>
      </w:r>
      <w:bookmarkEnd w:id="7"/>
    </w:p>
    <w:p w14:paraId="573C8C05" w14:textId="77777777" w:rsidR="00F31917" w:rsidRPr="00D41449" w:rsidRDefault="00F31917" w:rsidP="00F31917">
      <w:pPr>
        <w:pStyle w:val="BodyText"/>
      </w:pPr>
      <w:r>
        <w:t>T</w:t>
      </w:r>
      <w:r w:rsidRPr="00D41449">
        <w:t xml:space="preserve">he </w:t>
      </w:r>
      <w:r>
        <w:t xml:space="preserve">Guidelines have been developed following </w:t>
      </w:r>
      <w:r w:rsidRPr="00D41449">
        <w:t>extensive consultation with sector bodies</w:t>
      </w:r>
      <w:r>
        <w:t>, which identified a need for clear and consistent advice</w:t>
      </w:r>
      <w:r w:rsidRPr="00D41449">
        <w:t xml:space="preserve">. </w:t>
      </w:r>
      <w:r w:rsidRPr="00E1006C">
        <w:rPr>
          <w:lang w:val="en-AU"/>
        </w:rPr>
        <w:t xml:space="preserve">They are the culmination of stakeholder engagement that included the </w:t>
      </w:r>
      <w:r w:rsidRPr="00D41449">
        <w:t>OAG, WALGA and LG</w:t>
      </w:r>
      <w:r>
        <w:t xml:space="preserve"> Pro</w:t>
      </w:r>
      <w:r w:rsidRPr="00D41449">
        <w:t>.</w:t>
      </w:r>
    </w:p>
    <w:p w14:paraId="47DA9BF9" w14:textId="173E23A6" w:rsidR="00387651" w:rsidRPr="00D41449" w:rsidRDefault="00F31917" w:rsidP="00D70B5C">
      <w:pPr>
        <w:pStyle w:val="BodyText"/>
      </w:pPr>
      <w:r>
        <w:t>Through the</w:t>
      </w:r>
      <w:r w:rsidRPr="00D41449">
        <w:t xml:space="preserve"> Local Government Minister’s Forum, WA </w:t>
      </w:r>
      <w:r>
        <w:t>was</w:t>
      </w:r>
      <w:r w:rsidRPr="00D41449">
        <w:t xml:space="preserve"> </w:t>
      </w:r>
      <w:r>
        <w:t>asked</w:t>
      </w:r>
      <w:r w:rsidRPr="00D41449">
        <w:t xml:space="preserve"> to lead the development of nationally consistent </w:t>
      </w:r>
      <w:r>
        <w:t>g</w:t>
      </w:r>
      <w:r w:rsidRPr="00D41449">
        <w:t xml:space="preserve">uidelines for the valuation of local government non-financial assets in accordance with the AAS. </w:t>
      </w:r>
      <w:r w:rsidR="00387651">
        <w:t>LGIRS has developed t</w:t>
      </w:r>
      <w:r w:rsidR="00387651" w:rsidRPr="00D41449">
        <w:t xml:space="preserve">he Guidelines as a resource to </w:t>
      </w:r>
      <w:r w:rsidR="00387651">
        <w:t>support</w:t>
      </w:r>
      <w:r w:rsidR="00387651" w:rsidRPr="00D41449">
        <w:t xml:space="preserve"> greater consistency in the sector with a specific focus on: </w:t>
      </w:r>
    </w:p>
    <w:p w14:paraId="289E6D89" w14:textId="77777777" w:rsidR="00387651" w:rsidRPr="00D41449" w:rsidRDefault="00387651" w:rsidP="00D70B5C">
      <w:pPr>
        <w:pStyle w:val="BodyText"/>
        <w:numPr>
          <w:ilvl w:val="0"/>
          <w:numId w:val="6"/>
        </w:numPr>
        <w:rPr>
          <w:color w:val="000000"/>
        </w:rPr>
      </w:pPr>
      <w:r w:rsidRPr="00D41449">
        <w:t xml:space="preserve">guidelines on methodologies to be used in valuing non-financial assets in accordance with AAS </w:t>
      </w:r>
    </w:p>
    <w:p w14:paraId="60DCDE95" w14:textId="77777777" w:rsidR="00387651" w:rsidRPr="00D41449" w:rsidRDefault="00387651" w:rsidP="00D70B5C">
      <w:pPr>
        <w:pStyle w:val="BodyText"/>
        <w:numPr>
          <w:ilvl w:val="0"/>
          <w:numId w:val="6"/>
        </w:numPr>
        <w:rPr>
          <w:color w:val="000000"/>
        </w:rPr>
      </w:pPr>
      <w:r w:rsidRPr="00D41449">
        <w:t>a model scope of works to be used when engaging contractors to undertake revaluations of non-financial assets</w:t>
      </w:r>
    </w:p>
    <w:p w14:paraId="1453F4B7" w14:textId="77777777" w:rsidR="00387651" w:rsidRPr="00D41449" w:rsidRDefault="00387651" w:rsidP="00D70B5C">
      <w:pPr>
        <w:pStyle w:val="BodyText"/>
        <w:numPr>
          <w:ilvl w:val="0"/>
          <w:numId w:val="6"/>
        </w:numPr>
        <w:rPr>
          <w:color w:val="000000"/>
        </w:rPr>
      </w:pPr>
      <w:r w:rsidRPr="00D41449">
        <w:t xml:space="preserve">guidelines on reviewing assumptions used by a contract valuer. </w:t>
      </w:r>
    </w:p>
    <w:p w14:paraId="73DFCA3F" w14:textId="77777777" w:rsidR="00387651" w:rsidRPr="00D41449" w:rsidRDefault="00387651" w:rsidP="00D70B5C">
      <w:pPr>
        <w:pStyle w:val="BodyText"/>
      </w:pPr>
      <w:r w:rsidRPr="00D41449">
        <w:t xml:space="preserve">The </w:t>
      </w:r>
      <w:r>
        <w:t xml:space="preserve">first section of the </w:t>
      </w:r>
      <w:r w:rsidRPr="00D41449">
        <w:t xml:space="preserve">Guidelines </w:t>
      </w:r>
      <w:r>
        <w:t>has been developed specifically</w:t>
      </w:r>
      <w:r w:rsidRPr="00D41449">
        <w:t xml:space="preserve"> for WA</w:t>
      </w:r>
      <w:r>
        <w:t>. It</w:t>
      </w:r>
      <w:r w:rsidRPr="00D41449">
        <w:t xml:space="preserve"> provide</w:t>
      </w:r>
      <w:r>
        <w:t>s</w:t>
      </w:r>
      <w:r w:rsidRPr="00D41449">
        <w:t xml:space="preserve"> direction for the application of recent legislative changes </w:t>
      </w:r>
      <w:r>
        <w:t xml:space="preserve">for </w:t>
      </w:r>
      <w:r w:rsidRPr="00D41449">
        <w:t xml:space="preserve">asset valuations. The WA legislation’s application prevails over inconsistencies with AAS. Consequently, the WA specific guidance helps ensure the legislative compliance of asset valuations. </w:t>
      </w:r>
    </w:p>
    <w:p w14:paraId="30170834" w14:textId="36E556C2" w:rsidR="00387651" w:rsidRPr="00D41449" w:rsidRDefault="00387651" w:rsidP="00D70B5C">
      <w:pPr>
        <w:pStyle w:val="BodyText"/>
      </w:pPr>
      <w:r w:rsidRPr="00D41449">
        <w:t xml:space="preserve">The </w:t>
      </w:r>
      <w:r>
        <w:t>rest of</w:t>
      </w:r>
      <w:r w:rsidRPr="00D41449">
        <w:t xml:space="preserve"> the Guidelines </w:t>
      </w:r>
      <w:r>
        <w:t>are</w:t>
      </w:r>
      <w:r w:rsidRPr="00D41449">
        <w:t xml:space="preserve"> gener</w:t>
      </w:r>
      <w:r>
        <w:t>al</w:t>
      </w:r>
      <w:r w:rsidRPr="00D41449">
        <w:t xml:space="preserve"> in nature and focus on compliance of asset valuations with AAS</w:t>
      </w:r>
      <w:r>
        <w:t xml:space="preserve"> and valuation practice.</w:t>
      </w:r>
      <w:r w:rsidRPr="00D41449">
        <w:t xml:space="preserve"> Other jurisdictions may add sections to the Guidelines to provide territory specific legal direction to local governments in their area. This may be needed if territory specific legal stipulations override AAS.</w:t>
      </w:r>
    </w:p>
    <w:p w14:paraId="7EA2883B" w14:textId="7B29E0D0" w:rsidR="00387651" w:rsidRPr="00D41449" w:rsidRDefault="00387651" w:rsidP="00D70B5C">
      <w:pPr>
        <w:pStyle w:val="BodyText"/>
      </w:pPr>
      <w:r>
        <w:t xml:space="preserve">The Guidelines have been developed in collaboration with stakeholders. </w:t>
      </w:r>
      <w:r w:rsidRPr="00D41449">
        <w:t>LGIRS acknowledge</w:t>
      </w:r>
      <w:r>
        <w:t>s</w:t>
      </w:r>
      <w:r w:rsidRPr="00D41449">
        <w:t xml:space="preserve"> the </w:t>
      </w:r>
      <w:r>
        <w:t>contributions</w:t>
      </w:r>
      <w:r w:rsidRPr="00D41449">
        <w:t xml:space="preserve"> </w:t>
      </w:r>
      <w:r>
        <w:t>from</w:t>
      </w:r>
      <w:r w:rsidRPr="00D41449">
        <w:t xml:space="preserve">:  </w:t>
      </w:r>
    </w:p>
    <w:p w14:paraId="3C513B5E" w14:textId="77777777" w:rsidR="00387651" w:rsidRPr="00D41449" w:rsidRDefault="00387651" w:rsidP="00D70B5C">
      <w:pPr>
        <w:pStyle w:val="BodyText"/>
        <w:numPr>
          <w:ilvl w:val="0"/>
          <w:numId w:val="7"/>
        </w:numPr>
      </w:pPr>
      <w:r w:rsidRPr="00D41449">
        <w:t>N</w:t>
      </w:r>
      <w:r>
        <w:t xml:space="preserve">orthern </w:t>
      </w:r>
      <w:r w:rsidRPr="00D41449">
        <w:t>T</w:t>
      </w:r>
      <w:r>
        <w:t>erritory</w:t>
      </w:r>
      <w:r w:rsidRPr="00D41449">
        <w:t xml:space="preserve"> Local Government Unit</w:t>
      </w:r>
      <w:r>
        <w:t>,</w:t>
      </w:r>
      <w:r w:rsidRPr="00D41449">
        <w:t xml:space="preserve"> Department of the Chief Minister and Cabinet</w:t>
      </w:r>
    </w:p>
    <w:p w14:paraId="135F4969" w14:textId="21A7AEDF" w:rsidR="00387651" w:rsidRPr="00D41449" w:rsidRDefault="00387651" w:rsidP="00D70B5C">
      <w:pPr>
        <w:pStyle w:val="BodyText"/>
        <w:numPr>
          <w:ilvl w:val="0"/>
          <w:numId w:val="7"/>
        </w:numPr>
      </w:pPr>
      <w:r w:rsidRPr="00D41449">
        <w:t>Tasmania Local Government</w:t>
      </w:r>
      <w:r>
        <w:t>,</w:t>
      </w:r>
      <w:r w:rsidRPr="00D41449">
        <w:t xml:space="preserve"> Minister for Local Government</w:t>
      </w:r>
    </w:p>
    <w:p w14:paraId="499006D4" w14:textId="77587629" w:rsidR="00387651" w:rsidRPr="00D41449" w:rsidRDefault="00387651" w:rsidP="00D70B5C">
      <w:pPr>
        <w:pStyle w:val="BodyText"/>
        <w:numPr>
          <w:ilvl w:val="0"/>
          <w:numId w:val="7"/>
        </w:numPr>
      </w:pPr>
      <w:r w:rsidRPr="00D41449">
        <w:t>Victoria Local Government</w:t>
      </w:r>
      <w:r>
        <w:t>,</w:t>
      </w:r>
      <w:r w:rsidRPr="00D41449">
        <w:t xml:space="preserve"> Minister for Local Government</w:t>
      </w:r>
    </w:p>
    <w:p w14:paraId="3562CA02" w14:textId="77777777" w:rsidR="00387651" w:rsidRPr="00D41449" w:rsidRDefault="00387651" w:rsidP="00D70B5C">
      <w:pPr>
        <w:pStyle w:val="BodyText"/>
        <w:numPr>
          <w:ilvl w:val="0"/>
          <w:numId w:val="7"/>
        </w:numPr>
      </w:pPr>
      <w:r w:rsidRPr="00D41449">
        <w:t>OAG</w:t>
      </w:r>
    </w:p>
    <w:p w14:paraId="29EC8426" w14:textId="77777777" w:rsidR="00387651" w:rsidRPr="00D41449" w:rsidRDefault="00387651" w:rsidP="00D70B5C">
      <w:pPr>
        <w:pStyle w:val="BodyText"/>
        <w:numPr>
          <w:ilvl w:val="0"/>
          <w:numId w:val="7"/>
        </w:numPr>
      </w:pPr>
      <w:r w:rsidRPr="00D41449">
        <w:t>Institute of Public Works Engineers Association (IPWEA) WA</w:t>
      </w:r>
    </w:p>
    <w:p w14:paraId="71965BFA" w14:textId="77777777" w:rsidR="00387651" w:rsidRPr="00D41449" w:rsidRDefault="00387651" w:rsidP="00D70B5C">
      <w:pPr>
        <w:pStyle w:val="BodyText"/>
        <w:numPr>
          <w:ilvl w:val="0"/>
          <w:numId w:val="7"/>
        </w:numPr>
      </w:pPr>
      <w:r w:rsidRPr="00D41449">
        <w:t>WALGA</w:t>
      </w:r>
    </w:p>
    <w:p w14:paraId="30536C2C" w14:textId="77777777" w:rsidR="00387651" w:rsidRPr="00D41449" w:rsidRDefault="00387651" w:rsidP="00D70B5C">
      <w:pPr>
        <w:pStyle w:val="BodyText"/>
        <w:numPr>
          <w:ilvl w:val="0"/>
          <w:numId w:val="8"/>
        </w:numPr>
      </w:pPr>
      <w:r w:rsidRPr="00D41449">
        <w:t>WA Treasury Corporation (WATC)</w:t>
      </w:r>
    </w:p>
    <w:p w14:paraId="0B69B29F" w14:textId="77777777" w:rsidR="00387651" w:rsidRDefault="00387651" w:rsidP="00D70B5C">
      <w:pPr>
        <w:pStyle w:val="BodyText"/>
        <w:numPr>
          <w:ilvl w:val="0"/>
          <w:numId w:val="8"/>
        </w:numPr>
      </w:pPr>
      <w:r w:rsidRPr="00D41449">
        <w:t>LG Pro.</w:t>
      </w:r>
    </w:p>
    <w:p w14:paraId="3C162256" w14:textId="0F22F21D" w:rsidR="00146F51" w:rsidRPr="00D41449" w:rsidRDefault="00146F51" w:rsidP="00D70B5C">
      <w:pPr>
        <w:pStyle w:val="BodyText"/>
      </w:pPr>
      <w:r>
        <w:t>LGIRS also acknowledges Anton Prinsloo for his time and dedication in developing this document.</w:t>
      </w:r>
    </w:p>
    <w:p w14:paraId="69F09B7A" w14:textId="10E0F0A9" w:rsidR="003F1A19" w:rsidRPr="002936F0" w:rsidRDefault="00387651" w:rsidP="002936F0">
      <w:pPr>
        <w:pStyle w:val="Heading1"/>
        <w:rPr>
          <w:szCs w:val="42"/>
        </w:rPr>
      </w:pPr>
      <w:r>
        <w:br w:type="page"/>
      </w:r>
      <w:bookmarkStart w:id="8" w:name="_Toc223445052"/>
      <w:r w:rsidR="003F1A19" w:rsidRPr="002936F0">
        <w:rPr>
          <w:szCs w:val="42"/>
        </w:rPr>
        <w:lastRenderedPageBreak/>
        <w:t>Brief introduction</w:t>
      </w:r>
      <w:bookmarkEnd w:id="4"/>
      <w:bookmarkEnd w:id="8"/>
    </w:p>
    <w:p w14:paraId="4E8987DD" w14:textId="77777777" w:rsidR="003F1A19" w:rsidRPr="0038739C" w:rsidRDefault="003F1A19" w:rsidP="009115E8">
      <w:pPr>
        <w:pStyle w:val="Heading4"/>
      </w:pPr>
      <w:r w:rsidRPr="0038739C">
        <w:t>Challenges</w:t>
      </w:r>
    </w:p>
    <w:p w14:paraId="0D2DFC62" w14:textId="77777777" w:rsidR="003F1A19" w:rsidRPr="0038739C" w:rsidRDefault="003F1A19" w:rsidP="00D70B5C">
      <w:pPr>
        <w:pStyle w:val="BodyText"/>
      </w:pPr>
      <w:r w:rsidRPr="0038739C">
        <w:t>From a national perspective the Guidelines will assist with the following challenges:</w:t>
      </w:r>
    </w:p>
    <w:tbl>
      <w:tblPr>
        <w:tblStyle w:val="TableGrid"/>
        <w:tblW w:w="9639" w:type="dxa"/>
        <w:tblLook w:val="04A0" w:firstRow="1" w:lastRow="0" w:firstColumn="1" w:lastColumn="0" w:noHBand="0" w:noVBand="1"/>
      </w:tblPr>
      <w:tblGrid>
        <w:gridCol w:w="3614"/>
        <w:gridCol w:w="3615"/>
        <w:gridCol w:w="2410"/>
      </w:tblGrid>
      <w:tr w:rsidR="003F1A19" w:rsidRPr="002D63C0" w14:paraId="059B049E" w14:textId="77777777">
        <w:trPr>
          <w:tblHeader/>
        </w:trPr>
        <w:tc>
          <w:tcPr>
            <w:tcW w:w="3402" w:type="dxa"/>
            <w:shd w:val="clear" w:color="auto" w:fill="F2F2F2" w:themeFill="background1" w:themeFillShade="F2"/>
          </w:tcPr>
          <w:p w14:paraId="3837FFF0" w14:textId="77777777" w:rsidR="003F1A19" w:rsidRPr="00384FBA" w:rsidRDefault="003F1A19" w:rsidP="00384FBA">
            <w:pPr>
              <w:pStyle w:val="TableContent"/>
              <w:rPr>
                <w:b/>
                <w:bCs/>
                <w:sz w:val="24"/>
              </w:rPr>
            </w:pPr>
            <w:r w:rsidRPr="00384FBA">
              <w:rPr>
                <w:b/>
                <w:bCs/>
                <w:sz w:val="24"/>
              </w:rPr>
              <w:t>Challenge</w:t>
            </w:r>
          </w:p>
        </w:tc>
        <w:tc>
          <w:tcPr>
            <w:tcW w:w="3402" w:type="dxa"/>
            <w:shd w:val="clear" w:color="auto" w:fill="F2F2F2" w:themeFill="background1" w:themeFillShade="F2"/>
          </w:tcPr>
          <w:p w14:paraId="576266D7" w14:textId="77777777" w:rsidR="003F1A19" w:rsidRPr="00384FBA" w:rsidRDefault="003F1A19" w:rsidP="00384FBA">
            <w:pPr>
              <w:pStyle w:val="TableContent"/>
              <w:rPr>
                <w:b/>
                <w:bCs/>
                <w:sz w:val="24"/>
              </w:rPr>
            </w:pPr>
            <w:r w:rsidRPr="00384FBA">
              <w:rPr>
                <w:b/>
                <w:bCs/>
                <w:sz w:val="24"/>
              </w:rPr>
              <w:t>Solution</w:t>
            </w:r>
          </w:p>
        </w:tc>
        <w:tc>
          <w:tcPr>
            <w:tcW w:w="2268" w:type="dxa"/>
            <w:shd w:val="clear" w:color="auto" w:fill="F2F2F2" w:themeFill="background1" w:themeFillShade="F2"/>
          </w:tcPr>
          <w:p w14:paraId="751018F9" w14:textId="3F372E18" w:rsidR="003F1A19" w:rsidRPr="00384FBA" w:rsidRDefault="003F1A19" w:rsidP="00384FBA">
            <w:pPr>
              <w:pStyle w:val="TableContent"/>
              <w:rPr>
                <w:b/>
                <w:bCs/>
                <w:sz w:val="24"/>
              </w:rPr>
            </w:pPr>
            <w:r w:rsidRPr="00384FBA">
              <w:rPr>
                <w:b/>
                <w:bCs/>
                <w:sz w:val="24"/>
              </w:rPr>
              <w:t xml:space="preserve">Guidelines </w:t>
            </w:r>
            <w:r w:rsidR="00692039">
              <w:rPr>
                <w:b/>
                <w:bCs/>
                <w:sz w:val="24"/>
              </w:rPr>
              <w:t>r</w:t>
            </w:r>
            <w:r w:rsidRPr="00384FBA">
              <w:rPr>
                <w:b/>
                <w:bCs/>
                <w:sz w:val="24"/>
              </w:rPr>
              <w:t>eference</w:t>
            </w:r>
          </w:p>
        </w:tc>
      </w:tr>
      <w:tr w:rsidR="003F1A19" w:rsidRPr="0038739C" w14:paraId="752BCFE1" w14:textId="77777777">
        <w:tc>
          <w:tcPr>
            <w:tcW w:w="3402" w:type="dxa"/>
          </w:tcPr>
          <w:p w14:paraId="270CD420" w14:textId="77777777" w:rsidR="003F1A19" w:rsidRPr="00D869DF" w:rsidRDefault="003F1A19" w:rsidP="00D869DF">
            <w:pPr>
              <w:pStyle w:val="TableContent"/>
              <w:rPr>
                <w:sz w:val="24"/>
              </w:rPr>
            </w:pPr>
            <w:r w:rsidRPr="00D869DF">
              <w:rPr>
                <w:sz w:val="24"/>
              </w:rPr>
              <w:t>Restrictions on land use are not consistently considered in valuations. This inconsistent treatment may result in material swings in land values without any underlying change in the actual use of the asset.</w:t>
            </w:r>
          </w:p>
        </w:tc>
        <w:tc>
          <w:tcPr>
            <w:tcW w:w="3402" w:type="dxa"/>
          </w:tcPr>
          <w:p w14:paraId="3232A857" w14:textId="77777777" w:rsidR="003F1A19" w:rsidRPr="00D869DF" w:rsidRDefault="003F1A19" w:rsidP="00D869DF">
            <w:pPr>
              <w:pStyle w:val="TableContent"/>
              <w:rPr>
                <w:sz w:val="24"/>
              </w:rPr>
            </w:pPr>
            <w:r w:rsidRPr="00D869DF">
              <w:rPr>
                <w:sz w:val="24"/>
              </w:rPr>
              <w:t xml:space="preserve">Apply the market approach to valuing land. Account for public sector community use restrictions. </w:t>
            </w:r>
          </w:p>
        </w:tc>
        <w:tc>
          <w:tcPr>
            <w:tcW w:w="2268" w:type="dxa"/>
          </w:tcPr>
          <w:p w14:paraId="5C70EDD7" w14:textId="7F5004D6" w:rsidR="003F1A19" w:rsidRPr="00FF2C9B" w:rsidRDefault="003F1A19" w:rsidP="00D869DF">
            <w:pPr>
              <w:pStyle w:val="TableContent"/>
              <w:rPr>
                <w:sz w:val="24"/>
              </w:rPr>
            </w:pPr>
            <w:r w:rsidRPr="00FF2C9B">
              <w:rPr>
                <w:sz w:val="24"/>
              </w:rPr>
              <w:t xml:space="preserve">Part A for WA - pages </w:t>
            </w:r>
            <w:r w:rsidR="002A02EA" w:rsidRPr="00FF2C9B">
              <w:rPr>
                <w:sz w:val="24"/>
              </w:rPr>
              <w:t xml:space="preserve">4 </w:t>
            </w:r>
            <w:r w:rsidRPr="00FF2C9B">
              <w:rPr>
                <w:sz w:val="24"/>
              </w:rPr>
              <w:t xml:space="preserve">to </w:t>
            </w:r>
            <w:r w:rsidR="002A02EA" w:rsidRPr="00FF2C9B">
              <w:rPr>
                <w:sz w:val="24"/>
              </w:rPr>
              <w:t>24</w:t>
            </w:r>
          </w:p>
          <w:p w14:paraId="736141F2" w14:textId="6E9B501D" w:rsidR="003F1A19" w:rsidRPr="00D869DF" w:rsidRDefault="003F1A19" w:rsidP="00D869DF">
            <w:pPr>
              <w:pStyle w:val="TableContent"/>
              <w:rPr>
                <w:sz w:val="24"/>
                <w:highlight w:val="yellow"/>
              </w:rPr>
            </w:pPr>
            <w:r w:rsidRPr="00FF2C9B">
              <w:rPr>
                <w:sz w:val="24"/>
              </w:rPr>
              <w:t xml:space="preserve">Attachment B for other states – pages </w:t>
            </w:r>
            <w:r w:rsidR="00485125">
              <w:rPr>
                <w:sz w:val="24"/>
              </w:rPr>
              <w:t>9</w:t>
            </w:r>
            <w:r w:rsidR="00290C04">
              <w:rPr>
                <w:sz w:val="24"/>
              </w:rPr>
              <w:t>8</w:t>
            </w:r>
            <w:r w:rsidR="001C73FF" w:rsidRPr="00FF2C9B">
              <w:rPr>
                <w:sz w:val="24"/>
              </w:rPr>
              <w:t xml:space="preserve"> </w:t>
            </w:r>
            <w:r w:rsidRPr="00FF2C9B">
              <w:rPr>
                <w:sz w:val="24"/>
              </w:rPr>
              <w:t xml:space="preserve">to </w:t>
            </w:r>
            <w:r w:rsidR="00F14763">
              <w:rPr>
                <w:sz w:val="24"/>
              </w:rPr>
              <w:t>11</w:t>
            </w:r>
            <w:r w:rsidR="00290C04">
              <w:rPr>
                <w:sz w:val="24"/>
              </w:rPr>
              <w:t>6</w:t>
            </w:r>
          </w:p>
        </w:tc>
      </w:tr>
      <w:tr w:rsidR="003F1A19" w:rsidRPr="0038739C" w14:paraId="5AFCDB13" w14:textId="77777777">
        <w:tc>
          <w:tcPr>
            <w:tcW w:w="3402" w:type="dxa"/>
          </w:tcPr>
          <w:p w14:paraId="2CD2EB64" w14:textId="7213D20C" w:rsidR="003F1A19" w:rsidRPr="00D869DF" w:rsidRDefault="003F1A19" w:rsidP="00D869DF">
            <w:pPr>
              <w:pStyle w:val="TableContent"/>
              <w:rPr>
                <w:sz w:val="24"/>
              </w:rPr>
            </w:pPr>
            <w:r w:rsidRPr="00D869DF">
              <w:rPr>
                <w:sz w:val="24"/>
              </w:rPr>
              <w:t xml:space="preserve">Incomplete or incorrect asset information </w:t>
            </w:r>
            <w:r w:rsidR="00146F51">
              <w:rPr>
                <w:sz w:val="24"/>
              </w:rPr>
              <w:t>is</w:t>
            </w:r>
            <w:r w:rsidRPr="00D869DF">
              <w:rPr>
                <w:sz w:val="24"/>
              </w:rPr>
              <w:t xml:space="preserve"> given to valuers. This practice results in unreliable valuation reports and consequently not fair presentation in the financial report.</w:t>
            </w:r>
          </w:p>
        </w:tc>
        <w:tc>
          <w:tcPr>
            <w:tcW w:w="3402" w:type="dxa"/>
          </w:tcPr>
          <w:p w14:paraId="329D3086" w14:textId="77777777" w:rsidR="003F1A19" w:rsidRPr="00D869DF" w:rsidRDefault="003F1A19" w:rsidP="00D869DF">
            <w:pPr>
              <w:pStyle w:val="TableContent"/>
              <w:rPr>
                <w:sz w:val="24"/>
              </w:rPr>
            </w:pPr>
            <w:r w:rsidRPr="00D869DF">
              <w:rPr>
                <w:sz w:val="24"/>
              </w:rPr>
              <w:t>Complete, accurate and reconciled asset records are to be provided to valuers.</w:t>
            </w:r>
          </w:p>
          <w:p w14:paraId="535B4C4F" w14:textId="77777777" w:rsidR="003F1A19" w:rsidRPr="00D869DF" w:rsidRDefault="003F1A19" w:rsidP="00D869DF">
            <w:pPr>
              <w:pStyle w:val="TableContent"/>
              <w:rPr>
                <w:sz w:val="24"/>
              </w:rPr>
            </w:pPr>
            <w:r w:rsidRPr="00D869DF">
              <w:rPr>
                <w:sz w:val="24"/>
              </w:rPr>
              <w:t xml:space="preserve">Existence and condition of assets are key to accurate valuations. </w:t>
            </w:r>
          </w:p>
          <w:p w14:paraId="708B6569" w14:textId="77777777" w:rsidR="003F1A19" w:rsidRPr="00D869DF" w:rsidRDefault="003F1A19" w:rsidP="00D869DF">
            <w:pPr>
              <w:pStyle w:val="TableContent"/>
              <w:rPr>
                <w:sz w:val="24"/>
              </w:rPr>
            </w:pPr>
            <w:r w:rsidRPr="00D869DF">
              <w:rPr>
                <w:sz w:val="24"/>
              </w:rPr>
              <w:t>Perform regular stocktakes of assets to confirm existence and assess condition.</w:t>
            </w:r>
          </w:p>
        </w:tc>
        <w:tc>
          <w:tcPr>
            <w:tcW w:w="2268" w:type="dxa"/>
          </w:tcPr>
          <w:p w14:paraId="2EBE70DF" w14:textId="36B61777" w:rsidR="003F1A19" w:rsidRPr="00D869DF" w:rsidRDefault="003F1A19" w:rsidP="00D869DF">
            <w:pPr>
              <w:pStyle w:val="TableContent"/>
              <w:rPr>
                <w:sz w:val="24"/>
                <w:highlight w:val="yellow"/>
              </w:rPr>
            </w:pPr>
            <w:r w:rsidRPr="00FF2C9B">
              <w:rPr>
                <w:sz w:val="24"/>
              </w:rPr>
              <w:t xml:space="preserve">Part B – pages </w:t>
            </w:r>
            <w:r w:rsidR="00594D53" w:rsidRPr="00FF2C9B">
              <w:rPr>
                <w:sz w:val="24"/>
              </w:rPr>
              <w:t>25</w:t>
            </w:r>
            <w:r w:rsidRPr="00FF2C9B">
              <w:rPr>
                <w:sz w:val="24"/>
              </w:rPr>
              <w:t xml:space="preserve"> to 4</w:t>
            </w:r>
            <w:r w:rsidR="00594D53" w:rsidRPr="00FF2C9B">
              <w:rPr>
                <w:sz w:val="24"/>
              </w:rPr>
              <w:t>8</w:t>
            </w:r>
          </w:p>
        </w:tc>
      </w:tr>
      <w:tr w:rsidR="003F1A19" w:rsidRPr="0038739C" w14:paraId="3F7A83BD" w14:textId="77777777">
        <w:tc>
          <w:tcPr>
            <w:tcW w:w="3402" w:type="dxa"/>
          </w:tcPr>
          <w:p w14:paraId="316D4D5B" w14:textId="77777777" w:rsidR="003F1A19" w:rsidRPr="00D869DF" w:rsidRDefault="003F1A19" w:rsidP="00D869DF">
            <w:pPr>
              <w:pStyle w:val="TableContent"/>
              <w:rPr>
                <w:sz w:val="24"/>
              </w:rPr>
            </w:pPr>
            <w:r w:rsidRPr="00D869DF">
              <w:rPr>
                <w:sz w:val="24"/>
              </w:rPr>
              <w:t xml:space="preserve">Insufficient technical understanding of AAS and accounting/ financial management regulations applicable in each jurisdiction. </w:t>
            </w:r>
          </w:p>
        </w:tc>
        <w:tc>
          <w:tcPr>
            <w:tcW w:w="3402" w:type="dxa"/>
          </w:tcPr>
          <w:p w14:paraId="493D73A6" w14:textId="77777777" w:rsidR="003F1A19" w:rsidRPr="00D869DF" w:rsidRDefault="003F1A19" w:rsidP="00D869DF">
            <w:pPr>
              <w:pStyle w:val="TableContent"/>
              <w:rPr>
                <w:sz w:val="24"/>
                <w:vertAlign w:val="superscript"/>
              </w:rPr>
            </w:pPr>
            <w:r w:rsidRPr="00D869DF">
              <w:rPr>
                <w:sz w:val="24"/>
              </w:rPr>
              <w:t>Provide guidance and training materials on AAS and accounting/ financial management regulations requirements and how it interacts.</w:t>
            </w:r>
          </w:p>
        </w:tc>
        <w:tc>
          <w:tcPr>
            <w:tcW w:w="2268" w:type="dxa"/>
          </w:tcPr>
          <w:p w14:paraId="558A8E1B" w14:textId="22E57391" w:rsidR="003F1A19" w:rsidRPr="00D869DF" w:rsidRDefault="003F1A19" w:rsidP="00D869DF">
            <w:pPr>
              <w:pStyle w:val="TableContent"/>
              <w:rPr>
                <w:sz w:val="24"/>
                <w:highlight w:val="yellow"/>
              </w:rPr>
            </w:pPr>
            <w:r w:rsidRPr="00290F02">
              <w:rPr>
                <w:sz w:val="24"/>
              </w:rPr>
              <w:t xml:space="preserve">Attachment A – </w:t>
            </w:r>
            <w:proofErr w:type="gramStart"/>
            <w:r w:rsidRPr="00290F02">
              <w:rPr>
                <w:sz w:val="24"/>
              </w:rPr>
              <w:t>pages  4</w:t>
            </w:r>
            <w:r w:rsidR="00ED03F4" w:rsidRPr="00290F02">
              <w:rPr>
                <w:sz w:val="24"/>
              </w:rPr>
              <w:t>9</w:t>
            </w:r>
            <w:proofErr w:type="gramEnd"/>
            <w:r w:rsidRPr="00290F02">
              <w:rPr>
                <w:sz w:val="24"/>
              </w:rPr>
              <w:t xml:space="preserve"> to </w:t>
            </w:r>
            <w:r w:rsidR="00ED03F4" w:rsidRPr="00290F02">
              <w:rPr>
                <w:sz w:val="24"/>
              </w:rPr>
              <w:t>9</w:t>
            </w:r>
            <w:r w:rsidR="00CE6077">
              <w:rPr>
                <w:sz w:val="24"/>
              </w:rPr>
              <w:t>7</w:t>
            </w:r>
          </w:p>
        </w:tc>
      </w:tr>
      <w:tr w:rsidR="003F1A19" w:rsidRPr="0038739C" w14:paraId="50868F94" w14:textId="77777777">
        <w:tc>
          <w:tcPr>
            <w:tcW w:w="3402" w:type="dxa"/>
          </w:tcPr>
          <w:p w14:paraId="5A1CD302" w14:textId="77777777" w:rsidR="003F1A19" w:rsidRPr="00D869DF" w:rsidRDefault="003F1A19" w:rsidP="00D869DF">
            <w:pPr>
              <w:pStyle w:val="TableContent"/>
              <w:rPr>
                <w:sz w:val="24"/>
              </w:rPr>
            </w:pPr>
            <w:r w:rsidRPr="00D869DF">
              <w:rPr>
                <w:sz w:val="24"/>
              </w:rPr>
              <w:t>Insufficient technical understanding of the valuation process and key inputs.</w:t>
            </w:r>
          </w:p>
        </w:tc>
        <w:tc>
          <w:tcPr>
            <w:tcW w:w="3402" w:type="dxa"/>
          </w:tcPr>
          <w:p w14:paraId="1ED7DC67" w14:textId="77777777" w:rsidR="003F1A19" w:rsidRPr="00D869DF" w:rsidRDefault="003F1A19" w:rsidP="00D869DF">
            <w:pPr>
              <w:pStyle w:val="TableContent"/>
              <w:rPr>
                <w:sz w:val="24"/>
              </w:rPr>
            </w:pPr>
            <w:r w:rsidRPr="00D869DF">
              <w:rPr>
                <w:sz w:val="24"/>
              </w:rPr>
              <w:t>Provide guidance and training materials on the valuation process.</w:t>
            </w:r>
          </w:p>
        </w:tc>
        <w:tc>
          <w:tcPr>
            <w:tcW w:w="2268" w:type="dxa"/>
          </w:tcPr>
          <w:p w14:paraId="5A2F2BBD" w14:textId="09F3DEBD" w:rsidR="003F1A19" w:rsidRPr="00AE090E" w:rsidRDefault="003F1A19" w:rsidP="00D869DF">
            <w:pPr>
              <w:pStyle w:val="TableContent"/>
              <w:rPr>
                <w:sz w:val="24"/>
              </w:rPr>
            </w:pPr>
            <w:r w:rsidRPr="00AE090E">
              <w:rPr>
                <w:sz w:val="24"/>
              </w:rPr>
              <w:t>Part B – pages 2</w:t>
            </w:r>
            <w:r w:rsidR="00ED03F4" w:rsidRPr="00AE090E">
              <w:rPr>
                <w:sz w:val="24"/>
              </w:rPr>
              <w:t>5</w:t>
            </w:r>
            <w:r w:rsidRPr="00AE090E">
              <w:rPr>
                <w:sz w:val="24"/>
              </w:rPr>
              <w:t xml:space="preserve"> to 4</w:t>
            </w:r>
            <w:r w:rsidR="00ED03F4" w:rsidRPr="00AE090E">
              <w:rPr>
                <w:sz w:val="24"/>
              </w:rPr>
              <w:t>8</w:t>
            </w:r>
          </w:p>
          <w:p w14:paraId="5EADE712" w14:textId="2D61C062" w:rsidR="003F1A19" w:rsidRPr="00D869DF" w:rsidRDefault="003F1A19" w:rsidP="00D869DF">
            <w:pPr>
              <w:pStyle w:val="TableContent"/>
              <w:rPr>
                <w:sz w:val="24"/>
                <w:highlight w:val="yellow"/>
              </w:rPr>
            </w:pPr>
            <w:r w:rsidRPr="00AE090E">
              <w:rPr>
                <w:sz w:val="24"/>
              </w:rPr>
              <w:t xml:space="preserve">Attachment C – pages </w:t>
            </w:r>
            <w:r w:rsidR="00290F02" w:rsidRPr="00AE090E">
              <w:rPr>
                <w:sz w:val="24"/>
              </w:rPr>
              <w:t>11</w:t>
            </w:r>
            <w:r w:rsidR="006A6A4D">
              <w:rPr>
                <w:sz w:val="24"/>
              </w:rPr>
              <w:t>7</w:t>
            </w:r>
            <w:r w:rsidR="00290F02" w:rsidRPr="00AE090E">
              <w:rPr>
                <w:sz w:val="24"/>
              </w:rPr>
              <w:t xml:space="preserve"> </w:t>
            </w:r>
            <w:r w:rsidRPr="00AE090E">
              <w:rPr>
                <w:sz w:val="24"/>
              </w:rPr>
              <w:t>to 1</w:t>
            </w:r>
            <w:r w:rsidR="00AE090E" w:rsidRPr="00AE090E">
              <w:rPr>
                <w:sz w:val="24"/>
              </w:rPr>
              <w:t>3</w:t>
            </w:r>
            <w:r w:rsidR="00AE46EB">
              <w:rPr>
                <w:sz w:val="24"/>
              </w:rPr>
              <w:t>5</w:t>
            </w:r>
          </w:p>
        </w:tc>
      </w:tr>
    </w:tbl>
    <w:p w14:paraId="1525E9D1" w14:textId="77777777" w:rsidR="004D07D2" w:rsidRDefault="004D07D2">
      <w:pPr>
        <w:spacing w:after="0" w:line="240" w:lineRule="auto"/>
        <w:rPr>
          <w:rFonts w:cs="Arial"/>
          <w:lang w:val="en-GB"/>
        </w:rPr>
      </w:pPr>
      <w:r>
        <w:br w:type="page"/>
      </w:r>
    </w:p>
    <w:p w14:paraId="6E9E9A01" w14:textId="77777777" w:rsidR="0015737E" w:rsidRPr="0038739C" w:rsidRDefault="0015737E" w:rsidP="0015737E">
      <w:pPr>
        <w:pStyle w:val="Heading1"/>
        <w:rPr>
          <w:b w:val="0"/>
          <w:bCs w:val="0"/>
          <w:szCs w:val="42"/>
        </w:rPr>
      </w:pPr>
      <w:bookmarkStart w:id="9" w:name="_Toc207722713"/>
      <w:bookmarkStart w:id="10" w:name="_Toc223445053"/>
      <w:r w:rsidRPr="0038739C">
        <w:rPr>
          <w:szCs w:val="42"/>
        </w:rPr>
        <w:lastRenderedPageBreak/>
        <w:t>Part A</w:t>
      </w:r>
      <w:bookmarkEnd w:id="9"/>
      <w:bookmarkEnd w:id="10"/>
      <w:r w:rsidRPr="0038739C">
        <w:rPr>
          <w:szCs w:val="42"/>
        </w:rPr>
        <w:t xml:space="preserve"> </w:t>
      </w:r>
    </w:p>
    <w:p w14:paraId="3B5386A8" w14:textId="71BDCA32" w:rsidR="006B6957" w:rsidRDefault="006B6957" w:rsidP="00EB57E0">
      <w:pPr>
        <w:pStyle w:val="BlockText"/>
      </w:pPr>
      <w:r>
        <w:t xml:space="preserve">Part </w:t>
      </w:r>
      <w:r w:rsidRPr="0038739C">
        <w:t>A provides guidance based on the LG Act, LG (FM) Regs,</w:t>
      </w:r>
      <w:r w:rsidRPr="0038739C">
        <w:rPr>
          <w:vertAlign w:val="superscript"/>
        </w:rPr>
        <w:t xml:space="preserve"> </w:t>
      </w:r>
      <w:r w:rsidRPr="0038739C">
        <w:t>AAS and generally accepted Western Australian accounting practice.</w:t>
      </w:r>
    </w:p>
    <w:p w14:paraId="45207BB7" w14:textId="0F348B73" w:rsidR="006B6957" w:rsidRDefault="006B6957" w:rsidP="00EB57E0">
      <w:pPr>
        <w:pStyle w:val="BlockText"/>
      </w:pPr>
      <w:r w:rsidRPr="00250189">
        <w:t xml:space="preserve">Part A applies exclusively to </w:t>
      </w:r>
      <w:r w:rsidR="00F419D4">
        <w:t>WA</w:t>
      </w:r>
      <w:r w:rsidRPr="00250189">
        <w:t xml:space="preserve">. </w:t>
      </w:r>
    </w:p>
    <w:p w14:paraId="0F3B9427" w14:textId="4B81943B" w:rsidR="006B6957" w:rsidRPr="0038739C" w:rsidRDefault="006B6957" w:rsidP="00EB57E0">
      <w:pPr>
        <w:pStyle w:val="BlockText"/>
      </w:pPr>
      <w:r w:rsidRPr="0038739C">
        <w:t>Other states and territories may have jurisdictional legislation which overrules the AAS. Consequently, it is recommended that each state and territory consider providing guidance to their local governments regarding any precedence of legislation over the AAS, if applicable. Part A of the Guidelines should be customised as needed.</w:t>
      </w:r>
    </w:p>
    <w:p w14:paraId="35586402" w14:textId="77777777" w:rsidR="00540E3B" w:rsidRPr="00D1617E" w:rsidRDefault="00540E3B" w:rsidP="00D70B5C">
      <w:pPr>
        <w:pStyle w:val="BodyText"/>
      </w:pPr>
      <w:r w:rsidRPr="00D1617E">
        <w:t xml:space="preserve">AASB 13 Fair Value Measurement (2022) addresses the concept of jurisdictional rules: </w:t>
      </w:r>
    </w:p>
    <w:tbl>
      <w:tblPr>
        <w:tblStyle w:val="TableGrid"/>
        <w:tblW w:w="9639" w:type="dxa"/>
        <w:tblInd w:w="-5" w:type="dxa"/>
        <w:tblLayout w:type="fixed"/>
        <w:tblCellMar>
          <w:right w:w="57" w:type="dxa"/>
        </w:tblCellMar>
        <w:tblLook w:val="06A0" w:firstRow="1" w:lastRow="0" w:firstColumn="1" w:lastColumn="0" w:noHBand="1" w:noVBand="1"/>
      </w:tblPr>
      <w:tblGrid>
        <w:gridCol w:w="9639"/>
      </w:tblGrid>
      <w:tr w:rsidR="00540E3B" w:rsidRPr="002D63C0" w14:paraId="23E7516B" w14:textId="77777777">
        <w:trPr>
          <w:trHeight w:val="300"/>
          <w:tblHeader/>
        </w:trPr>
        <w:tc>
          <w:tcPr>
            <w:tcW w:w="9639" w:type="dxa"/>
            <w:shd w:val="clear" w:color="auto" w:fill="F2F2F2" w:themeFill="background1" w:themeFillShade="F2"/>
          </w:tcPr>
          <w:p w14:paraId="1B018210" w14:textId="77777777" w:rsidR="00540E3B" w:rsidRPr="00905438" w:rsidRDefault="00540E3B">
            <w:pPr>
              <w:pStyle w:val="TableContent"/>
              <w:rPr>
                <w:b/>
                <w:bCs/>
                <w:color w:val="FFFFFF" w:themeColor="background1"/>
                <w:sz w:val="24"/>
              </w:rPr>
            </w:pPr>
            <w:r w:rsidRPr="00905438">
              <w:rPr>
                <w:b/>
                <w:bCs/>
                <w:sz w:val="24"/>
              </w:rPr>
              <w:t>(AASB 2022: 49)</w:t>
            </w:r>
          </w:p>
        </w:tc>
      </w:tr>
      <w:tr w:rsidR="00540E3B" w:rsidRPr="00D1617E" w14:paraId="0E4DD6FB" w14:textId="77777777">
        <w:trPr>
          <w:trHeight w:val="300"/>
        </w:trPr>
        <w:tc>
          <w:tcPr>
            <w:tcW w:w="9639" w:type="dxa"/>
            <w:tcBorders>
              <w:bottom w:val="single" w:sz="4" w:space="0" w:color="auto"/>
            </w:tcBorders>
          </w:tcPr>
          <w:p w14:paraId="7C2B32C9" w14:textId="77777777" w:rsidR="00540E3B" w:rsidRPr="00D869DF" w:rsidRDefault="00540E3B">
            <w:pPr>
              <w:pStyle w:val="TableContent"/>
              <w:rPr>
                <w:sz w:val="24"/>
              </w:rPr>
            </w:pPr>
            <w:r w:rsidRPr="00D869DF">
              <w:rPr>
                <w:i/>
                <w:iCs/>
                <w:sz w:val="24"/>
              </w:rPr>
              <w:t>‘</w:t>
            </w:r>
            <w:r w:rsidRPr="00D869DF">
              <w:rPr>
                <w:sz w:val="24"/>
              </w:rPr>
              <w:t>Basis for Conclusions on AASB 2022-10’ (BC numbering)</w:t>
            </w:r>
          </w:p>
          <w:p w14:paraId="20483CB6" w14:textId="77777777" w:rsidR="00540E3B" w:rsidRPr="00D869DF" w:rsidRDefault="00540E3B">
            <w:pPr>
              <w:pStyle w:val="TableContent"/>
              <w:rPr>
                <w:sz w:val="24"/>
              </w:rPr>
            </w:pPr>
            <w:r w:rsidRPr="00D869DF">
              <w:rPr>
                <w:i/>
                <w:iCs/>
                <w:sz w:val="24"/>
              </w:rPr>
              <w:t>‘This Basis for Conclusions accompanies, but is not part of, AASB 13.</w:t>
            </w:r>
            <w:r w:rsidRPr="00D869DF">
              <w:rPr>
                <w:sz w:val="24"/>
              </w:rPr>
              <w:t>’</w:t>
            </w:r>
          </w:p>
        </w:tc>
      </w:tr>
      <w:tr w:rsidR="00540E3B" w:rsidRPr="00D1617E" w14:paraId="4FFDDFDA" w14:textId="77777777">
        <w:trPr>
          <w:trHeight w:val="300"/>
        </w:trPr>
        <w:tc>
          <w:tcPr>
            <w:tcW w:w="9639" w:type="dxa"/>
            <w:shd w:val="clear" w:color="auto" w:fill="F2F2F2" w:themeFill="background1" w:themeFillShade="F2"/>
          </w:tcPr>
          <w:p w14:paraId="5B3D0BE3" w14:textId="77777777" w:rsidR="00540E3B" w:rsidRPr="00D869DF" w:rsidRDefault="00540E3B">
            <w:pPr>
              <w:pStyle w:val="TableContent"/>
              <w:rPr>
                <w:color w:val="auto"/>
                <w:sz w:val="24"/>
              </w:rPr>
            </w:pPr>
            <w:r w:rsidRPr="00D869DF">
              <w:rPr>
                <w:color w:val="auto"/>
                <w:sz w:val="24"/>
              </w:rPr>
              <w:t>(</w:t>
            </w:r>
            <w:r w:rsidRPr="00C1045F">
              <w:rPr>
                <w:b/>
                <w:bCs/>
                <w:sz w:val="24"/>
              </w:rPr>
              <w:t>AASB 2022: 84)</w:t>
            </w:r>
          </w:p>
        </w:tc>
      </w:tr>
      <w:tr w:rsidR="00540E3B" w:rsidRPr="00D1617E" w14:paraId="5915F566" w14:textId="77777777">
        <w:trPr>
          <w:trHeight w:val="300"/>
        </w:trPr>
        <w:tc>
          <w:tcPr>
            <w:tcW w:w="9639" w:type="dxa"/>
            <w:tcBorders>
              <w:bottom w:val="single" w:sz="4" w:space="0" w:color="auto"/>
            </w:tcBorders>
          </w:tcPr>
          <w:p w14:paraId="5981869C" w14:textId="77777777" w:rsidR="00540E3B" w:rsidRPr="00B26B67" w:rsidRDefault="00540E3B">
            <w:pPr>
              <w:pStyle w:val="TableContent"/>
              <w:ind w:left="907" w:hanging="907"/>
              <w:rPr>
                <w:sz w:val="24"/>
              </w:rPr>
            </w:pPr>
            <w:r w:rsidRPr="00B26B67">
              <w:rPr>
                <w:sz w:val="24"/>
              </w:rPr>
              <w:t>‘BC234  …In relation to the Board’s conclusion not to develop guidance beyond the scope of that in this Standard, if the Treasury or Finance Department (or other authority) and/or the Office of Local Government in a jurisdiction desires greater consistency in the valuation approach(es) used to measure the fair value of particular types or classes of non-financial assets in a jurisdiction, it may choose to designate a valuation approach for application to those assets held by public sector entities in its jurisdiction…’</w:t>
            </w:r>
          </w:p>
        </w:tc>
      </w:tr>
      <w:tr w:rsidR="00540E3B" w:rsidRPr="00D1617E" w14:paraId="14BCF7ED" w14:textId="77777777">
        <w:trPr>
          <w:trHeight w:val="300"/>
        </w:trPr>
        <w:tc>
          <w:tcPr>
            <w:tcW w:w="9639" w:type="dxa"/>
            <w:shd w:val="clear" w:color="auto" w:fill="F2F2F2" w:themeFill="background1" w:themeFillShade="F2"/>
          </w:tcPr>
          <w:p w14:paraId="3A742505" w14:textId="77777777" w:rsidR="00540E3B" w:rsidRPr="00B26B67" w:rsidRDefault="00540E3B">
            <w:pPr>
              <w:pStyle w:val="TableContent"/>
              <w:rPr>
                <w:b/>
                <w:bCs/>
                <w:sz w:val="24"/>
              </w:rPr>
            </w:pPr>
            <w:r w:rsidRPr="00B26B67">
              <w:rPr>
                <w:b/>
                <w:bCs/>
                <w:sz w:val="24"/>
              </w:rPr>
              <w:t>Application to WA</w:t>
            </w:r>
          </w:p>
        </w:tc>
      </w:tr>
      <w:tr w:rsidR="00540E3B" w:rsidRPr="0038739C" w14:paraId="39B48A1D" w14:textId="77777777">
        <w:trPr>
          <w:trHeight w:val="300"/>
        </w:trPr>
        <w:tc>
          <w:tcPr>
            <w:tcW w:w="9639" w:type="dxa"/>
          </w:tcPr>
          <w:p w14:paraId="30800109" w14:textId="77777777" w:rsidR="00540E3B" w:rsidRPr="00B26B67" w:rsidRDefault="00540E3B">
            <w:pPr>
              <w:pStyle w:val="TableContent"/>
              <w:rPr>
                <w:sz w:val="24"/>
              </w:rPr>
            </w:pPr>
            <w:r w:rsidRPr="00B26B67">
              <w:rPr>
                <w:sz w:val="24"/>
              </w:rPr>
              <w:t xml:space="preserve">The </w:t>
            </w:r>
            <w:r w:rsidRPr="00B26B67">
              <w:rPr>
                <w:rStyle w:val="TableContentChar"/>
                <w:sz w:val="24"/>
              </w:rPr>
              <w:t xml:space="preserve">LG (FM) Regs require local governments to comply with the requirements of the AAS. Therefore, where LGIRS as the regulator for local government in </w:t>
            </w:r>
            <w:r>
              <w:rPr>
                <w:rStyle w:val="TableContentChar"/>
                <w:sz w:val="24"/>
              </w:rPr>
              <w:t>WA</w:t>
            </w:r>
            <w:r w:rsidRPr="00B26B67">
              <w:rPr>
                <w:rStyle w:val="TableContentChar"/>
                <w:sz w:val="24"/>
              </w:rPr>
              <w:t xml:space="preserve"> designates a valuation approach for applying AAS, that designated approach is legally binding p</w:t>
            </w:r>
            <w:r w:rsidRPr="00B26B67">
              <w:rPr>
                <w:sz w:val="24"/>
              </w:rPr>
              <w:t>ursuant to the LG (FM) Regs.</w:t>
            </w:r>
          </w:p>
        </w:tc>
      </w:tr>
    </w:tbl>
    <w:p w14:paraId="72D7751F" w14:textId="77777777" w:rsidR="004D07D2" w:rsidRDefault="004D07D2">
      <w:pPr>
        <w:spacing w:after="0" w:line="240" w:lineRule="auto"/>
        <w:rPr>
          <w:rFonts w:cs="Arial"/>
          <w:lang w:val="en-GB"/>
        </w:rPr>
      </w:pPr>
      <w:r>
        <w:br w:type="page"/>
      </w:r>
    </w:p>
    <w:p w14:paraId="14BD3E36" w14:textId="77777777" w:rsidR="00775A5D" w:rsidRPr="00D1617E" w:rsidRDefault="00775A5D" w:rsidP="001E4864">
      <w:pPr>
        <w:pStyle w:val="Heading2"/>
      </w:pPr>
      <w:bookmarkStart w:id="11" w:name="_Toc207722714"/>
      <w:bookmarkStart w:id="12" w:name="_Toc223445054"/>
      <w:r w:rsidRPr="00D1617E">
        <w:lastRenderedPageBreak/>
        <w:t>Introduction</w:t>
      </w:r>
      <w:bookmarkEnd w:id="11"/>
      <w:bookmarkEnd w:id="12"/>
    </w:p>
    <w:p w14:paraId="3B086759" w14:textId="77777777" w:rsidR="00775A5D" w:rsidRPr="00D1617E" w:rsidRDefault="00775A5D" w:rsidP="00D70B5C">
      <w:pPr>
        <w:pStyle w:val="BodyText"/>
      </w:pPr>
      <w:r w:rsidRPr="00D1617E">
        <w:t xml:space="preserve">Local governments play a pivotal role in ensuring the effective management of public funds and resources within WA. As stewards of taxpayer money, transparency and accountability are paramount, necessitating the preparation of comprehensive financial reports. </w:t>
      </w:r>
    </w:p>
    <w:p w14:paraId="4C7190FB" w14:textId="73037041" w:rsidR="00775A5D" w:rsidRPr="00D1617E" w:rsidRDefault="00775A5D" w:rsidP="00D70B5C">
      <w:pPr>
        <w:pStyle w:val="BodyText"/>
      </w:pPr>
      <w:r w:rsidRPr="00D1617E">
        <w:t xml:space="preserve">In accordance with legislative requirements, notably the LG Act governing local government operations, including the associated LG (FM) Regs, local governments are mandated to ensure fair presentation of their financial reports. These reports must adhere to the provisions outlined in the </w:t>
      </w:r>
      <w:r w:rsidR="00146F51">
        <w:t xml:space="preserve">LG </w:t>
      </w:r>
      <w:r w:rsidRPr="00D1617E">
        <w:t>Act and its accompanying regulations.</w:t>
      </w:r>
    </w:p>
    <w:p w14:paraId="3BD3CA3F" w14:textId="77777777" w:rsidR="00775A5D" w:rsidRPr="00D1617E" w:rsidRDefault="00775A5D" w:rsidP="00D70B5C">
      <w:pPr>
        <w:pStyle w:val="BodyText"/>
      </w:pPr>
      <w:r w:rsidRPr="00D1617E">
        <w:t>Furthermore, local governments are directed to comply with AAS, provided such standards do not conflict with the overarching legislative framework. This dual commitment ensures that financial reporting practices align with both statutory obligations and nationally recognised accounting principles, thereby fostering transparency, consistency, and reliability in the presentation of financial information.</w:t>
      </w:r>
    </w:p>
    <w:p w14:paraId="47029D4A" w14:textId="6DD6646F" w:rsidR="00775A5D" w:rsidRPr="00D1617E" w:rsidRDefault="00775A5D" w:rsidP="00D70B5C">
      <w:pPr>
        <w:pStyle w:val="BodyText"/>
      </w:pPr>
      <w:r w:rsidRPr="00D1617E">
        <w:t>It is recommended that local government CEOs, finance officers, asset managers and those charged with governance apply the Guidelines.</w:t>
      </w:r>
    </w:p>
    <w:p w14:paraId="4A5907E2" w14:textId="77777777" w:rsidR="00775A5D" w:rsidRPr="00230B44" w:rsidRDefault="00775A5D" w:rsidP="009115E8">
      <w:pPr>
        <w:pStyle w:val="Heading4"/>
      </w:pPr>
      <w:r w:rsidRPr="00230B44">
        <w:t>Corporate governance</w:t>
      </w:r>
    </w:p>
    <w:p w14:paraId="5490476F" w14:textId="68F3B057" w:rsidR="00775A5D" w:rsidRPr="00D1617E" w:rsidRDefault="00C50DB8" w:rsidP="00D70B5C">
      <w:pPr>
        <w:pStyle w:val="BodyText"/>
      </w:pPr>
      <w:r>
        <w:t>Section 6.5 of t</w:t>
      </w:r>
      <w:r w:rsidR="00775A5D" w:rsidRPr="00D1617E">
        <w:t>he LG A</w:t>
      </w:r>
      <w:r w:rsidR="00676FBE">
        <w:t>ct</w:t>
      </w:r>
      <w:r w:rsidR="00775A5D" w:rsidRPr="00D1617E">
        <w:t xml:space="preserve"> holds the CEO responsible for managing the valuation of the local government’s non-financial assets. </w:t>
      </w:r>
      <w:r w:rsidR="00F41E22">
        <w:t xml:space="preserve">Section 2.7(1) </w:t>
      </w:r>
      <w:r w:rsidR="00775A5D" w:rsidRPr="00D1617E">
        <w:t xml:space="preserve">of the LG </w:t>
      </w:r>
      <w:r w:rsidR="00EF7BE9">
        <w:t xml:space="preserve">requires that </w:t>
      </w:r>
      <w:r w:rsidR="00775A5D" w:rsidRPr="00D1617E">
        <w:t xml:space="preserve">Council should provide oversight of the valuation process. </w:t>
      </w:r>
    </w:p>
    <w:p w14:paraId="3E116177" w14:textId="77777777" w:rsidR="00775A5D" w:rsidRPr="00D1617E" w:rsidRDefault="00775A5D" w:rsidP="00D70B5C">
      <w:pPr>
        <w:pStyle w:val="BodyText"/>
      </w:pPr>
      <w:r w:rsidRPr="00D1617E">
        <w:t xml:space="preserve">Specific corporate governance principles applied in the Guidelines include: </w:t>
      </w:r>
    </w:p>
    <w:tbl>
      <w:tblPr>
        <w:tblStyle w:val="TableGrid"/>
        <w:tblW w:w="9639" w:type="dxa"/>
        <w:tblLook w:val="04A0" w:firstRow="1" w:lastRow="0" w:firstColumn="1" w:lastColumn="0" w:noHBand="0" w:noVBand="1"/>
      </w:tblPr>
      <w:tblGrid>
        <w:gridCol w:w="2238"/>
        <w:gridCol w:w="7401"/>
      </w:tblGrid>
      <w:tr w:rsidR="00775A5D" w:rsidRPr="002D63C0" w14:paraId="315C6698" w14:textId="77777777">
        <w:trPr>
          <w:tblHeader/>
        </w:trPr>
        <w:tc>
          <w:tcPr>
            <w:tcW w:w="2238" w:type="dxa"/>
            <w:shd w:val="clear" w:color="auto" w:fill="F2F2F2" w:themeFill="background1" w:themeFillShade="F2"/>
          </w:tcPr>
          <w:p w14:paraId="3BD4DA89" w14:textId="7C0DEB4E" w:rsidR="00775A5D" w:rsidRPr="00D103ED" w:rsidRDefault="00775A5D" w:rsidP="00D103ED">
            <w:pPr>
              <w:pStyle w:val="TableContent"/>
              <w:rPr>
                <w:b/>
                <w:bCs/>
                <w:sz w:val="24"/>
              </w:rPr>
            </w:pPr>
            <w:r w:rsidRPr="00D103ED">
              <w:rPr>
                <w:b/>
                <w:bCs/>
                <w:sz w:val="24"/>
              </w:rPr>
              <w:t xml:space="preserve">Corporate </w:t>
            </w:r>
            <w:r w:rsidR="00692039">
              <w:rPr>
                <w:b/>
                <w:bCs/>
                <w:sz w:val="24"/>
              </w:rPr>
              <w:t>g</w:t>
            </w:r>
            <w:r w:rsidRPr="00D103ED">
              <w:rPr>
                <w:b/>
                <w:bCs/>
                <w:sz w:val="24"/>
              </w:rPr>
              <w:t xml:space="preserve">overnance </w:t>
            </w:r>
            <w:r w:rsidR="00692039">
              <w:rPr>
                <w:b/>
                <w:bCs/>
                <w:sz w:val="24"/>
              </w:rPr>
              <w:t>p</w:t>
            </w:r>
            <w:r w:rsidRPr="00D103ED">
              <w:rPr>
                <w:b/>
                <w:bCs/>
                <w:sz w:val="24"/>
              </w:rPr>
              <w:t>rinciples</w:t>
            </w:r>
          </w:p>
        </w:tc>
        <w:tc>
          <w:tcPr>
            <w:tcW w:w="7401" w:type="dxa"/>
            <w:shd w:val="clear" w:color="auto" w:fill="F2F2F2" w:themeFill="background1" w:themeFillShade="F2"/>
          </w:tcPr>
          <w:p w14:paraId="6FD09E78" w14:textId="77777777" w:rsidR="00775A5D" w:rsidRPr="00D103ED" w:rsidRDefault="00775A5D" w:rsidP="00D103ED">
            <w:pPr>
              <w:pStyle w:val="TableContent"/>
              <w:rPr>
                <w:b/>
                <w:bCs/>
                <w:sz w:val="24"/>
              </w:rPr>
            </w:pPr>
            <w:r w:rsidRPr="00D103ED">
              <w:rPr>
                <w:b/>
                <w:bCs/>
                <w:sz w:val="24"/>
              </w:rPr>
              <w:t>Application</w:t>
            </w:r>
          </w:p>
        </w:tc>
      </w:tr>
      <w:tr w:rsidR="00775A5D" w14:paraId="65E0FB73" w14:textId="77777777">
        <w:tc>
          <w:tcPr>
            <w:tcW w:w="2238" w:type="dxa"/>
          </w:tcPr>
          <w:p w14:paraId="40D89894" w14:textId="77777777" w:rsidR="00775A5D" w:rsidRPr="00C1045F" w:rsidRDefault="00775A5D" w:rsidP="00C1045F">
            <w:pPr>
              <w:pStyle w:val="TableContent"/>
              <w:rPr>
                <w:sz w:val="24"/>
              </w:rPr>
            </w:pPr>
            <w:r w:rsidRPr="00C1045F">
              <w:rPr>
                <w:sz w:val="24"/>
              </w:rPr>
              <w:t>Accountability</w:t>
            </w:r>
          </w:p>
        </w:tc>
        <w:tc>
          <w:tcPr>
            <w:tcW w:w="7401" w:type="dxa"/>
          </w:tcPr>
          <w:p w14:paraId="50624AEB" w14:textId="1D58AD78" w:rsidR="00775A5D" w:rsidRPr="00C1045F" w:rsidRDefault="00775A5D" w:rsidP="00C1045F">
            <w:pPr>
              <w:pStyle w:val="TableContent"/>
              <w:rPr>
                <w:sz w:val="24"/>
              </w:rPr>
            </w:pPr>
            <w:r w:rsidRPr="00C1045F">
              <w:rPr>
                <w:sz w:val="24"/>
              </w:rPr>
              <w:t>Local governments are accountable for the valuation of non-financial assets. This responsibility cannot be contracted out to an external consultant. Consequently, local governments must apply due diligence across the valuation process – from identifying the need to revalue non-financial assets to disclosing such valuations in their financial reports.</w:t>
            </w:r>
          </w:p>
        </w:tc>
      </w:tr>
      <w:tr w:rsidR="00775A5D" w14:paraId="79E0A1F5" w14:textId="77777777">
        <w:tc>
          <w:tcPr>
            <w:tcW w:w="2238" w:type="dxa"/>
          </w:tcPr>
          <w:p w14:paraId="031B6211" w14:textId="77777777" w:rsidR="00775A5D" w:rsidRPr="00C1045F" w:rsidRDefault="00775A5D" w:rsidP="00C1045F">
            <w:pPr>
              <w:pStyle w:val="TableContent"/>
              <w:rPr>
                <w:sz w:val="24"/>
              </w:rPr>
            </w:pPr>
            <w:r w:rsidRPr="00C1045F">
              <w:rPr>
                <w:sz w:val="24"/>
              </w:rPr>
              <w:t>Transparency</w:t>
            </w:r>
          </w:p>
        </w:tc>
        <w:tc>
          <w:tcPr>
            <w:tcW w:w="7401" w:type="dxa"/>
          </w:tcPr>
          <w:p w14:paraId="4C8DE03F" w14:textId="65F66D70" w:rsidR="00775A5D" w:rsidRPr="00C1045F" w:rsidRDefault="00775A5D" w:rsidP="00C1045F">
            <w:pPr>
              <w:pStyle w:val="TableContent"/>
              <w:rPr>
                <w:sz w:val="24"/>
              </w:rPr>
            </w:pPr>
            <w:r w:rsidRPr="00C1045F">
              <w:rPr>
                <w:sz w:val="24"/>
              </w:rPr>
              <w:t>Transparency enables accountability. Local government</w:t>
            </w:r>
            <w:r w:rsidR="00146F51">
              <w:rPr>
                <w:sz w:val="24"/>
              </w:rPr>
              <w:t>s</w:t>
            </w:r>
            <w:r w:rsidRPr="00C1045F">
              <w:rPr>
                <w:sz w:val="24"/>
              </w:rPr>
              <w:t xml:space="preserve"> must keep accurate and complete records regarding the valuation process. These records support the accounting records and annual financial report. The annual financial report must provide appropriate information regarding asset valuations (in accordance with AAS).</w:t>
            </w:r>
          </w:p>
        </w:tc>
      </w:tr>
    </w:tbl>
    <w:p w14:paraId="676A015F" w14:textId="77777777" w:rsidR="00D103ED" w:rsidRDefault="00D103ED" w:rsidP="00775A5D">
      <w:pPr>
        <w:pStyle w:val="Heading2"/>
      </w:pPr>
      <w:bookmarkStart w:id="13" w:name="_Toc207722715"/>
    </w:p>
    <w:p w14:paraId="39B23961" w14:textId="1C58B0D6" w:rsidR="00AC2D81" w:rsidRDefault="00775A5D" w:rsidP="00775A5D">
      <w:pPr>
        <w:pStyle w:val="Heading2"/>
      </w:pPr>
      <w:bookmarkStart w:id="14" w:name="_Toc223445055"/>
      <w:r w:rsidRPr="00D1617E">
        <w:lastRenderedPageBreak/>
        <w:t>Compliance with LG (FM) Regs and AAS</w:t>
      </w:r>
      <w:bookmarkEnd w:id="13"/>
      <w:bookmarkEnd w:id="14"/>
    </w:p>
    <w:p w14:paraId="2F8CFDCB" w14:textId="77777777" w:rsidR="00C45986" w:rsidRPr="00D1617E" w:rsidRDefault="00C45986" w:rsidP="009115E8">
      <w:pPr>
        <w:pStyle w:val="Heading4"/>
      </w:pPr>
      <w:r w:rsidRPr="00D1617E">
        <w:t>Requirements</w:t>
      </w:r>
    </w:p>
    <w:p w14:paraId="4EF12AFD" w14:textId="09159A6D" w:rsidR="00C45986" w:rsidRPr="00B305B0" w:rsidRDefault="00C45986" w:rsidP="00B305B0">
      <w:pPr>
        <w:pStyle w:val="TableContent"/>
        <w:rPr>
          <w:b/>
          <w:bCs/>
        </w:rPr>
      </w:pPr>
      <w:r w:rsidRPr="00D1617E">
        <w:t xml:space="preserve">Local governments must comply with the LG (FM) Regs and AAS. </w:t>
      </w:r>
      <w:r w:rsidR="00E42326">
        <w:t>I</w:t>
      </w:r>
      <w:r w:rsidRPr="00D1617E">
        <w:t>n case of an inconsistency between the LG (FM) Regs and AAS, the regulations override the requirements of the AAS:</w:t>
      </w:r>
    </w:p>
    <w:tbl>
      <w:tblPr>
        <w:tblStyle w:val="TableGrid"/>
        <w:tblW w:w="9639" w:type="dxa"/>
        <w:tblLook w:val="04A0" w:firstRow="1" w:lastRow="0" w:firstColumn="1" w:lastColumn="0" w:noHBand="0" w:noVBand="1"/>
      </w:tblPr>
      <w:tblGrid>
        <w:gridCol w:w="9639"/>
      </w:tblGrid>
      <w:tr w:rsidR="005A146F" w:rsidRPr="00B305B0" w14:paraId="2ED10A60" w14:textId="77777777">
        <w:trPr>
          <w:tblHeader/>
        </w:trPr>
        <w:tc>
          <w:tcPr>
            <w:tcW w:w="9639" w:type="dxa"/>
            <w:shd w:val="clear" w:color="auto" w:fill="F2F2F2" w:themeFill="background1" w:themeFillShade="F2"/>
          </w:tcPr>
          <w:p w14:paraId="678D3256" w14:textId="77777777" w:rsidR="005A146F" w:rsidRPr="00B305B0" w:rsidRDefault="005A146F" w:rsidP="00B305B0">
            <w:pPr>
              <w:pStyle w:val="TableContent"/>
              <w:rPr>
                <w:b/>
                <w:bCs/>
                <w:sz w:val="24"/>
              </w:rPr>
            </w:pPr>
            <w:r w:rsidRPr="00B305B0">
              <w:rPr>
                <w:b/>
                <w:bCs/>
                <w:sz w:val="24"/>
              </w:rPr>
              <w:t>LG (FM) Regs, regulations 4(1) and (2)</w:t>
            </w:r>
          </w:p>
        </w:tc>
      </w:tr>
      <w:tr w:rsidR="005A146F" w:rsidRPr="00375FAE" w14:paraId="7880B683" w14:textId="77777777">
        <w:tc>
          <w:tcPr>
            <w:tcW w:w="9639" w:type="dxa"/>
          </w:tcPr>
          <w:p w14:paraId="2487C564" w14:textId="77777777" w:rsidR="005A146F" w:rsidRPr="00C1045F" w:rsidRDefault="005A146F" w:rsidP="00B305B0">
            <w:pPr>
              <w:pStyle w:val="TableContent"/>
              <w:ind w:left="397" w:hanging="397"/>
              <w:rPr>
                <w:sz w:val="24"/>
              </w:rPr>
            </w:pPr>
            <w:r w:rsidRPr="00C1045F">
              <w:rPr>
                <w:sz w:val="24"/>
              </w:rPr>
              <w:t>‘(1) These</w:t>
            </w:r>
            <w:r w:rsidRPr="00D1617E">
              <w:t xml:space="preserve"> </w:t>
            </w:r>
            <w:r w:rsidRPr="00C1045F">
              <w:rPr>
                <w:sz w:val="24"/>
              </w:rPr>
              <w:t>regulations are in addition to and not in derogation of the requirements of the AAS.</w:t>
            </w:r>
          </w:p>
          <w:p w14:paraId="07AC4FDE" w14:textId="77777777" w:rsidR="005A146F" w:rsidRPr="00375FAE" w:rsidRDefault="005A146F" w:rsidP="00B305B0">
            <w:pPr>
              <w:pStyle w:val="TableContent"/>
              <w:ind w:left="397" w:hanging="397"/>
            </w:pPr>
            <w:r w:rsidRPr="00C1045F">
              <w:rPr>
                <w:sz w:val="24"/>
              </w:rPr>
              <w:t xml:space="preserve"> (2) If a provision of the AAS is inconsistent with a provision of these regulations, the provision of these regulations prevails to the extent of the inconsistency.’</w:t>
            </w:r>
          </w:p>
        </w:tc>
      </w:tr>
    </w:tbl>
    <w:p w14:paraId="1A693B28" w14:textId="77777777" w:rsidR="003E2709" w:rsidRPr="00D1617E" w:rsidRDefault="003E2709" w:rsidP="009115E8">
      <w:pPr>
        <w:pStyle w:val="Heading4"/>
      </w:pPr>
      <w:r w:rsidRPr="00D1617E">
        <w:t>Practical application</w:t>
      </w:r>
    </w:p>
    <w:p w14:paraId="520F30D1" w14:textId="77777777" w:rsidR="003E2709" w:rsidRPr="00D1617E" w:rsidRDefault="003E2709" w:rsidP="003E2709">
      <w:pPr>
        <w:spacing w:before="120"/>
        <w:rPr>
          <w:rFonts w:cs="Arial"/>
        </w:rPr>
      </w:pPr>
      <w:r w:rsidRPr="00D1617E">
        <w:rPr>
          <w:rFonts w:cs="Arial"/>
        </w:rPr>
        <w:t>Compliance with both sets of requirements can be explained as follows:</w:t>
      </w:r>
    </w:p>
    <w:tbl>
      <w:tblPr>
        <w:tblStyle w:val="TableGrid"/>
        <w:tblW w:w="9639" w:type="dxa"/>
        <w:tblLook w:val="04A0" w:firstRow="1" w:lastRow="0" w:firstColumn="1" w:lastColumn="0" w:noHBand="0" w:noVBand="1"/>
      </w:tblPr>
      <w:tblGrid>
        <w:gridCol w:w="3213"/>
        <w:gridCol w:w="3213"/>
        <w:gridCol w:w="3213"/>
      </w:tblGrid>
      <w:tr w:rsidR="003E2709" w:rsidRPr="002D63C0" w14:paraId="7CC79243" w14:textId="77777777">
        <w:tc>
          <w:tcPr>
            <w:tcW w:w="3249" w:type="dxa"/>
            <w:shd w:val="clear" w:color="auto" w:fill="F2F2F2" w:themeFill="background1" w:themeFillShade="F2"/>
          </w:tcPr>
          <w:p w14:paraId="2BD0A01D" w14:textId="77777777" w:rsidR="003E2709" w:rsidRPr="00965F24" w:rsidRDefault="003E2709" w:rsidP="00965F24">
            <w:pPr>
              <w:pStyle w:val="TableContent"/>
              <w:rPr>
                <w:b/>
                <w:bCs/>
                <w:sz w:val="24"/>
              </w:rPr>
            </w:pPr>
            <w:r w:rsidRPr="00965F24">
              <w:rPr>
                <w:b/>
                <w:bCs/>
                <w:sz w:val="24"/>
              </w:rPr>
              <w:t>Situation</w:t>
            </w:r>
          </w:p>
        </w:tc>
        <w:tc>
          <w:tcPr>
            <w:tcW w:w="3250" w:type="dxa"/>
            <w:shd w:val="clear" w:color="auto" w:fill="F2F2F2" w:themeFill="background1" w:themeFillShade="F2"/>
          </w:tcPr>
          <w:p w14:paraId="7D9B385F" w14:textId="632ACEFD" w:rsidR="003E2709" w:rsidRPr="00965F24" w:rsidRDefault="003E2709" w:rsidP="00965F24">
            <w:pPr>
              <w:pStyle w:val="TableContent"/>
              <w:rPr>
                <w:b/>
                <w:bCs/>
                <w:sz w:val="24"/>
              </w:rPr>
            </w:pPr>
            <w:r w:rsidRPr="00965F24">
              <w:rPr>
                <w:b/>
                <w:bCs/>
                <w:sz w:val="24"/>
              </w:rPr>
              <w:t>Compl</w:t>
            </w:r>
            <w:r w:rsidR="0061463A">
              <w:rPr>
                <w:b/>
                <w:bCs/>
                <w:sz w:val="24"/>
              </w:rPr>
              <w:t>ies</w:t>
            </w:r>
            <w:r w:rsidRPr="00965F24">
              <w:rPr>
                <w:b/>
                <w:bCs/>
                <w:sz w:val="24"/>
              </w:rPr>
              <w:t xml:space="preserve"> with LG (FM) Regs?</w:t>
            </w:r>
          </w:p>
        </w:tc>
        <w:tc>
          <w:tcPr>
            <w:tcW w:w="3250" w:type="dxa"/>
            <w:shd w:val="clear" w:color="auto" w:fill="F2F2F2" w:themeFill="background1" w:themeFillShade="F2"/>
          </w:tcPr>
          <w:p w14:paraId="46CE8B6C" w14:textId="5A22752D" w:rsidR="003E2709" w:rsidRPr="00965F24" w:rsidRDefault="003E2709" w:rsidP="00965F24">
            <w:pPr>
              <w:pStyle w:val="TableContent"/>
              <w:rPr>
                <w:b/>
                <w:bCs/>
                <w:sz w:val="24"/>
              </w:rPr>
            </w:pPr>
            <w:r w:rsidRPr="00965F24">
              <w:rPr>
                <w:b/>
                <w:bCs/>
                <w:sz w:val="24"/>
              </w:rPr>
              <w:t>Compl</w:t>
            </w:r>
            <w:r w:rsidR="0061463A">
              <w:rPr>
                <w:b/>
                <w:bCs/>
                <w:sz w:val="24"/>
              </w:rPr>
              <w:t>ies</w:t>
            </w:r>
            <w:r w:rsidRPr="00965F24">
              <w:rPr>
                <w:b/>
                <w:bCs/>
                <w:sz w:val="24"/>
              </w:rPr>
              <w:t xml:space="preserve"> with AAS?</w:t>
            </w:r>
          </w:p>
        </w:tc>
      </w:tr>
      <w:tr w:rsidR="003E2709" w:rsidRPr="00805594" w14:paraId="7CD9492C" w14:textId="77777777">
        <w:tc>
          <w:tcPr>
            <w:tcW w:w="3249" w:type="dxa"/>
          </w:tcPr>
          <w:p w14:paraId="0F4300FD" w14:textId="77777777" w:rsidR="003E2709" w:rsidRPr="00805594" w:rsidRDefault="003E2709" w:rsidP="00805594">
            <w:pPr>
              <w:pStyle w:val="TableContent"/>
              <w:rPr>
                <w:sz w:val="24"/>
              </w:rPr>
            </w:pPr>
            <w:r w:rsidRPr="00805594">
              <w:rPr>
                <w:sz w:val="24"/>
              </w:rPr>
              <w:t xml:space="preserve">Item covered by LG (FM) Regs only </w:t>
            </w:r>
          </w:p>
        </w:tc>
        <w:tc>
          <w:tcPr>
            <w:tcW w:w="3250" w:type="dxa"/>
          </w:tcPr>
          <w:p w14:paraId="1889AC13" w14:textId="77777777" w:rsidR="003E2709" w:rsidRPr="00805594" w:rsidRDefault="003E2709" w:rsidP="00805594">
            <w:pPr>
              <w:pStyle w:val="TableContent"/>
              <w:rPr>
                <w:sz w:val="24"/>
              </w:rPr>
            </w:pPr>
            <w:r w:rsidRPr="00805594">
              <w:rPr>
                <w:sz w:val="24"/>
              </w:rPr>
              <w:t>Yes</w:t>
            </w:r>
          </w:p>
        </w:tc>
        <w:tc>
          <w:tcPr>
            <w:tcW w:w="3250" w:type="dxa"/>
          </w:tcPr>
          <w:p w14:paraId="749B1749" w14:textId="77777777" w:rsidR="003E2709" w:rsidRPr="00805594" w:rsidRDefault="003E2709" w:rsidP="00805594">
            <w:pPr>
              <w:pStyle w:val="TableContent"/>
              <w:rPr>
                <w:sz w:val="24"/>
              </w:rPr>
            </w:pPr>
            <w:r w:rsidRPr="00805594">
              <w:rPr>
                <w:sz w:val="24"/>
              </w:rPr>
              <w:t>n/a</w:t>
            </w:r>
          </w:p>
        </w:tc>
      </w:tr>
      <w:tr w:rsidR="003E2709" w:rsidRPr="00805594" w14:paraId="3708AF48" w14:textId="77777777">
        <w:tc>
          <w:tcPr>
            <w:tcW w:w="3249" w:type="dxa"/>
          </w:tcPr>
          <w:p w14:paraId="36D90E5A" w14:textId="77777777" w:rsidR="003E2709" w:rsidRPr="00805594" w:rsidRDefault="003E2709" w:rsidP="00805594">
            <w:pPr>
              <w:pStyle w:val="TableContent"/>
              <w:rPr>
                <w:sz w:val="24"/>
              </w:rPr>
            </w:pPr>
            <w:r w:rsidRPr="00805594">
              <w:rPr>
                <w:sz w:val="24"/>
              </w:rPr>
              <w:t>Item covered by AAS only</w:t>
            </w:r>
          </w:p>
        </w:tc>
        <w:tc>
          <w:tcPr>
            <w:tcW w:w="3250" w:type="dxa"/>
          </w:tcPr>
          <w:p w14:paraId="400865CB" w14:textId="77777777" w:rsidR="003E2709" w:rsidRPr="00805594" w:rsidRDefault="003E2709" w:rsidP="00805594">
            <w:pPr>
              <w:pStyle w:val="TableContent"/>
              <w:rPr>
                <w:sz w:val="24"/>
              </w:rPr>
            </w:pPr>
            <w:r w:rsidRPr="00805594">
              <w:rPr>
                <w:sz w:val="24"/>
              </w:rPr>
              <w:t>n/a</w:t>
            </w:r>
          </w:p>
        </w:tc>
        <w:tc>
          <w:tcPr>
            <w:tcW w:w="3250" w:type="dxa"/>
          </w:tcPr>
          <w:p w14:paraId="1D35E115" w14:textId="77777777" w:rsidR="003E2709" w:rsidRPr="00805594" w:rsidRDefault="003E2709" w:rsidP="00805594">
            <w:pPr>
              <w:pStyle w:val="TableContent"/>
              <w:rPr>
                <w:sz w:val="24"/>
              </w:rPr>
            </w:pPr>
            <w:r w:rsidRPr="00805594">
              <w:rPr>
                <w:sz w:val="24"/>
              </w:rPr>
              <w:t>Yes</w:t>
            </w:r>
          </w:p>
        </w:tc>
      </w:tr>
      <w:tr w:rsidR="003E2709" w:rsidRPr="00805594" w14:paraId="0EB663BA" w14:textId="77777777">
        <w:tc>
          <w:tcPr>
            <w:tcW w:w="3249" w:type="dxa"/>
          </w:tcPr>
          <w:p w14:paraId="63393006" w14:textId="77777777" w:rsidR="003E2709" w:rsidRPr="00805594" w:rsidRDefault="003E2709" w:rsidP="00805594">
            <w:pPr>
              <w:pStyle w:val="TableContent"/>
              <w:rPr>
                <w:sz w:val="24"/>
              </w:rPr>
            </w:pPr>
            <w:r w:rsidRPr="00805594">
              <w:rPr>
                <w:sz w:val="24"/>
              </w:rPr>
              <w:t xml:space="preserve">Item covered by both the LG (FM) Regs and AAS but require different treatments </w:t>
            </w:r>
          </w:p>
        </w:tc>
        <w:tc>
          <w:tcPr>
            <w:tcW w:w="3250" w:type="dxa"/>
          </w:tcPr>
          <w:p w14:paraId="23F45257" w14:textId="77777777" w:rsidR="003E2709" w:rsidRPr="00805594" w:rsidRDefault="003E2709" w:rsidP="00805594">
            <w:pPr>
              <w:pStyle w:val="TableContent"/>
              <w:rPr>
                <w:sz w:val="24"/>
              </w:rPr>
            </w:pPr>
            <w:r w:rsidRPr="00805594">
              <w:rPr>
                <w:sz w:val="24"/>
              </w:rPr>
              <w:t>Yes</w:t>
            </w:r>
          </w:p>
        </w:tc>
        <w:tc>
          <w:tcPr>
            <w:tcW w:w="3250" w:type="dxa"/>
          </w:tcPr>
          <w:p w14:paraId="6F078641" w14:textId="77777777" w:rsidR="003E2709" w:rsidRPr="00805594" w:rsidRDefault="003E2709" w:rsidP="00805594">
            <w:pPr>
              <w:pStyle w:val="TableContent"/>
              <w:rPr>
                <w:sz w:val="24"/>
              </w:rPr>
            </w:pPr>
            <w:r w:rsidRPr="00805594">
              <w:rPr>
                <w:sz w:val="24"/>
              </w:rPr>
              <w:t>No, as legislation overrules AAS</w:t>
            </w:r>
          </w:p>
        </w:tc>
      </w:tr>
    </w:tbl>
    <w:p w14:paraId="061C90A5" w14:textId="77777777" w:rsidR="003E2709" w:rsidRPr="00805594" w:rsidRDefault="003E2709" w:rsidP="00963BBD">
      <w:pPr>
        <w:pStyle w:val="Heading2"/>
      </w:pPr>
      <w:bookmarkStart w:id="15" w:name="_Toc207722716"/>
      <w:bookmarkStart w:id="16" w:name="_Toc223445056"/>
      <w:r w:rsidRPr="00805594">
        <w:t>17A(2)(a) Assets</w:t>
      </w:r>
      <w:bookmarkEnd w:id="15"/>
      <w:bookmarkEnd w:id="16"/>
    </w:p>
    <w:p w14:paraId="10E5B4A7" w14:textId="77777777" w:rsidR="003E2709" w:rsidRPr="00D1617E" w:rsidRDefault="003E2709" w:rsidP="00E8351C">
      <w:pPr>
        <w:pStyle w:val="Heading4"/>
      </w:pPr>
      <w:bookmarkStart w:id="17" w:name="_Toc207722717"/>
      <w:r w:rsidRPr="00D4487B">
        <w:t>Identity of 17A(2)(a) Assets</w:t>
      </w:r>
      <w:bookmarkEnd w:id="17"/>
    </w:p>
    <w:p w14:paraId="575032AC" w14:textId="77777777" w:rsidR="003E2709" w:rsidRPr="00D1617E" w:rsidRDefault="003E2709" w:rsidP="00D70B5C">
      <w:pPr>
        <w:pStyle w:val="BodyText"/>
      </w:pPr>
      <w:r w:rsidRPr="00D1617E">
        <w:t>The LG (FM) Regs identifies 17A(2)(a) Assets as follows:</w:t>
      </w:r>
    </w:p>
    <w:tbl>
      <w:tblPr>
        <w:tblStyle w:val="TableGrid"/>
        <w:tblW w:w="9639" w:type="dxa"/>
        <w:tblLook w:val="04A0" w:firstRow="1" w:lastRow="0" w:firstColumn="1" w:lastColumn="0" w:noHBand="0" w:noVBand="1"/>
      </w:tblPr>
      <w:tblGrid>
        <w:gridCol w:w="9639"/>
      </w:tblGrid>
      <w:tr w:rsidR="003E2709" w:rsidRPr="00D1617E" w14:paraId="47F5DEF7" w14:textId="77777777">
        <w:trPr>
          <w:tblHeader/>
        </w:trPr>
        <w:tc>
          <w:tcPr>
            <w:tcW w:w="9639" w:type="dxa"/>
            <w:shd w:val="clear" w:color="auto" w:fill="F2F2F2" w:themeFill="background1" w:themeFillShade="F2"/>
          </w:tcPr>
          <w:p w14:paraId="3AB4DFAE" w14:textId="77777777" w:rsidR="003E2709" w:rsidRPr="00905438" w:rsidRDefault="003E2709" w:rsidP="00905438">
            <w:pPr>
              <w:pStyle w:val="TableContent"/>
              <w:rPr>
                <w:b/>
                <w:bCs/>
                <w:sz w:val="24"/>
              </w:rPr>
            </w:pPr>
            <w:r w:rsidRPr="00905438">
              <w:rPr>
                <w:b/>
                <w:bCs/>
                <w:sz w:val="24"/>
              </w:rPr>
              <w:t>LG (FM) Regs, regulation 17</w:t>
            </w:r>
            <w:proofErr w:type="gramStart"/>
            <w:r w:rsidRPr="00905438">
              <w:rPr>
                <w:b/>
                <w:bCs/>
                <w:sz w:val="24"/>
              </w:rPr>
              <w:t>A(</w:t>
            </w:r>
            <w:proofErr w:type="gramEnd"/>
            <w:r w:rsidRPr="00905438">
              <w:rPr>
                <w:b/>
                <w:bCs/>
                <w:sz w:val="24"/>
              </w:rPr>
              <w:t>2)</w:t>
            </w:r>
          </w:p>
        </w:tc>
      </w:tr>
      <w:tr w:rsidR="003E2709" w:rsidRPr="00D1617E" w14:paraId="070A0AB3" w14:textId="77777777">
        <w:tc>
          <w:tcPr>
            <w:tcW w:w="9639" w:type="dxa"/>
          </w:tcPr>
          <w:p w14:paraId="3E7791E2" w14:textId="77777777" w:rsidR="003E2709" w:rsidRPr="00805594" w:rsidRDefault="003E2709" w:rsidP="00FA0DC3">
            <w:pPr>
              <w:pStyle w:val="TableContent"/>
              <w:ind w:left="454" w:hanging="454"/>
              <w:rPr>
                <w:sz w:val="24"/>
              </w:rPr>
            </w:pPr>
            <w:r w:rsidRPr="00805594">
              <w:rPr>
                <w:sz w:val="24"/>
              </w:rPr>
              <w:t xml:space="preserve">‘(2) A local government must show in each financial report for a financial year ending on or after 30 June 2020 — </w:t>
            </w:r>
          </w:p>
          <w:p w14:paraId="0C245103" w14:textId="6E039661" w:rsidR="003E2709" w:rsidRPr="00805594" w:rsidRDefault="003E2709" w:rsidP="00FA0DC3">
            <w:pPr>
              <w:pStyle w:val="TableContent"/>
              <w:ind w:left="851" w:hanging="397"/>
              <w:rPr>
                <w:sz w:val="24"/>
              </w:rPr>
            </w:pPr>
            <w:r w:rsidRPr="00805594">
              <w:rPr>
                <w:sz w:val="24"/>
              </w:rPr>
              <w:t xml:space="preserve">(a) the reportable value of </w:t>
            </w:r>
            <w:proofErr w:type="gramStart"/>
            <w:r w:rsidRPr="00805594">
              <w:rPr>
                <w:sz w:val="24"/>
              </w:rPr>
              <w:t>all of</w:t>
            </w:r>
            <w:proofErr w:type="gramEnd"/>
            <w:r w:rsidRPr="00805594">
              <w:rPr>
                <w:sz w:val="24"/>
              </w:rPr>
              <w:t xml:space="preserve"> the non-financial assets of the local government that are — </w:t>
            </w:r>
          </w:p>
          <w:p w14:paraId="6844A59F" w14:textId="77777777" w:rsidR="003E2709" w:rsidRPr="00805594" w:rsidRDefault="003E2709" w:rsidP="00FA0DC3">
            <w:pPr>
              <w:pStyle w:val="TableContent"/>
              <w:ind w:left="851"/>
              <w:rPr>
                <w:sz w:val="24"/>
              </w:rPr>
            </w:pPr>
            <w:r w:rsidRPr="00805594">
              <w:rPr>
                <w:sz w:val="24"/>
              </w:rPr>
              <w:t>(</w:t>
            </w:r>
            <w:proofErr w:type="spellStart"/>
            <w:r w:rsidRPr="00805594">
              <w:rPr>
                <w:sz w:val="24"/>
              </w:rPr>
              <w:t>i</w:t>
            </w:r>
            <w:proofErr w:type="spellEnd"/>
            <w:r w:rsidRPr="00805594">
              <w:rPr>
                <w:sz w:val="24"/>
              </w:rPr>
              <w:t xml:space="preserve">) land and buildings that are classified as property, plant and equipment; or </w:t>
            </w:r>
          </w:p>
          <w:p w14:paraId="2C92B42E" w14:textId="77777777" w:rsidR="003E2709" w:rsidRPr="00805594" w:rsidRDefault="003E2709" w:rsidP="00FA0DC3">
            <w:pPr>
              <w:pStyle w:val="TableContent"/>
              <w:ind w:left="851"/>
              <w:rPr>
                <w:sz w:val="24"/>
              </w:rPr>
            </w:pPr>
            <w:r w:rsidRPr="00805594">
              <w:rPr>
                <w:sz w:val="24"/>
              </w:rPr>
              <w:t xml:space="preserve">(ii) investment properties; or </w:t>
            </w:r>
          </w:p>
          <w:p w14:paraId="13172660" w14:textId="77777777" w:rsidR="003E2709" w:rsidRPr="00805594" w:rsidRDefault="003E2709" w:rsidP="00FA0DC3">
            <w:pPr>
              <w:pStyle w:val="TableContent"/>
              <w:ind w:left="851"/>
              <w:rPr>
                <w:sz w:val="24"/>
              </w:rPr>
            </w:pPr>
            <w:r w:rsidRPr="00805594">
              <w:rPr>
                <w:sz w:val="24"/>
              </w:rPr>
              <w:t xml:space="preserve">(iii) infrastructure; or </w:t>
            </w:r>
          </w:p>
          <w:p w14:paraId="7A27E64C" w14:textId="77777777" w:rsidR="003E2709" w:rsidRPr="00805594" w:rsidRDefault="003E2709" w:rsidP="00FA0DC3">
            <w:pPr>
              <w:pStyle w:val="TableContent"/>
              <w:ind w:left="851"/>
              <w:rPr>
                <w:sz w:val="24"/>
              </w:rPr>
            </w:pPr>
            <w:r w:rsidRPr="00805594">
              <w:rPr>
                <w:sz w:val="24"/>
              </w:rPr>
              <w:t>(iv) vested improvements that the local government controls;’</w:t>
            </w:r>
          </w:p>
          <w:p w14:paraId="67BADF01" w14:textId="77777777" w:rsidR="003E2709" w:rsidRPr="00D1617E" w:rsidRDefault="003E2709" w:rsidP="00805594">
            <w:pPr>
              <w:pStyle w:val="TableContent"/>
            </w:pPr>
            <w:r w:rsidRPr="00805594">
              <w:rPr>
                <w:sz w:val="24"/>
              </w:rPr>
              <w:lastRenderedPageBreak/>
              <w:t xml:space="preserve">These items will collectively be referred to as </w:t>
            </w:r>
            <w:r w:rsidRPr="00805594">
              <w:rPr>
                <w:b/>
                <w:bCs/>
                <w:sz w:val="24"/>
              </w:rPr>
              <w:t>17A(2)(a) Assets.</w:t>
            </w:r>
          </w:p>
        </w:tc>
      </w:tr>
    </w:tbl>
    <w:p w14:paraId="236EAFFE" w14:textId="321B9D05" w:rsidR="00280E38" w:rsidRPr="00D4487B" w:rsidRDefault="00280E38" w:rsidP="00E8351C">
      <w:pPr>
        <w:pStyle w:val="Heading4"/>
      </w:pPr>
      <w:r w:rsidRPr="00D4487B">
        <w:t>Explanation of terms used</w:t>
      </w:r>
    </w:p>
    <w:p w14:paraId="68625613" w14:textId="77777777" w:rsidR="00280E38" w:rsidRPr="00D1617E" w:rsidRDefault="00280E38" w:rsidP="00D70B5C">
      <w:pPr>
        <w:pStyle w:val="BodyText"/>
      </w:pPr>
      <w:r w:rsidRPr="00D1617E">
        <w:t xml:space="preserve">The LG (FM) Regs defines terms included in the above table as follows: </w:t>
      </w:r>
    </w:p>
    <w:tbl>
      <w:tblPr>
        <w:tblStyle w:val="TableGrid"/>
        <w:tblW w:w="9639" w:type="dxa"/>
        <w:tblLook w:val="04A0" w:firstRow="1" w:lastRow="0" w:firstColumn="1" w:lastColumn="0" w:noHBand="0" w:noVBand="1"/>
      </w:tblPr>
      <w:tblGrid>
        <w:gridCol w:w="9639"/>
      </w:tblGrid>
      <w:tr w:rsidR="00280E38" w:rsidRPr="00D1617E" w14:paraId="7DDCB09B" w14:textId="77777777">
        <w:trPr>
          <w:tblHeader/>
        </w:trPr>
        <w:tc>
          <w:tcPr>
            <w:tcW w:w="9776" w:type="dxa"/>
            <w:shd w:val="clear" w:color="auto" w:fill="F2F2F2" w:themeFill="background1" w:themeFillShade="F2"/>
          </w:tcPr>
          <w:p w14:paraId="1F8CF697" w14:textId="77777777" w:rsidR="00280E38" w:rsidRPr="00FD5665" w:rsidRDefault="00280E38" w:rsidP="00FD5665">
            <w:pPr>
              <w:pStyle w:val="TableContent"/>
              <w:rPr>
                <w:b/>
                <w:bCs/>
                <w:sz w:val="24"/>
              </w:rPr>
            </w:pPr>
            <w:r w:rsidRPr="00FD5665">
              <w:rPr>
                <w:b/>
                <w:bCs/>
                <w:sz w:val="24"/>
              </w:rPr>
              <w:t>LG (FM) Regs, regulation 17</w:t>
            </w:r>
            <w:proofErr w:type="gramStart"/>
            <w:r w:rsidRPr="00FD5665">
              <w:rPr>
                <w:b/>
                <w:bCs/>
                <w:sz w:val="24"/>
              </w:rPr>
              <w:t>A(</w:t>
            </w:r>
            <w:proofErr w:type="gramEnd"/>
            <w:r w:rsidRPr="00FD5665">
              <w:rPr>
                <w:b/>
                <w:bCs/>
                <w:sz w:val="24"/>
              </w:rPr>
              <w:t>1)</w:t>
            </w:r>
          </w:p>
        </w:tc>
      </w:tr>
      <w:tr w:rsidR="00280E38" w:rsidRPr="00D1617E" w14:paraId="1990C30E" w14:textId="77777777">
        <w:tc>
          <w:tcPr>
            <w:tcW w:w="9776" w:type="dxa"/>
          </w:tcPr>
          <w:p w14:paraId="16701B87" w14:textId="77777777" w:rsidR="00280E38" w:rsidRPr="007168A7" w:rsidRDefault="00280E38" w:rsidP="007168A7">
            <w:pPr>
              <w:pStyle w:val="TableContent"/>
              <w:rPr>
                <w:sz w:val="24"/>
              </w:rPr>
            </w:pPr>
            <w:r w:rsidRPr="007168A7">
              <w:rPr>
                <w:sz w:val="24"/>
              </w:rPr>
              <w:t>‘(1)   In this regulation —</w:t>
            </w:r>
          </w:p>
          <w:p w14:paraId="65DCCF33" w14:textId="77777777" w:rsidR="00280E38" w:rsidRPr="007168A7" w:rsidRDefault="00280E38" w:rsidP="007168A7">
            <w:pPr>
              <w:pStyle w:val="TableContent"/>
              <w:ind w:left="567"/>
              <w:rPr>
                <w:sz w:val="24"/>
              </w:rPr>
            </w:pPr>
            <w:r w:rsidRPr="007168A7">
              <w:rPr>
                <w:b/>
                <w:bCs/>
                <w:i/>
                <w:iCs/>
                <w:sz w:val="24"/>
              </w:rPr>
              <w:t>fair value</w:t>
            </w:r>
            <w:r w:rsidRPr="007168A7">
              <w:rPr>
                <w:sz w:val="24"/>
              </w:rPr>
              <w:t xml:space="preserve">, in relation to a non-financial asset, means the fair value of the non-financial asset measured in accordance with the </w:t>
            </w:r>
            <w:proofErr w:type="gramStart"/>
            <w:r w:rsidRPr="007168A7">
              <w:rPr>
                <w:sz w:val="24"/>
              </w:rPr>
              <w:t>AAS;</w:t>
            </w:r>
            <w:proofErr w:type="gramEnd"/>
          </w:p>
          <w:p w14:paraId="6305CA77" w14:textId="77777777" w:rsidR="00280E38" w:rsidRPr="007168A7" w:rsidRDefault="00280E38" w:rsidP="007168A7">
            <w:pPr>
              <w:pStyle w:val="TableContent"/>
              <w:ind w:left="567"/>
              <w:rPr>
                <w:sz w:val="24"/>
              </w:rPr>
            </w:pPr>
            <w:r w:rsidRPr="007168A7">
              <w:rPr>
                <w:b/>
                <w:bCs/>
                <w:i/>
                <w:iCs/>
                <w:sz w:val="24"/>
              </w:rPr>
              <w:t>last valuation date</w:t>
            </w:r>
            <w:r w:rsidRPr="007168A7">
              <w:rPr>
                <w:sz w:val="24"/>
              </w:rPr>
              <w:t>, in relation to a non-financial asset of a local government, means —</w:t>
            </w:r>
          </w:p>
          <w:p w14:paraId="7035297E" w14:textId="77777777" w:rsidR="00280E38" w:rsidRPr="007168A7" w:rsidRDefault="00280E38" w:rsidP="00BB0FB6">
            <w:pPr>
              <w:pStyle w:val="TableContent"/>
              <w:ind w:left="964" w:hanging="397"/>
              <w:rPr>
                <w:sz w:val="24"/>
              </w:rPr>
            </w:pPr>
            <w:r w:rsidRPr="007168A7">
              <w:rPr>
                <w:sz w:val="24"/>
              </w:rPr>
              <w:t xml:space="preserve">(a) if the asset has been revalued by the local government — the date of the last </w:t>
            </w:r>
            <w:proofErr w:type="gramStart"/>
            <w:r w:rsidRPr="007168A7">
              <w:rPr>
                <w:sz w:val="24"/>
              </w:rPr>
              <w:t>revaluation;</w:t>
            </w:r>
            <w:proofErr w:type="gramEnd"/>
          </w:p>
          <w:p w14:paraId="4285C70D" w14:textId="77777777" w:rsidR="00280E38" w:rsidRPr="007168A7" w:rsidRDefault="00280E38" w:rsidP="007168A7">
            <w:pPr>
              <w:pStyle w:val="TableContent"/>
              <w:ind w:left="567"/>
              <w:rPr>
                <w:sz w:val="24"/>
              </w:rPr>
            </w:pPr>
            <w:r w:rsidRPr="007168A7">
              <w:rPr>
                <w:sz w:val="24"/>
              </w:rPr>
              <w:t xml:space="preserve">(b) otherwise — the date of acquisition by the local </w:t>
            </w:r>
            <w:proofErr w:type="gramStart"/>
            <w:r w:rsidRPr="007168A7">
              <w:rPr>
                <w:sz w:val="24"/>
              </w:rPr>
              <w:t>government;</w:t>
            </w:r>
            <w:proofErr w:type="gramEnd"/>
          </w:p>
          <w:p w14:paraId="2132165D" w14:textId="77777777" w:rsidR="00280E38" w:rsidRPr="00D1617E" w:rsidRDefault="00280E38" w:rsidP="007168A7">
            <w:pPr>
              <w:pStyle w:val="TableContent"/>
              <w:ind w:left="567"/>
              <w:rPr>
                <w:color w:val="auto"/>
              </w:rPr>
            </w:pPr>
            <w:r w:rsidRPr="007168A7">
              <w:rPr>
                <w:b/>
                <w:bCs/>
                <w:i/>
                <w:iCs/>
                <w:sz w:val="24"/>
              </w:rPr>
              <w:t>vested improvement</w:t>
            </w:r>
            <w:r w:rsidRPr="007168A7">
              <w:rPr>
                <w:sz w:val="24"/>
              </w:rPr>
              <w:t xml:space="preserve">, in relation to a local government, means a pre-existing improvement on land of which the care, control or management is vested in the local government at nil or nominal </w:t>
            </w:r>
            <w:r w:rsidRPr="007168A7">
              <w:rPr>
                <w:color w:val="auto"/>
                <w:sz w:val="24"/>
              </w:rPr>
              <w:t>cost for an indefinite period.’</w:t>
            </w:r>
          </w:p>
        </w:tc>
      </w:tr>
    </w:tbl>
    <w:p w14:paraId="66714184" w14:textId="77777777" w:rsidR="001C2B22" w:rsidRPr="00D1617E" w:rsidRDefault="001C2B22" w:rsidP="00E8351C">
      <w:pPr>
        <w:pStyle w:val="Heading4"/>
      </w:pPr>
      <w:bookmarkStart w:id="18" w:name="_Toc207722718"/>
      <w:r w:rsidRPr="00D1617E">
        <w:t>Reportable value of 17A(2)(a) Assets</w:t>
      </w:r>
      <w:bookmarkEnd w:id="18"/>
    </w:p>
    <w:p w14:paraId="21EB6502" w14:textId="77777777" w:rsidR="001C2B22" w:rsidRPr="009948EC" w:rsidRDefault="001C2B22" w:rsidP="00D70B5C">
      <w:pPr>
        <w:pStyle w:val="BodyText"/>
      </w:pPr>
      <w:r w:rsidRPr="009948EC">
        <w:t>Definition of reportable value</w:t>
      </w:r>
    </w:p>
    <w:p w14:paraId="5E8EC176" w14:textId="77777777" w:rsidR="001C2B22" w:rsidRPr="009948EC" w:rsidRDefault="001C2B22" w:rsidP="00D70B5C">
      <w:pPr>
        <w:pStyle w:val="BodyText"/>
      </w:pPr>
      <w:r w:rsidRPr="009948EC">
        <w:t>The LG (FM) Regs defines the term reportable value as follows:</w:t>
      </w:r>
    </w:p>
    <w:tbl>
      <w:tblPr>
        <w:tblStyle w:val="TableGrid"/>
        <w:tblW w:w="9639" w:type="dxa"/>
        <w:tblLook w:val="04A0" w:firstRow="1" w:lastRow="0" w:firstColumn="1" w:lastColumn="0" w:noHBand="0" w:noVBand="1"/>
      </w:tblPr>
      <w:tblGrid>
        <w:gridCol w:w="9639"/>
      </w:tblGrid>
      <w:tr w:rsidR="001C2B22" w:rsidRPr="009948EC" w14:paraId="202CD4FA" w14:textId="77777777">
        <w:trPr>
          <w:tblHeader/>
        </w:trPr>
        <w:tc>
          <w:tcPr>
            <w:tcW w:w="9639" w:type="dxa"/>
            <w:shd w:val="clear" w:color="auto" w:fill="F2F2F2" w:themeFill="background1" w:themeFillShade="F2"/>
          </w:tcPr>
          <w:p w14:paraId="25A0AD80" w14:textId="77777777" w:rsidR="001C2B22" w:rsidRPr="00123C93" w:rsidRDefault="001C2B22" w:rsidP="002C172A">
            <w:pPr>
              <w:pStyle w:val="TableContent"/>
              <w:rPr>
                <w:b/>
                <w:bCs/>
                <w:sz w:val="24"/>
              </w:rPr>
            </w:pPr>
            <w:r w:rsidRPr="00123C93">
              <w:rPr>
                <w:b/>
                <w:bCs/>
                <w:sz w:val="24"/>
              </w:rPr>
              <w:t>LG (FM) Regs, regulation 17</w:t>
            </w:r>
            <w:proofErr w:type="gramStart"/>
            <w:r w:rsidRPr="00123C93">
              <w:rPr>
                <w:b/>
                <w:bCs/>
                <w:sz w:val="24"/>
              </w:rPr>
              <w:t>A(</w:t>
            </w:r>
            <w:proofErr w:type="gramEnd"/>
            <w:r w:rsidRPr="00123C93">
              <w:rPr>
                <w:b/>
                <w:bCs/>
                <w:sz w:val="24"/>
              </w:rPr>
              <w:t>4)</w:t>
            </w:r>
          </w:p>
        </w:tc>
      </w:tr>
      <w:tr w:rsidR="001C2B22" w:rsidRPr="009948EC" w14:paraId="2C5777EB" w14:textId="77777777">
        <w:trPr>
          <w:trHeight w:val="1832"/>
        </w:trPr>
        <w:tc>
          <w:tcPr>
            <w:tcW w:w="9639" w:type="dxa"/>
          </w:tcPr>
          <w:p w14:paraId="72F34D9D" w14:textId="35CF5C02" w:rsidR="001C2B22" w:rsidRPr="00123C93" w:rsidRDefault="001C2B22" w:rsidP="002C172A">
            <w:pPr>
              <w:pStyle w:val="TableContent"/>
              <w:ind w:left="454" w:hanging="454"/>
              <w:rPr>
                <w:sz w:val="24"/>
              </w:rPr>
            </w:pPr>
            <w:r w:rsidRPr="00123C93">
              <w:rPr>
                <w:sz w:val="24"/>
              </w:rPr>
              <w:t>‘(4</w:t>
            </w:r>
            <w:proofErr w:type="gramStart"/>
            <w:r w:rsidRPr="00123C93">
              <w:rPr>
                <w:sz w:val="24"/>
              </w:rPr>
              <w:t>)  For</w:t>
            </w:r>
            <w:proofErr w:type="gramEnd"/>
            <w:r w:rsidRPr="00123C93">
              <w:rPr>
                <w:sz w:val="24"/>
              </w:rPr>
              <w:t xml:space="preserve"> the purposes of sub</w:t>
            </w:r>
            <w:r w:rsidR="00C779EF">
              <w:rPr>
                <w:sz w:val="24"/>
              </w:rPr>
              <w:t>-</w:t>
            </w:r>
            <w:r w:rsidRPr="00123C93">
              <w:rPr>
                <w:sz w:val="24"/>
              </w:rPr>
              <w:t xml:space="preserve">regulation (2)(a), the </w:t>
            </w:r>
            <w:r w:rsidRPr="00123C93">
              <w:rPr>
                <w:b/>
                <w:bCs/>
                <w:sz w:val="24"/>
              </w:rPr>
              <w:t>reportable value</w:t>
            </w:r>
            <w:r w:rsidRPr="00123C93">
              <w:rPr>
                <w:sz w:val="24"/>
              </w:rPr>
              <w:t xml:space="preserve"> of a non-financial asset of a local government is the fair value of the asset as at its last valuation date minus the following (to the extent applicable) — </w:t>
            </w:r>
          </w:p>
          <w:p w14:paraId="7AF57538" w14:textId="77777777" w:rsidR="001C2B22" w:rsidRPr="00123C93" w:rsidRDefault="001C2B22" w:rsidP="002C172A">
            <w:pPr>
              <w:pStyle w:val="TableContent"/>
              <w:ind w:left="851" w:hanging="397"/>
              <w:rPr>
                <w:sz w:val="24"/>
              </w:rPr>
            </w:pPr>
            <w:r w:rsidRPr="00123C93">
              <w:rPr>
                <w:sz w:val="24"/>
              </w:rPr>
              <w:t xml:space="preserve">(a) the accumulated depreciation in respect of the asset </w:t>
            </w:r>
            <w:proofErr w:type="gramStart"/>
            <w:r w:rsidRPr="00123C93">
              <w:rPr>
                <w:sz w:val="24"/>
              </w:rPr>
              <w:t>subsequent to</w:t>
            </w:r>
            <w:proofErr w:type="gramEnd"/>
            <w:r w:rsidRPr="00123C93">
              <w:rPr>
                <w:sz w:val="24"/>
              </w:rPr>
              <w:t xml:space="preserve"> its last valuation </w:t>
            </w:r>
            <w:proofErr w:type="gramStart"/>
            <w:r w:rsidRPr="00123C93">
              <w:rPr>
                <w:sz w:val="24"/>
              </w:rPr>
              <w:t>date;</w:t>
            </w:r>
            <w:proofErr w:type="gramEnd"/>
            <w:r w:rsidRPr="00123C93">
              <w:rPr>
                <w:sz w:val="24"/>
              </w:rPr>
              <w:t xml:space="preserve"> </w:t>
            </w:r>
          </w:p>
          <w:p w14:paraId="359EE8D8" w14:textId="77777777" w:rsidR="001C2B22" w:rsidRPr="00123C93" w:rsidRDefault="001C2B22" w:rsidP="002C172A">
            <w:pPr>
              <w:pStyle w:val="TableContent"/>
              <w:ind w:left="851" w:hanging="397"/>
              <w:rPr>
                <w:i/>
                <w:iCs/>
                <w:sz w:val="24"/>
              </w:rPr>
            </w:pPr>
            <w:r w:rsidRPr="00123C93">
              <w:rPr>
                <w:sz w:val="24"/>
              </w:rPr>
              <w:t xml:space="preserve">(b) the accumulated impairment losses in respect of the asset </w:t>
            </w:r>
            <w:proofErr w:type="gramStart"/>
            <w:r w:rsidRPr="00123C93">
              <w:rPr>
                <w:sz w:val="24"/>
              </w:rPr>
              <w:t>subsequent to</w:t>
            </w:r>
            <w:proofErr w:type="gramEnd"/>
            <w:r w:rsidRPr="00123C93">
              <w:rPr>
                <w:sz w:val="24"/>
              </w:rPr>
              <w:t xml:space="preserve"> its last valuation date.’</w:t>
            </w:r>
          </w:p>
        </w:tc>
      </w:tr>
    </w:tbl>
    <w:p w14:paraId="1283AD2C" w14:textId="504004FE" w:rsidR="00AC2D81" w:rsidRDefault="00AC2D81">
      <w:pPr>
        <w:spacing w:after="0" w:line="240" w:lineRule="auto"/>
        <w:rPr>
          <w:rFonts w:cs="Arial"/>
          <w:color w:val="38115E"/>
          <w:sz w:val="30"/>
          <w:lang w:val="en-GB"/>
        </w:rPr>
      </w:pPr>
      <w:r>
        <w:rPr>
          <w:b/>
          <w:bCs/>
        </w:rPr>
        <w:br w:type="page"/>
      </w:r>
    </w:p>
    <w:p w14:paraId="1E9AB375" w14:textId="77777777" w:rsidR="00F63C00" w:rsidRPr="00861904" w:rsidRDefault="00F63C00" w:rsidP="00E750C5">
      <w:pPr>
        <w:pStyle w:val="Heading4"/>
      </w:pPr>
      <w:r w:rsidRPr="00861904">
        <w:lastRenderedPageBreak/>
        <w:t xml:space="preserve">Example of </w:t>
      </w:r>
      <w:r w:rsidRPr="00E750C5">
        <w:t>calculating</w:t>
      </w:r>
      <w:r w:rsidRPr="00861904">
        <w:t xml:space="preserve"> reportable value</w:t>
      </w:r>
    </w:p>
    <w:p w14:paraId="2FE3459A" w14:textId="09B2DA09" w:rsidR="00F63C00" w:rsidRPr="00861904" w:rsidRDefault="0081614B" w:rsidP="00D70B5C">
      <w:pPr>
        <w:pStyle w:val="BodyText"/>
      </w:pPr>
      <w:r>
        <w:t xml:space="preserve">The following </w:t>
      </w:r>
      <w:r w:rsidR="00F63C00" w:rsidRPr="00861904">
        <w:t xml:space="preserve">example </w:t>
      </w:r>
      <w:r>
        <w:t xml:space="preserve">shows </w:t>
      </w:r>
      <w:r w:rsidR="00F63C00" w:rsidRPr="00861904">
        <w:t xml:space="preserve">how local governments should account for the effect of depreciation and impairment on the reportable value of 17A(2)(a) Assets: </w:t>
      </w:r>
    </w:p>
    <w:tbl>
      <w:tblPr>
        <w:tblStyle w:val="TableGrid"/>
        <w:tblW w:w="9639" w:type="dxa"/>
        <w:tblLook w:val="04A0" w:firstRow="1" w:lastRow="0" w:firstColumn="1" w:lastColumn="0" w:noHBand="0" w:noVBand="1"/>
      </w:tblPr>
      <w:tblGrid>
        <w:gridCol w:w="4252"/>
        <w:gridCol w:w="1134"/>
        <w:gridCol w:w="4253"/>
      </w:tblGrid>
      <w:tr w:rsidR="00F63C00" w:rsidRPr="009948EC" w14:paraId="75AE6C87" w14:textId="77777777">
        <w:tc>
          <w:tcPr>
            <w:tcW w:w="4253" w:type="dxa"/>
            <w:gridSpan w:val="3"/>
          </w:tcPr>
          <w:p w14:paraId="3CF20454" w14:textId="72AD0613" w:rsidR="00F63C00" w:rsidRPr="00852E56" w:rsidRDefault="00F63C00" w:rsidP="00852E56">
            <w:pPr>
              <w:pStyle w:val="TableContent"/>
              <w:rPr>
                <w:sz w:val="24"/>
              </w:rPr>
            </w:pPr>
            <w:r w:rsidRPr="00852E56">
              <w:rPr>
                <w:sz w:val="24"/>
              </w:rPr>
              <w:t>A local government finalises construction of a water and sewer system (water system) at a cost of $750,000 at the beginning of</w:t>
            </w:r>
            <w:r w:rsidR="00611C31">
              <w:rPr>
                <w:sz w:val="24"/>
              </w:rPr>
              <w:t xml:space="preserve"> </w:t>
            </w:r>
            <w:r w:rsidR="009E7A50">
              <w:rPr>
                <w:sz w:val="24"/>
              </w:rPr>
              <w:t>Y</w:t>
            </w:r>
            <w:r w:rsidR="009E7A50" w:rsidRPr="009344D2">
              <w:rPr>
                <w:sz w:val="24"/>
              </w:rPr>
              <w:t>ear</w:t>
            </w:r>
            <w:r w:rsidRPr="00852E56">
              <w:rPr>
                <w:sz w:val="24"/>
              </w:rPr>
              <w:t xml:space="preserve"> 1.</w:t>
            </w:r>
            <w:r w:rsidR="00545D59">
              <w:rPr>
                <w:sz w:val="24"/>
              </w:rPr>
              <w:t xml:space="preserve"> </w:t>
            </w:r>
            <w:r w:rsidRPr="00852E56">
              <w:rPr>
                <w:sz w:val="24"/>
              </w:rPr>
              <w:t>The water system is estimated to have a useful life of 20 years.</w:t>
            </w:r>
          </w:p>
          <w:p w14:paraId="2B9CED1F" w14:textId="77777777" w:rsidR="00F63C00" w:rsidRPr="00852E56" w:rsidRDefault="00F63C00" w:rsidP="00852E56">
            <w:pPr>
              <w:pStyle w:val="TableContent"/>
              <w:rPr>
                <w:sz w:val="24"/>
              </w:rPr>
            </w:pPr>
            <w:r w:rsidRPr="00852E56">
              <w:rPr>
                <w:sz w:val="24"/>
              </w:rPr>
              <w:t xml:space="preserve">Year 0: </w:t>
            </w:r>
          </w:p>
          <w:p w14:paraId="3E41999A" w14:textId="77777777" w:rsidR="00F63C00" w:rsidRPr="00852E56" w:rsidRDefault="00F63C00" w:rsidP="00852E56">
            <w:pPr>
              <w:pStyle w:val="TableContent"/>
              <w:rPr>
                <w:sz w:val="24"/>
              </w:rPr>
            </w:pPr>
            <w:r w:rsidRPr="00852E56">
              <w:rPr>
                <w:sz w:val="24"/>
              </w:rPr>
              <w:t>The construction cost of the water and sewer system is recorded at $750,000.</w:t>
            </w:r>
          </w:p>
        </w:tc>
      </w:tr>
      <w:tr w:rsidR="00F63C00" w:rsidRPr="009948EC" w14:paraId="3B7E5D41" w14:textId="77777777">
        <w:tc>
          <w:tcPr>
            <w:tcW w:w="4253" w:type="dxa"/>
            <w:tcBorders>
              <w:bottom w:val="single" w:sz="4" w:space="0" w:color="auto"/>
            </w:tcBorders>
          </w:tcPr>
          <w:p w14:paraId="3F86711A" w14:textId="77777777" w:rsidR="00F63C00" w:rsidRPr="00852E56" w:rsidRDefault="00F63C00" w:rsidP="00852E56">
            <w:pPr>
              <w:pStyle w:val="TableContent"/>
              <w:rPr>
                <w:b/>
                <w:bCs/>
                <w:sz w:val="24"/>
              </w:rPr>
            </w:pPr>
            <w:r w:rsidRPr="00852E56">
              <w:rPr>
                <w:b/>
                <w:bCs/>
                <w:sz w:val="24"/>
              </w:rPr>
              <w:t>Depreciation</w:t>
            </w:r>
          </w:p>
          <w:p w14:paraId="23ADC83E" w14:textId="77777777" w:rsidR="00F63C00" w:rsidRPr="00852E56" w:rsidRDefault="00F63C00" w:rsidP="00852E56">
            <w:pPr>
              <w:pStyle w:val="TableContent"/>
              <w:rPr>
                <w:sz w:val="24"/>
              </w:rPr>
            </w:pPr>
            <w:r w:rsidRPr="00852E56">
              <w:rPr>
                <w:sz w:val="24"/>
              </w:rPr>
              <w:t>Year 1:</w:t>
            </w:r>
          </w:p>
          <w:p w14:paraId="5CE7A52C" w14:textId="2195BAC0" w:rsidR="00F63C00" w:rsidRPr="00852E56" w:rsidRDefault="00F63C00" w:rsidP="00852E56">
            <w:pPr>
              <w:pStyle w:val="TableContent"/>
              <w:rPr>
                <w:sz w:val="24"/>
              </w:rPr>
            </w:pPr>
            <w:r w:rsidRPr="00852E56">
              <w:rPr>
                <w:sz w:val="24"/>
              </w:rPr>
              <w:t xml:space="preserve">The water system is immediately placed in use. At the end </w:t>
            </w:r>
            <w:r w:rsidR="0054494A" w:rsidRPr="00852E56">
              <w:rPr>
                <w:sz w:val="24"/>
              </w:rPr>
              <w:t>of</w:t>
            </w:r>
            <w:r w:rsidR="0054494A">
              <w:t xml:space="preserve"> </w:t>
            </w:r>
            <w:r w:rsidR="0054494A" w:rsidRPr="00852E56">
              <w:t>Y</w:t>
            </w:r>
            <w:r w:rsidR="0054494A" w:rsidRPr="009344D2">
              <w:rPr>
                <w:sz w:val="24"/>
              </w:rPr>
              <w:t>ear</w:t>
            </w:r>
            <w:r w:rsidRPr="009344D2">
              <w:rPr>
                <w:sz w:val="24"/>
              </w:rPr>
              <w:t xml:space="preserve"> </w:t>
            </w:r>
            <w:r w:rsidRPr="00852E56">
              <w:rPr>
                <w:sz w:val="24"/>
              </w:rPr>
              <w:t xml:space="preserve">1, the water system’s value has decreased due to its use during </w:t>
            </w:r>
            <w:r w:rsidR="00611C31">
              <w:rPr>
                <w:sz w:val="24"/>
              </w:rPr>
              <w:t>Y</w:t>
            </w:r>
            <w:r w:rsidRPr="009344D2">
              <w:rPr>
                <w:sz w:val="24"/>
              </w:rPr>
              <w:t>ear</w:t>
            </w:r>
            <w:r w:rsidRPr="00852E56">
              <w:rPr>
                <w:sz w:val="24"/>
              </w:rPr>
              <w:t xml:space="preserve"> 1. </w:t>
            </w:r>
          </w:p>
          <w:p w14:paraId="3DB88118" w14:textId="77777777" w:rsidR="00F63C00" w:rsidRPr="00852E56" w:rsidRDefault="00F63C00" w:rsidP="00852E56">
            <w:pPr>
              <w:pStyle w:val="TableContent"/>
              <w:rPr>
                <w:sz w:val="24"/>
              </w:rPr>
            </w:pPr>
            <w:r w:rsidRPr="00852E56">
              <w:rPr>
                <w:sz w:val="24"/>
              </w:rPr>
              <w:t>This decrease in value is recognised by depreciating the water system by $37,500 (being $750,000/20 years).</w:t>
            </w:r>
          </w:p>
          <w:p w14:paraId="6A3D5613" w14:textId="77777777" w:rsidR="00F63C00" w:rsidRPr="00852E56" w:rsidRDefault="00F63C00" w:rsidP="00852E56">
            <w:pPr>
              <w:pStyle w:val="TableContent"/>
              <w:rPr>
                <w:sz w:val="24"/>
              </w:rPr>
            </w:pPr>
          </w:p>
        </w:tc>
        <w:tc>
          <w:tcPr>
            <w:tcW w:w="1134" w:type="dxa"/>
            <w:tcBorders>
              <w:top w:val="nil"/>
              <w:bottom w:val="nil"/>
            </w:tcBorders>
          </w:tcPr>
          <w:p w14:paraId="4E1C075F" w14:textId="77777777" w:rsidR="00F63C00" w:rsidRPr="00852E56" w:rsidRDefault="00F63C00" w:rsidP="00852E56">
            <w:pPr>
              <w:pStyle w:val="TableContent"/>
              <w:rPr>
                <w:b/>
                <w:bCs/>
                <w:sz w:val="24"/>
              </w:rPr>
            </w:pPr>
          </w:p>
        </w:tc>
        <w:tc>
          <w:tcPr>
            <w:tcW w:w="4253" w:type="dxa"/>
            <w:tcBorders>
              <w:bottom w:val="single" w:sz="4" w:space="0" w:color="auto"/>
            </w:tcBorders>
          </w:tcPr>
          <w:p w14:paraId="245393A4" w14:textId="77777777" w:rsidR="00F63C00" w:rsidRPr="00852E56" w:rsidRDefault="00F63C00" w:rsidP="00852E56">
            <w:pPr>
              <w:pStyle w:val="TableContent"/>
              <w:rPr>
                <w:b/>
                <w:bCs/>
                <w:sz w:val="24"/>
              </w:rPr>
            </w:pPr>
            <w:r w:rsidRPr="00852E56">
              <w:rPr>
                <w:b/>
                <w:bCs/>
                <w:sz w:val="24"/>
              </w:rPr>
              <w:t xml:space="preserve">Impairment: </w:t>
            </w:r>
          </w:p>
          <w:p w14:paraId="3553C309" w14:textId="77777777" w:rsidR="00F63C00" w:rsidRPr="00852E56" w:rsidRDefault="00F63C00" w:rsidP="00852E56">
            <w:pPr>
              <w:pStyle w:val="TableContent"/>
              <w:rPr>
                <w:sz w:val="24"/>
              </w:rPr>
            </w:pPr>
            <w:r w:rsidRPr="00852E56">
              <w:rPr>
                <w:sz w:val="24"/>
              </w:rPr>
              <w:t>Year 2</w:t>
            </w:r>
          </w:p>
          <w:p w14:paraId="696DFC8B" w14:textId="7AAF0B67" w:rsidR="00F63C00" w:rsidRPr="00852E56" w:rsidRDefault="00F63C00" w:rsidP="00852E56">
            <w:pPr>
              <w:pStyle w:val="TableContent"/>
              <w:rPr>
                <w:sz w:val="24"/>
              </w:rPr>
            </w:pPr>
            <w:r w:rsidRPr="00852E56">
              <w:rPr>
                <w:sz w:val="24"/>
              </w:rPr>
              <w:t>At the beginning of</w:t>
            </w:r>
            <w:r w:rsidR="004F1CFC">
              <w:rPr>
                <w:sz w:val="24"/>
              </w:rPr>
              <w:t xml:space="preserve"> Y</w:t>
            </w:r>
            <w:r w:rsidRPr="00852E56">
              <w:rPr>
                <w:sz w:val="24"/>
              </w:rPr>
              <w:t xml:space="preserve">ear 2 the water system is damaged in a flood. After repairs it is estimated that the water system can now only be used for a further </w:t>
            </w:r>
            <w:r w:rsidR="004F1CFC">
              <w:rPr>
                <w:sz w:val="24"/>
              </w:rPr>
              <w:t>9</w:t>
            </w:r>
            <w:r w:rsidR="004F1CFC" w:rsidRPr="00852E56">
              <w:rPr>
                <w:sz w:val="24"/>
              </w:rPr>
              <w:t xml:space="preserve"> </w:t>
            </w:r>
            <w:r w:rsidRPr="00852E56">
              <w:rPr>
                <w:sz w:val="24"/>
              </w:rPr>
              <w:t xml:space="preserve">years. </w:t>
            </w:r>
            <w:r w:rsidR="004F1CFC">
              <w:rPr>
                <w:sz w:val="24"/>
              </w:rPr>
              <w:t>T</w:t>
            </w:r>
            <w:r w:rsidRPr="00852E56">
              <w:rPr>
                <w:sz w:val="24"/>
              </w:rPr>
              <w:t>he value of the water system has declined substantially as it has lost 10</w:t>
            </w:r>
            <w:r w:rsidR="004F1CFC">
              <w:rPr>
                <w:sz w:val="24"/>
              </w:rPr>
              <w:t> </w:t>
            </w:r>
            <w:r w:rsidRPr="00852E56">
              <w:rPr>
                <w:sz w:val="24"/>
              </w:rPr>
              <w:t xml:space="preserve">years’ worth of value in use. The recoverable amount of the water system is calculated as being $337,500 (being $750,000/20 years times 9 years). </w:t>
            </w:r>
          </w:p>
        </w:tc>
      </w:tr>
      <w:tr w:rsidR="00F63C00" w:rsidRPr="009948EC" w14:paraId="126572BC" w14:textId="77777777">
        <w:tc>
          <w:tcPr>
            <w:tcW w:w="4253" w:type="dxa"/>
            <w:tcBorders>
              <w:left w:val="nil"/>
              <w:bottom w:val="single" w:sz="4" w:space="0" w:color="auto"/>
              <w:right w:val="nil"/>
            </w:tcBorders>
          </w:tcPr>
          <w:p w14:paraId="79CC4AA5" w14:textId="5A384F4C" w:rsidR="00F63C00" w:rsidRPr="00852E56" w:rsidRDefault="00D71E5A" w:rsidP="00852E56">
            <w:pPr>
              <w:pStyle w:val="TableContent"/>
              <w:rPr>
                <w:b/>
                <w:bCs/>
                <w:sz w:val="24"/>
              </w:rPr>
            </w:pPr>
            <w:r>
              <w:rPr>
                <w:b/>
                <w:bCs/>
                <w:noProof/>
              </w:rPr>
              <mc:AlternateContent>
                <mc:Choice Requires="wps">
                  <w:drawing>
                    <wp:anchor distT="0" distB="0" distL="114300" distR="114300" simplePos="0" relativeHeight="251658301" behindDoc="0" locked="0" layoutInCell="1" allowOverlap="1" wp14:anchorId="3D46FB63" wp14:editId="7FA1A576">
                      <wp:simplePos x="0" y="0"/>
                      <wp:positionH relativeFrom="column">
                        <wp:posOffset>1160607</wp:posOffset>
                      </wp:positionH>
                      <wp:positionV relativeFrom="paragraph">
                        <wp:posOffset>76332</wp:posOffset>
                      </wp:positionV>
                      <wp:extent cx="261257" cy="380010"/>
                      <wp:effectExtent l="0" t="0" r="5715" b="1270"/>
                      <wp:wrapNone/>
                      <wp:docPr id="136443771" name="Arrow: Down 1" descr="Arrow pointing down"/>
                      <wp:cNvGraphicFramePr/>
                      <a:graphic xmlns:a="http://schemas.openxmlformats.org/drawingml/2006/main">
                        <a:graphicData uri="http://schemas.microsoft.com/office/word/2010/wordprocessingShape">
                          <wps:wsp>
                            <wps:cNvSpPr/>
                            <wps:spPr>
                              <a:xfrm>
                                <a:off x="0" y="0"/>
                                <a:ext cx="261257" cy="380010"/>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45A7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alt="Arrow pointing down" style="position:absolute;margin-left:91.4pt;margin-top:6pt;width:20.55pt;height:29.9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" adj="14175" fillcolor="#8782a8 [1951]" stroked="f"/>
                  </w:pict>
                </mc:Fallback>
              </mc:AlternateContent>
            </w:r>
          </w:p>
        </w:tc>
        <w:tc>
          <w:tcPr>
            <w:tcW w:w="1134" w:type="dxa"/>
            <w:tcBorders>
              <w:top w:val="nil"/>
              <w:left w:val="nil"/>
              <w:bottom w:val="nil"/>
              <w:right w:val="nil"/>
            </w:tcBorders>
          </w:tcPr>
          <w:p w14:paraId="2D589973" w14:textId="77777777" w:rsidR="00F63C00" w:rsidRPr="00852E56" w:rsidRDefault="00F63C00" w:rsidP="00852E56">
            <w:pPr>
              <w:pStyle w:val="TableContent"/>
              <w:rPr>
                <w:b/>
                <w:bCs/>
                <w:sz w:val="24"/>
              </w:rPr>
            </w:pPr>
          </w:p>
        </w:tc>
        <w:tc>
          <w:tcPr>
            <w:tcW w:w="4253" w:type="dxa"/>
            <w:tcBorders>
              <w:left w:val="nil"/>
              <w:bottom w:val="single" w:sz="4" w:space="0" w:color="auto"/>
              <w:right w:val="nil"/>
            </w:tcBorders>
          </w:tcPr>
          <w:p w14:paraId="015EE2B9" w14:textId="52AB41EE" w:rsidR="00F63C00" w:rsidRDefault="00D71E5A" w:rsidP="00852E56">
            <w:pPr>
              <w:pStyle w:val="TableContent"/>
              <w:rPr>
                <w:b/>
                <w:bCs/>
                <w:sz w:val="24"/>
              </w:rPr>
            </w:pPr>
            <w:r>
              <w:rPr>
                <w:b/>
                <w:bCs/>
                <w:noProof/>
              </w:rPr>
              <mc:AlternateContent>
                <mc:Choice Requires="wps">
                  <w:drawing>
                    <wp:anchor distT="0" distB="0" distL="114300" distR="114300" simplePos="0" relativeHeight="251658300" behindDoc="0" locked="0" layoutInCell="1" allowOverlap="1" wp14:anchorId="0F0D2892" wp14:editId="289A7EEE">
                      <wp:simplePos x="0" y="0"/>
                      <wp:positionH relativeFrom="column">
                        <wp:posOffset>1208108</wp:posOffset>
                      </wp:positionH>
                      <wp:positionV relativeFrom="paragraph">
                        <wp:posOffset>64457</wp:posOffset>
                      </wp:positionV>
                      <wp:extent cx="261257" cy="380010"/>
                      <wp:effectExtent l="0" t="0" r="5715" b="1270"/>
                      <wp:wrapNone/>
                      <wp:docPr id="2131582314" name="Arrow: Down 1" descr="Arrow pointing down"/>
                      <wp:cNvGraphicFramePr/>
                      <a:graphic xmlns:a="http://schemas.openxmlformats.org/drawingml/2006/main">
                        <a:graphicData uri="http://schemas.microsoft.com/office/word/2010/wordprocessingShape">
                          <wps:wsp>
                            <wps:cNvSpPr/>
                            <wps:spPr>
                              <a:xfrm>
                                <a:off x="0" y="0"/>
                                <a:ext cx="261257" cy="380010"/>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EF849A" id="Arrow: Down 1" o:spid="_x0000_s1026" type="#_x0000_t67" alt="Arrow pointing down" style="position:absolute;margin-left:95.15pt;margin-top:5.1pt;width:20.55pt;height:29.9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" adj="14175" fillcolor="#8782a8 [1951]" stroked="f"/>
                  </w:pict>
                </mc:Fallback>
              </mc:AlternateContent>
            </w:r>
          </w:p>
          <w:p w14:paraId="3B038DD8" w14:textId="20F04DE9" w:rsidR="00D71E5A" w:rsidRPr="00852E56" w:rsidRDefault="00D71E5A" w:rsidP="00852E56">
            <w:pPr>
              <w:pStyle w:val="TableContent"/>
              <w:rPr>
                <w:b/>
                <w:bCs/>
                <w:sz w:val="24"/>
              </w:rPr>
            </w:pPr>
          </w:p>
        </w:tc>
      </w:tr>
      <w:tr w:rsidR="00F63C00" w:rsidRPr="009948EC" w14:paraId="626E94A2" w14:textId="77777777">
        <w:tc>
          <w:tcPr>
            <w:tcW w:w="4253" w:type="dxa"/>
          </w:tcPr>
          <w:p w14:paraId="58EF52EA" w14:textId="77777777" w:rsidR="00F63C00" w:rsidRPr="00852E56" w:rsidRDefault="00F63C00" w:rsidP="00852E56">
            <w:pPr>
              <w:pStyle w:val="TableContent"/>
              <w:rPr>
                <w:b/>
                <w:bCs/>
                <w:sz w:val="24"/>
              </w:rPr>
            </w:pPr>
            <w:r w:rsidRPr="00852E56">
              <w:rPr>
                <w:b/>
                <w:bCs/>
                <w:sz w:val="24"/>
              </w:rPr>
              <w:t>Reportable value after depreciation:</w:t>
            </w:r>
          </w:p>
          <w:p w14:paraId="704CB2D2" w14:textId="5F1177FA" w:rsidR="00F63C00" w:rsidRPr="00852E56" w:rsidRDefault="00F63C00" w:rsidP="00852E56">
            <w:pPr>
              <w:pStyle w:val="TableContent"/>
              <w:rPr>
                <w:sz w:val="24"/>
              </w:rPr>
            </w:pPr>
            <w:r w:rsidRPr="00852E56">
              <w:rPr>
                <w:sz w:val="24"/>
              </w:rPr>
              <w:t>The reportable value of the water system at the end of</w:t>
            </w:r>
            <w:r w:rsidR="00987D5A">
              <w:rPr>
                <w:sz w:val="24"/>
              </w:rPr>
              <w:t xml:space="preserve"> Y</w:t>
            </w:r>
            <w:r w:rsidRPr="00852E56">
              <w:rPr>
                <w:sz w:val="24"/>
              </w:rPr>
              <w:t xml:space="preserve">ear 1 is calculated as follows: </w:t>
            </w:r>
          </w:p>
          <w:p w14:paraId="49751DFF" w14:textId="67086D8E" w:rsidR="00F63C00" w:rsidRPr="00852E56" w:rsidRDefault="00F63C00" w:rsidP="00852E56">
            <w:pPr>
              <w:pStyle w:val="TableContent"/>
              <w:rPr>
                <w:b/>
                <w:bCs/>
                <w:sz w:val="24"/>
              </w:rPr>
            </w:pPr>
            <w:r w:rsidRPr="00852E56">
              <w:rPr>
                <w:sz w:val="24"/>
              </w:rPr>
              <w:t xml:space="preserve">Cost price of $750,000 minus depreciation of </w:t>
            </w:r>
            <w:r w:rsidR="00545D59">
              <w:rPr>
                <w:sz w:val="24"/>
              </w:rPr>
              <w:t>$</w:t>
            </w:r>
            <w:r w:rsidRPr="00852E56">
              <w:rPr>
                <w:sz w:val="24"/>
              </w:rPr>
              <w:t>37,500 equals a reportable value of $712,500.</w:t>
            </w:r>
          </w:p>
        </w:tc>
        <w:tc>
          <w:tcPr>
            <w:tcW w:w="1134" w:type="dxa"/>
            <w:tcBorders>
              <w:top w:val="nil"/>
              <w:bottom w:val="nil"/>
            </w:tcBorders>
          </w:tcPr>
          <w:p w14:paraId="2D0C9548" w14:textId="77777777" w:rsidR="00F63C00" w:rsidRPr="00852E56" w:rsidRDefault="00F63C00" w:rsidP="00852E56">
            <w:pPr>
              <w:pStyle w:val="TableContent"/>
              <w:rPr>
                <w:b/>
                <w:bCs/>
                <w:sz w:val="24"/>
              </w:rPr>
            </w:pPr>
          </w:p>
        </w:tc>
        <w:tc>
          <w:tcPr>
            <w:tcW w:w="4253" w:type="dxa"/>
          </w:tcPr>
          <w:p w14:paraId="56C7B63C" w14:textId="77777777" w:rsidR="00F63C00" w:rsidRPr="00852E56" w:rsidRDefault="00F63C00" w:rsidP="00852E56">
            <w:pPr>
              <w:pStyle w:val="TableContent"/>
              <w:rPr>
                <w:b/>
                <w:bCs/>
                <w:sz w:val="24"/>
              </w:rPr>
            </w:pPr>
            <w:r w:rsidRPr="00852E56">
              <w:rPr>
                <w:b/>
                <w:bCs/>
                <w:sz w:val="24"/>
              </w:rPr>
              <w:t>Reportable value after impairment:</w:t>
            </w:r>
          </w:p>
          <w:p w14:paraId="46A6F5C9" w14:textId="248CB448" w:rsidR="00F63C00" w:rsidRPr="00852E56" w:rsidRDefault="00F63C00" w:rsidP="00852E56">
            <w:pPr>
              <w:pStyle w:val="TableContent"/>
              <w:rPr>
                <w:sz w:val="24"/>
              </w:rPr>
            </w:pPr>
            <w:r w:rsidRPr="00852E56">
              <w:rPr>
                <w:sz w:val="24"/>
              </w:rPr>
              <w:t xml:space="preserve">The recoverable amount of the water system ($337,500) is less than </w:t>
            </w:r>
            <w:proofErr w:type="gramStart"/>
            <w:r w:rsidRPr="00852E56">
              <w:rPr>
                <w:sz w:val="24"/>
              </w:rPr>
              <w:t>its</w:t>
            </w:r>
            <w:proofErr w:type="gramEnd"/>
            <w:r w:rsidRPr="00852E56">
              <w:rPr>
                <w:sz w:val="24"/>
              </w:rPr>
              <w:t xml:space="preserve"> carrying amount of $712,500. Therefore, the carrying amount of the water system must be reduced to its recoverable amount of $337,500. This reduction in value is an impairment loss of $375,000 (being (</w:t>
            </w:r>
            <w:r w:rsidR="00545D59">
              <w:rPr>
                <w:sz w:val="24"/>
              </w:rPr>
              <w:t>$</w:t>
            </w:r>
            <w:r w:rsidRPr="00852E56">
              <w:rPr>
                <w:sz w:val="24"/>
              </w:rPr>
              <w:t xml:space="preserve">712,500 minus $337,500). </w:t>
            </w:r>
          </w:p>
          <w:p w14:paraId="0E2FFFA2" w14:textId="77777777" w:rsidR="00F63C00" w:rsidRPr="00852E56" w:rsidRDefault="00F63C00" w:rsidP="00852E56">
            <w:pPr>
              <w:pStyle w:val="TableContent"/>
              <w:rPr>
                <w:sz w:val="24"/>
              </w:rPr>
            </w:pPr>
            <w:r w:rsidRPr="00852E56">
              <w:rPr>
                <w:sz w:val="24"/>
              </w:rPr>
              <w:t xml:space="preserve">The recoverable amount of $337,500 is the reportable value of the water system. </w:t>
            </w:r>
          </w:p>
        </w:tc>
      </w:tr>
    </w:tbl>
    <w:p w14:paraId="0F146FE5" w14:textId="1A20F164" w:rsidR="00AC2D81" w:rsidRDefault="00AC2D81">
      <w:pPr>
        <w:spacing w:after="0" w:line="240" w:lineRule="auto"/>
        <w:rPr>
          <w:rFonts w:cs="Arial"/>
          <w:color w:val="38115E"/>
          <w:sz w:val="30"/>
          <w:lang w:val="en-GB"/>
        </w:rPr>
      </w:pPr>
      <w:r>
        <w:rPr>
          <w:b/>
          <w:bCs/>
        </w:rPr>
        <w:br w:type="page"/>
      </w:r>
    </w:p>
    <w:p w14:paraId="3C2B754C" w14:textId="77777777" w:rsidR="00B9211E" w:rsidRPr="009948EC" w:rsidRDefault="00B9211E" w:rsidP="00E8351C">
      <w:pPr>
        <w:pStyle w:val="Heading4"/>
      </w:pPr>
      <w:bookmarkStart w:id="19" w:name="_Toc207722719"/>
      <w:r w:rsidRPr="009948EC">
        <w:lastRenderedPageBreak/>
        <w:t>Valuation interval</w:t>
      </w:r>
      <w:bookmarkEnd w:id="19"/>
    </w:p>
    <w:p w14:paraId="6A3FC171" w14:textId="77777777" w:rsidR="00B9211E" w:rsidRPr="009948EC" w:rsidRDefault="00B9211E" w:rsidP="00D70B5C">
      <w:pPr>
        <w:pStyle w:val="BodyText"/>
      </w:pPr>
      <w:r w:rsidRPr="009948EC">
        <w:t xml:space="preserve">The LG (FM) Regs states regarding the valuation interval for 17A(2)(a) Assets: </w:t>
      </w:r>
    </w:p>
    <w:tbl>
      <w:tblPr>
        <w:tblStyle w:val="TableGrid"/>
        <w:tblW w:w="9639" w:type="dxa"/>
        <w:tblLook w:val="04A0" w:firstRow="1" w:lastRow="0" w:firstColumn="1" w:lastColumn="0" w:noHBand="0" w:noVBand="1"/>
      </w:tblPr>
      <w:tblGrid>
        <w:gridCol w:w="9639"/>
      </w:tblGrid>
      <w:tr w:rsidR="00B9211E" w:rsidRPr="009948EC" w14:paraId="634987CB" w14:textId="77777777">
        <w:trPr>
          <w:tblHeader/>
        </w:trPr>
        <w:tc>
          <w:tcPr>
            <w:tcW w:w="9776" w:type="dxa"/>
            <w:shd w:val="clear" w:color="auto" w:fill="F2F2F2" w:themeFill="background1" w:themeFillShade="F2"/>
          </w:tcPr>
          <w:p w14:paraId="2AED0E47" w14:textId="77777777" w:rsidR="00B9211E" w:rsidRPr="008B22ED" w:rsidRDefault="00B9211E" w:rsidP="008B22ED">
            <w:pPr>
              <w:pStyle w:val="TableContent"/>
              <w:rPr>
                <w:b/>
                <w:bCs/>
                <w:sz w:val="24"/>
              </w:rPr>
            </w:pPr>
            <w:r w:rsidRPr="008B22ED">
              <w:rPr>
                <w:b/>
                <w:bCs/>
                <w:sz w:val="24"/>
              </w:rPr>
              <w:t xml:space="preserve">LG (FM) Regs, regulation 17A(4A) </w:t>
            </w:r>
          </w:p>
        </w:tc>
      </w:tr>
      <w:tr w:rsidR="00B9211E" w:rsidRPr="009948EC" w14:paraId="7A545A87" w14:textId="77777777">
        <w:tc>
          <w:tcPr>
            <w:tcW w:w="9776" w:type="dxa"/>
          </w:tcPr>
          <w:p w14:paraId="16EB53F6" w14:textId="77777777" w:rsidR="00B9211E" w:rsidRPr="008B22ED" w:rsidRDefault="00B9211E" w:rsidP="008B22ED">
            <w:pPr>
              <w:pStyle w:val="TableContent"/>
              <w:ind w:left="567" w:hanging="567"/>
              <w:rPr>
                <w:sz w:val="24"/>
              </w:rPr>
            </w:pPr>
            <w:r w:rsidRPr="008B22ED">
              <w:rPr>
                <w:sz w:val="24"/>
              </w:rPr>
              <w:t xml:space="preserve">‘(4A) A local government must revalue a non-financial asset of the local government referred to in </w:t>
            </w:r>
            <w:proofErr w:type="spellStart"/>
            <w:r w:rsidRPr="008B22ED">
              <w:rPr>
                <w:sz w:val="24"/>
              </w:rPr>
              <w:t>subregulation</w:t>
            </w:r>
            <w:proofErr w:type="spellEnd"/>
            <w:r w:rsidRPr="008B22ED">
              <w:rPr>
                <w:sz w:val="24"/>
              </w:rPr>
              <w:t xml:space="preserve"> (2)(a) as follows — </w:t>
            </w:r>
          </w:p>
          <w:p w14:paraId="5D00B658" w14:textId="77777777" w:rsidR="00B9211E" w:rsidRPr="008B22ED" w:rsidRDefault="00B9211E" w:rsidP="008B22ED">
            <w:pPr>
              <w:pStyle w:val="TableContent"/>
              <w:ind w:left="964" w:hanging="397"/>
              <w:rPr>
                <w:sz w:val="24"/>
              </w:rPr>
            </w:pPr>
            <w:r w:rsidRPr="008B22ED">
              <w:rPr>
                <w:sz w:val="24"/>
              </w:rPr>
              <w:t xml:space="preserve">(a) if the asset is an investment property — </w:t>
            </w:r>
          </w:p>
          <w:p w14:paraId="7F602DB9" w14:textId="77777777" w:rsidR="00B9211E" w:rsidRPr="008B22ED" w:rsidRDefault="00B9211E" w:rsidP="008B22ED">
            <w:pPr>
              <w:pStyle w:val="TableContent"/>
              <w:ind w:left="1304" w:hanging="397"/>
              <w:rPr>
                <w:sz w:val="24"/>
              </w:rPr>
            </w:pPr>
            <w:r w:rsidRPr="008B22ED">
              <w:rPr>
                <w:sz w:val="24"/>
              </w:rPr>
              <w:t>(</w:t>
            </w:r>
            <w:proofErr w:type="spellStart"/>
            <w:r w:rsidRPr="008B22ED">
              <w:rPr>
                <w:sz w:val="24"/>
              </w:rPr>
              <w:t>i</w:t>
            </w:r>
            <w:proofErr w:type="spellEnd"/>
            <w:r w:rsidRPr="008B22ED">
              <w:rPr>
                <w:sz w:val="24"/>
              </w:rPr>
              <w:t xml:space="preserve">) whenever required under the AAS known as AASB 140; and </w:t>
            </w:r>
          </w:p>
          <w:p w14:paraId="27C717A8" w14:textId="77777777" w:rsidR="00B9211E" w:rsidRPr="008B22ED" w:rsidRDefault="00B9211E" w:rsidP="008B22ED">
            <w:pPr>
              <w:pStyle w:val="TableContent"/>
              <w:ind w:left="1247" w:hanging="340"/>
              <w:rPr>
                <w:sz w:val="24"/>
              </w:rPr>
            </w:pPr>
            <w:r w:rsidRPr="008B22ED">
              <w:rPr>
                <w:sz w:val="24"/>
              </w:rPr>
              <w:t xml:space="preserve">(ii) in any event, on the day after the period of 5 years beginning on the asset’s last valuation </w:t>
            </w:r>
            <w:proofErr w:type="gramStart"/>
            <w:r w:rsidRPr="008B22ED">
              <w:rPr>
                <w:sz w:val="24"/>
              </w:rPr>
              <w:t>date;</w:t>
            </w:r>
            <w:proofErr w:type="gramEnd"/>
            <w:r w:rsidRPr="008B22ED">
              <w:rPr>
                <w:sz w:val="24"/>
              </w:rPr>
              <w:t xml:space="preserve"> </w:t>
            </w:r>
          </w:p>
          <w:p w14:paraId="1BE34ED7" w14:textId="77777777" w:rsidR="00B9211E" w:rsidRPr="008B22ED" w:rsidRDefault="00B9211E" w:rsidP="008B22ED">
            <w:pPr>
              <w:pStyle w:val="TableContent"/>
              <w:ind w:left="907" w:hanging="340"/>
              <w:rPr>
                <w:sz w:val="24"/>
              </w:rPr>
            </w:pPr>
            <w:r w:rsidRPr="008B22ED">
              <w:rPr>
                <w:sz w:val="24"/>
              </w:rPr>
              <w:t>(b) otherwise — on the day after the period of 5 years beginning on the asset’s last valuation date.’</w:t>
            </w:r>
          </w:p>
        </w:tc>
      </w:tr>
    </w:tbl>
    <w:p w14:paraId="1121F7BD" w14:textId="77777777" w:rsidR="00B9211E" w:rsidRPr="00F01D20" w:rsidRDefault="00B9211E" w:rsidP="00E8351C">
      <w:pPr>
        <w:pStyle w:val="Heading4"/>
      </w:pPr>
      <w:r w:rsidRPr="00F01D20">
        <w:t>Investment property</w:t>
      </w:r>
    </w:p>
    <w:p w14:paraId="5F29C987" w14:textId="77777777" w:rsidR="00B9211E" w:rsidRPr="009948EC" w:rsidRDefault="00B9211E" w:rsidP="00D70B5C">
      <w:pPr>
        <w:pStyle w:val="BodyText"/>
      </w:pPr>
      <w:r w:rsidRPr="009948EC">
        <w:t>AASB 140 Investment Property (2022), allows entities to choose, after initial recognition, either the fair value model or the cost model as its accounting policy. LG (FM) Regs, regulation 17A(4</w:t>
      </w:r>
      <w:proofErr w:type="gramStart"/>
      <w:r w:rsidRPr="009948EC">
        <w:t>A)(</w:t>
      </w:r>
      <w:proofErr w:type="gramEnd"/>
      <w:r w:rsidRPr="009948EC">
        <w:t>a)(ii) requires investment properties to be valued in terms of AAS, which may require annual valuations.</w:t>
      </w:r>
    </w:p>
    <w:p w14:paraId="61251EE7" w14:textId="77777777" w:rsidR="00B9211E" w:rsidRPr="009948EC" w:rsidRDefault="00B9211E" w:rsidP="00E8351C">
      <w:pPr>
        <w:pStyle w:val="Heading4"/>
      </w:pPr>
      <w:r w:rsidRPr="009948EC">
        <w:t>Changes made to the LG (FM) Regs in October 2023</w:t>
      </w:r>
    </w:p>
    <w:p w14:paraId="681F5C1B" w14:textId="03FC31FF" w:rsidR="00B9211E" w:rsidRPr="009948EC" w:rsidRDefault="00B9211E" w:rsidP="00D70B5C">
      <w:pPr>
        <w:pStyle w:val="BodyText"/>
      </w:pPr>
      <w:r w:rsidRPr="009948EC">
        <w:t xml:space="preserve">The October 2023 amendments to the LG (FM) Regs, regulation 17A resulted in substantial changes </w:t>
      </w:r>
      <w:r w:rsidR="00B64A7D">
        <w:t xml:space="preserve">to earlier </w:t>
      </w:r>
      <w:r w:rsidRPr="009948EC">
        <w:t xml:space="preserve">versions of this regulation. The most significant change made </w:t>
      </w:r>
      <w:r w:rsidR="00E401C8">
        <w:t>related to</w:t>
      </w:r>
      <w:r w:rsidRPr="009948EC">
        <w:t xml:space="preserve"> the frequency of revaluations. The amended LG (FM) Regs, regulation 17A </w:t>
      </w:r>
      <w:r w:rsidR="008A4481">
        <w:t>came into</w:t>
      </w:r>
      <w:r w:rsidR="00D93784" w:rsidRPr="009948EC">
        <w:t xml:space="preserve"> </w:t>
      </w:r>
      <w:r w:rsidRPr="009948EC">
        <w:t xml:space="preserve">effect from the 2023-2024 financial year. </w:t>
      </w:r>
    </w:p>
    <w:p w14:paraId="37F73CA3" w14:textId="77777777" w:rsidR="006F6542" w:rsidRDefault="006F6542">
      <w:pPr>
        <w:spacing w:after="0" w:line="240" w:lineRule="auto"/>
        <w:rPr>
          <w:rFonts w:cs="Arial"/>
          <w:b/>
          <w:bCs/>
        </w:rPr>
      </w:pPr>
      <w:r>
        <w:rPr>
          <w:rFonts w:cs="Arial"/>
          <w:b/>
          <w:bCs/>
        </w:rPr>
        <w:br w:type="page"/>
      </w:r>
    </w:p>
    <w:p w14:paraId="161D6FFF" w14:textId="293878E1" w:rsidR="00B9211E" w:rsidRPr="009948EC" w:rsidRDefault="00B9211E" w:rsidP="00EE3669">
      <w:pPr>
        <w:pStyle w:val="Heading4"/>
      </w:pPr>
      <w:r w:rsidRPr="009948EC">
        <w:lastRenderedPageBreak/>
        <w:t>Example</w:t>
      </w:r>
      <w:r w:rsidR="00D05147">
        <w:t>:</w:t>
      </w:r>
      <w:r w:rsidRPr="009948EC">
        <w:t xml:space="preserve"> difference in the revaluation interval between the old rules and the new rules</w:t>
      </w:r>
    </w:p>
    <w:tbl>
      <w:tblPr>
        <w:tblStyle w:val="TableGrid"/>
        <w:tblW w:w="9639" w:type="dxa"/>
        <w:tblLook w:val="04A0" w:firstRow="1" w:lastRow="0" w:firstColumn="1" w:lastColumn="0" w:noHBand="0" w:noVBand="1"/>
      </w:tblPr>
      <w:tblGrid>
        <w:gridCol w:w="4536"/>
        <w:gridCol w:w="567"/>
        <w:gridCol w:w="4536"/>
      </w:tblGrid>
      <w:tr w:rsidR="00B9211E" w14:paraId="113B506E" w14:textId="77777777">
        <w:tc>
          <w:tcPr>
            <w:tcW w:w="9639" w:type="dxa"/>
            <w:gridSpan w:val="3"/>
          </w:tcPr>
          <w:p w14:paraId="025E4A9B" w14:textId="54B6FF9A" w:rsidR="00B9211E" w:rsidRPr="00E57AB3" w:rsidRDefault="00F248A4" w:rsidP="00E57AB3">
            <w:pPr>
              <w:pStyle w:val="TableContent"/>
              <w:rPr>
                <w:rStyle w:val="normaltextrun"/>
                <w:sz w:val="24"/>
              </w:rPr>
            </w:pPr>
            <w:r>
              <w:rPr>
                <w:rStyle w:val="normaltextrun"/>
                <w:sz w:val="24"/>
              </w:rPr>
              <w:t xml:space="preserve">Valuation </w:t>
            </w:r>
            <w:r w:rsidR="00B9211E" w:rsidRPr="00E57AB3">
              <w:rPr>
                <w:rStyle w:val="normaltextrun"/>
                <w:sz w:val="24"/>
              </w:rPr>
              <w:t>of an administrative building (old requirements versus new requirements)</w:t>
            </w:r>
          </w:p>
          <w:p w14:paraId="7660BBED" w14:textId="77777777" w:rsidR="00B9211E" w:rsidRPr="00E57AB3" w:rsidRDefault="00B9211E" w:rsidP="00E57AB3">
            <w:pPr>
              <w:pStyle w:val="TableContent"/>
              <w:rPr>
                <w:rStyle w:val="normaltextrun"/>
                <w:sz w:val="24"/>
              </w:rPr>
            </w:pPr>
            <w:r w:rsidRPr="00E57AB3">
              <w:rPr>
                <w:rStyle w:val="normaltextrun"/>
                <w:sz w:val="24"/>
              </w:rPr>
              <w:t>Year 0: building is revalued.</w:t>
            </w:r>
          </w:p>
          <w:p w14:paraId="781665F6" w14:textId="77777777" w:rsidR="00B9211E" w:rsidRPr="00E57AB3" w:rsidRDefault="00B9211E" w:rsidP="00E57AB3">
            <w:pPr>
              <w:pStyle w:val="TableContent"/>
              <w:rPr>
                <w:rStyle w:val="normaltextrun"/>
                <w:sz w:val="24"/>
              </w:rPr>
            </w:pPr>
            <w:r w:rsidRPr="00E57AB3">
              <w:rPr>
                <w:rStyle w:val="normaltextrun"/>
                <w:sz w:val="24"/>
              </w:rPr>
              <w:t>Year 2: material change takes place in the fair value of the building. This could be caused by several factors including:</w:t>
            </w:r>
          </w:p>
          <w:p w14:paraId="0E5290AC" w14:textId="77777777" w:rsidR="00B9211E" w:rsidRPr="00E57AB3" w:rsidRDefault="00B9211E">
            <w:pPr>
              <w:pStyle w:val="TableContent"/>
              <w:numPr>
                <w:ilvl w:val="0"/>
                <w:numId w:val="23"/>
              </w:numPr>
              <w:rPr>
                <w:rStyle w:val="normaltextrun"/>
                <w:sz w:val="24"/>
              </w:rPr>
            </w:pPr>
            <w:r w:rsidRPr="00E57AB3">
              <w:rPr>
                <w:rStyle w:val="normaltextrun"/>
                <w:sz w:val="24"/>
              </w:rPr>
              <w:t>changes in the underlying replacement cost of assets, or</w:t>
            </w:r>
          </w:p>
          <w:p w14:paraId="1084C52B" w14:textId="77777777" w:rsidR="00B9211E" w:rsidRPr="00E57AB3" w:rsidRDefault="00B9211E">
            <w:pPr>
              <w:pStyle w:val="TableContent"/>
              <w:numPr>
                <w:ilvl w:val="0"/>
                <w:numId w:val="23"/>
              </w:numPr>
              <w:rPr>
                <w:rStyle w:val="normaltextrun"/>
                <w:sz w:val="24"/>
              </w:rPr>
            </w:pPr>
            <w:r w:rsidRPr="00E57AB3">
              <w:rPr>
                <w:rStyle w:val="normaltextrun"/>
                <w:sz w:val="24"/>
              </w:rPr>
              <w:t>changes in asset conditions due to upgrades, or</w:t>
            </w:r>
          </w:p>
          <w:p w14:paraId="508CBC51" w14:textId="77777777" w:rsidR="00B9211E" w:rsidRPr="00E57AB3" w:rsidRDefault="00B9211E">
            <w:pPr>
              <w:pStyle w:val="TableContent"/>
              <w:numPr>
                <w:ilvl w:val="0"/>
                <w:numId w:val="23"/>
              </w:numPr>
              <w:rPr>
                <w:sz w:val="24"/>
              </w:rPr>
            </w:pPr>
            <w:r w:rsidRPr="00E57AB3">
              <w:rPr>
                <w:rStyle w:val="normaltextrun"/>
                <w:sz w:val="24"/>
              </w:rPr>
              <w:t>obsolescence due to council decisions.</w:t>
            </w:r>
            <w:r w:rsidRPr="00E57AB3">
              <w:rPr>
                <w:sz w:val="24"/>
              </w:rPr>
              <w:t xml:space="preserve"> </w:t>
            </w:r>
          </w:p>
          <w:p w14:paraId="42214405" w14:textId="77777777" w:rsidR="00B9211E" w:rsidRPr="00F664A2" w:rsidRDefault="00B9211E" w:rsidP="00E57AB3">
            <w:pPr>
              <w:pStyle w:val="TableContent"/>
            </w:pPr>
            <w:r w:rsidRPr="00E57AB3">
              <w:rPr>
                <w:sz w:val="24"/>
              </w:rPr>
              <w:t>Consequently, a material difference exists between the building’s carrying amount and its fair value at the reporting date.</w:t>
            </w:r>
          </w:p>
        </w:tc>
      </w:tr>
      <w:tr w:rsidR="00B9211E" w14:paraId="09CC0586" w14:textId="77777777">
        <w:tc>
          <w:tcPr>
            <w:tcW w:w="4536" w:type="dxa"/>
          </w:tcPr>
          <w:p w14:paraId="2B8952EB" w14:textId="694713C7" w:rsidR="00B9211E" w:rsidRPr="00F664A2" w:rsidRDefault="008D4FB9" w:rsidP="00F664A2">
            <w:pPr>
              <w:pStyle w:val="TableContent"/>
              <w:rPr>
                <w:b/>
                <w:bCs/>
                <w:sz w:val="24"/>
              </w:rPr>
            </w:pPr>
            <w:r w:rsidRPr="00545D59">
              <w:rPr>
                <w:b/>
                <w:bCs/>
                <w:sz w:val="24"/>
              </w:rPr>
              <w:t>B</w:t>
            </w:r>
            <w:r w:rsidR="00B9211E" w:rsidRPr="00E07D3F">
              <w:rPr>
                <w:b/>
                <w:bCs/>
                <w:sz w:val="24"/>
              </w:rPr>
              <w:t>efore</w:t>
            </w:r>
            <w:r w:rsidR="00B9211E" w:rsidRPr="00545D59">
              <w:rPr>
                <w:b/>
                <w:bCs/>
                <w:sz w:val="24"/>
              </w:rPr>
              <w:t xml:space="preserve"> </w:t>
            </w:r>
            <w:r w:rsidR="00B9211E" w:rsidRPr="00F664A2">
              <w:rPr>
                <w:b/>
                <w:bCs/>
                <w:sz w:val="24"/>
              </w:rPr>
              <w:t>October 2023 change</w:t>
            </w:r>
          </w:p>
          <w:p w14:paraId="4E3EDBBC" w14:textId="7806AE32" w:rsidR="00B9211E" w:rsidRPr="00F664A2" w:rsidRDefault="00B9211E" w:rsidP="00F664A2">
            <w:pPr>
              <w:pStyle w:val="TableContent"/>
              <w:rPr>
                <w:sz w:val="24"/>
              </w:rPr>
            </w:pPr>
            <w:r w:rsidRPr="00F664A2">
              <w:rPr>
                <w:sz w:val="24"/>
              </w:rPr>
              <w:t xml:space="preserve">Revalue the 17A(2)(a) Asset whenever the LG is of the opinion that the fair value of the asset is likely to be materially different from </w:t>
            </w:r>
            <w:proofErr w:type="gramStart"/>
            <w:r w:rsidRPr="00F664A2">
              <w:rPr>
                <w:sz w:val="24"/>
              </w:rPr>
              <w:t>its</w:t>
            </w:r>
            <w:proofErr w:type="gramEnd"/>
            <w:r w:rsidRPr="00F664A2">
              <w:rPr>
                <w:sz w:val="24"/>
              </w:rPr>
              <w:t xml:space="preserve"> carrying amount.</w:t>
            </w:r>
          </w:p>
          <w:p w14:paraId="5C809762" w14:textId="77777777" w:rsidR="00B9211E" w:rsidRPr="00F664A2" w:rsidRDefault="00B9211E" w:rsidP="00F664A2">
            <w:pPr>
              <w:pStyle w:val="TableContent"/>
              <w:rPr>
                <w:b/>
                <w:bCs/>
                <w:sz w:val="24"/>
              </w:rPr>
            </w:pPr>
            <w:r w:rsidRPr="00F664A2">
              <w:rPr>
                <w:b/>
                <w:bCs/>
                <w:sz w:val="24"/>
              </w:rPr>
              <w:t xml:space="preserve">Application: </w:t>
            </w:r>
          </w:p>
          <w:p w14:paraId="4C3C6D82" w14:textId="653FEBA1" w:rsidR="00B9211E" w:rsidRPr="00F664A2" w:rsidRDefault="00B9211E" w:rsidP="00F664A2">
            <w:pPr>
              <w:pStyle w:val="TableContent"/>
              <w:rPr>
                <w:sz w:val="24"/>
              </w:rPr>
            </w:pPr>
            <w:r w:rsidRPr="00F664A2">
              <w:rPr>
                <w:sz w:val="24"/>
              </w:rPr>
              <w:t xml:space="preserve">Revalue the building in </w:t>
            </w:r>
            <w:r w:rsidR="00ED13D2">
              <w:rPr>
                <w:sz w:val="24"/>
              </w:rPr>
              <w:t>Y</w:t>
            </w:r>
            <w:r w:rsidRPr="00F664A2">
              <w:rPr>
                <w:sz w:val="24"/>
              </w:rPr>
              <w:t>ear 2</w:t>
            </w:r>
            <w:r w:rsidR="00ED13D2">
              <w:rPr>
                <w:sz w:val="24"/>
              </w:rPr>
              <w:t>.</w:t>
            </w:r>
            <w:r w:rsidRPr="00F664A2">
              <w:rPr>
                <w:sz w:val="24"/>
              </w:rPr>
              <w:t xml:space="preserve"> </w:t>
            </w:r>
          </w:p>
        </w:tc>
        <w:tc>
          <w:tcPr>
            <w:tcW w:w="567" w:type="dxa"/>
            <w:tcBorders>
              <w:top w:val="nil"/>
              <w:bottom w:val="nil"/>
            </w:tcBorders>
          </w:tcPr>
          <w:p w14:paraId="4541E513" w14:textId="77777777" w:rsidR="00B9211E" w:rsidRPr="00F664A2" w:rsidRDefault="00B9211E" w:rsidP="00F664A2">
            <w:pPr>
              <w:pStyle w:val="TableContent"/>
              <w:rPr>
                <w:sz w:val="24"/>
              </w:rPr>
            </w:pPr>
          </w:p>
        </w:tc>
        <w:tc>
          <w:tcPr>
            <w:tcW w:w="4536" w:type="dxa"/>
          </w:tcPr>
          <w:p w14:paraId="0BFDE35F" w14:textId="23054FF8" w:rsidR="00B9211E" w:rsidRPr="00F664A2" w:rsidRDefault="008D4FB9" w:rsidP="00F664A2">
            <w:pPr>
              <w:pStyle w:val="TableContent"/>
              <w:rPr>
                <w:sz w:val="24"/>
              </w:rPr>
            </w:pPr>
            <w:r w:rsidRPr="005925B9">
              <w:rPr>
                <w:b/>
                <w:bCs/>
                <w:sz w:val="24"/>
              </w:rPr>
              <w:t>A</w:t>
            </w:r>
            <w:r w:rsidR="00B9211E" w:rsidRPr="005925B9">
              <w:rPr>
                <w:b/>
                <w:sz w:val="24"/>
              </w:rPr>
              <w:t>fter</w:t>
            </w:r>
            <w:r w:rsidR="00B9211E" w:rsidRPr="005925B9">
              <w:rPr>
                <w:b/>
              </w:rPr>
              <w:t xml:space="preserve"> </w:t>
            </w:r>
            <w:r w:rsidR="00B9211E" w:rsidRPr="00F664A2">
              <w:rPr>
                <w:b/>
                <w:bCs/>
                <w:sz w:val="24"/>
              </w:rPr>
              <w:t>October 2023 change</w:t>
            </w:r>
          </w:p>
          <w:p w14:paraId="26086258" w14:textId="77777777" w:rsidR="00B9211E" w:rsidRPr="00F664A2" w:rsidRDefault="00B9211E" w:rsidP="00F664A2">
            <w:pPr>
              <w:pStyle w:val="TableContent"/>
              <w:rPr>
                <w:sz w:val="24"/>
              </w:rPr>
            </w:pPr>
            <w:r w:rsidRPr="00F664A2">
              <w:rPr>
                <w:sz w:val="24"/>
              </w:rPr>
              <w:t>Revalue the 17A(2)(a) Asset once every 5 years.</w:t>
            </w:r>
          </w:p>
          <w:p w14:paraId="2AB1919A" w14:textId="77777777" w:rsidR="00B9211E" w:rsidRPr="00F664A2" w:rsidRDefault="00B9211E" w:rsidP="00F664A2">
            <w:pPr>
              <w:pStyle w:val="TableContent"/>
              <w:rPr>
                <w:sz w:val="24"/>
              </w:rPr>
            </w:pPr>
            <w:r w:rsidRPr="00F664A2">
              <w:rPr>
                <w:sz w:val="24"/>
              </w:rPr>
              <w:t>Do not have to assess for material differences between the building’s carrying amount and its fair value in the intervening years (between the 5 yearly revaluation cycle).</w:t>
            </w:r>
          </w:p>
          <w:p w14:paraId="792B8D4B" w14:textId="77777777" w:rsidR="00B9211E" w:rsidRPr="00F664A2" w:rsidRDefault="00B9211E" w:rsidP="00F664A2">
            <w:pPr>
              <w:pStyle w:val="TableContent"/>
              <w:rPr>
                <w:b/>
                <w:bCs/>
                <w:sz w:val="24"/>
              </w:rPr>
            </w:pPr>
            <w:r w:rsidRPr="00F664A2">
              <w:rPr>
                <w:b/>
                <w:bCs/>
                <w:sz w:val="24"/>
              </w:rPr>
              <w:t xml:space="preserve">Application: </w:t>
            </w:r>
          </w:p>
          <w:p w14:paraId="16D879F9" w14:textId="0AE6E6FA" w:rsidR="00B9211E" w:rsidRPr="00F664A2" w:rsidRDefault="00B9211E" w:rsidP="00F664A2">
            <w:pPr>
              <w:pStyle w:val="TableContent"/>
              <w:rPr>
                <w:sz w:val="24"/>
              </w:rPr>
            </w:pPr>
            <w:r w:rsidRPr="00F664A2">
              <w:rPr>
                <w:sz w:val="24"/>
              </w:rPr>
              <w:t xml:space="preserve">Do not revalue the building in </w:t>
            </w:r>
            <w:r w:rsidR="00ED13D2">
              <w:rPr>
                <w:sz w:val="24"/>
              </w:rPr>
              <w:t>Y</w:t>
            </w:r>
            <w:r w:rsidRPr="00F664A2">
              <w:rPr>
                <w:sz w:val="24"/>
              </w:rPr>
              <w:t>ear 2</w:t>
            </w:r>
            <w:r w:rsidR="00ED13D2">
              <w:rPr>
                <w:sz w:val="24"/>
              </w:rPr>
              <w:t>.</w:t>
            </w:r>
          </w:p>
        </w:tc>
      </w:tr>
    </w:tbl>
    <w:p w14:paraId="20E3D8BE" w14:textId="77777777" w:rsidR="002D6713" w:rsidRDefault="002D6713">
      <w:pPr>
        <w:spacing w:after="0" w:line="240" w:lineRule="auto"/>
        <w:rPr>
          <w:rFonts w:cs="Arial"/>
          <w:color w:val="38115E"/>
          <w:sz w:val="30"/>
          <w:lang w:val="en-GB"/>
        </w:rPr>
      </w:pPr>
      <w:r>
        <w:rPr>
          <w:b/>
          <w:bCs/>
        </w:rPr>
        <w:br w:type="page"/>
      </w:r>
    </w:p>
    <w:p w14:paraId="30A37918" w14:textId="4D1EB913" w:rsidR="001653A1" w:rsidRPr="009948EC" w:rsidRDefault="001653A1" w:rsidP="00E8351C">
      <w:pPr>
        <w:pStyle w:val="Heading4"/>
      </w:pPr>
      <w:r w:rsidRPr="009948EC">
        <w:lastRenderedPageBreak/>
        <w:t>Conflicting requirements</w:t>
      </w:r>
      <w:r w:rsidR="009C38E9">
        <w:t xml:space="preserve">: </w:t>
      </w:r>
      <w:r w:rsidRPr="009948EC">
        <w:t>valuation intervals between the LG (FM) Regs and AAS</w:t>
      </w:r>
    </w:p>
    <w:p w14:paraId="0A694EE9" w14:textId="77777777" w:rsidR="001653A1" w:rsidRPr="009948EC" w:rsidRDefault="001653A1" w:rsidP="00D70B5C">
      <w:pPr>
        <w:pStyle w:val="BodyText"/>
      </w:pPr>
      <w:r w:rsidRPr="009948EC">
        <w:t>This October 2023 amendment to the LG (FM) Regs resulted in a substantial difference from AASB 116 Property, Plant and Equipment (2022)</w:t>
      </w:r>
      <w:r w:rsidRPr="009948EC">
        <w:rPr>
          <w:vertAlign w:val="superscript"/>
        </w:rPr>
        <w:t xml:space="preserve"> </w:t>
      </w:r>
      <w:r w:rsidRPr="009948EC">
        <w:t xml:space="preserve">regarding the frequency of revaluations. As stated above, the LG (FM) Regs overrules AAS. </w:t>
      </w:r>
    </w:p>
    <w:p w14:paraId="0504F52C" w14:textId="77777777" w:rsidR="001653A1" w:rsidRPr="009948EC" w:rsidRDefault="001653A1" w:rsidP="003F6848">
      <w:pPr>
        <w:pStyle w:val="Heading4"/>
      </w:pPr>
      <w:r w:rsidRPr="009948EC">
        <w:t>Example of the difference in the revaluation interval between the LG (FM) Regs and AASB 116 Property, Plant and Equipment (2022)</w:t>
      </w:r>
    </w:p>
    <w:tbl>
      <w:tblPr>
        <w:tblStyle w:val="TableGrid"/>
        <w:tblW w:w="9639" w:type="dxa"/>
        <w:tblLook w:val="04A0" w:firstRow="1" w:lastRow="0" w:firstColumn="1" w:lastColumn="0" w:noHBand="0" w:noVBand="1"/>
      </w:tblPr>
      <w:tblGrid>
        <w:gridCol w:w="4248"/>
        <w:gridCol w:w="1134"/>
        <w:gridCol w:w="4257"/>
      </w:tblGrid>
      <w:tr w:rsidR="001653A1" w:rsidRPr="009948EC" w14:paraId="67E26264" w14:textId="77777777">
        <w:tc>
          <w:tcPr>
            <w:tcW w:w="9639" w:type="dxa"/>
            <w:gridSpan w:val="3"/>
            <w:tcBorders>
              <w:bottom w:val="single" w:sz="4" w:space="0" w:color="auto"/>
            </w:tcBorders>
          </w:tcPr>
          <w:p w14:paraId="2A3E5920" w14:textId="77777777" w:rsidR="001653A1" w:rsidRPr="00514230" w:rsidRDefault="001653A1" w:rsidP="00514230">
            <w:pPr>
              <w:pStyle w:val="TableContent"/>
              <w:rPr>
                <w:rStyle w:val="normaltextrun"/>
                <w:sz w:val="24"/>
              </w:rPr>
            </w:pPr>
            <w:r w:rsidRPr="00514230">
              <w:rPr>
                <w:rStyle w:val="normaltextrun"/>
                <w:sz w:val="24"/>
              </w:rPr>
              <w:t>Example: Using discretion in valuation of an administrative building.</w:t>
            </w:r>
          </w:p>
          <w:p w14:paraId="34EDE6AF" w14:textId="77777777" w:rsidR="001653A1" w:rsidRPr="00514230" w:rsidRDefault="001653A1" w:rsidP="00514230">
            <w:pPr>
              <w:pStyle w:val="TableContent"/>
              <w:rPr>
                <w:rStyle w:val="normaltextrun"/>
                <w:sz w:val="24"/>
              </w:rPr>
            </w:pPr>
            <w:r w:rsidRPr="00514230">
              <w:rPr>
                <w:rStyle w:val="normaltextrun"/>
                <w:sz w:val="24"/>
              </w:rPr>
              <w:t>(Does not apply to the valuation of investment property.)</w:t>
            </w:r>
          </w:p>
          <w:p w14:paraId="25B79B0C" w14:textId="77777777" w:rsidR="001653A1" w:rsidRPr="00514230" w:rsidRDefault="001653A1" w:rsidP="00514230">
            <w:pPr>
              <w:pStyle w:val="TableContent"/>
              <w:rPr>
                <w:rStyle w:val="normaltextrun"/>
                <w:sz w:val="24"/>
              </w:rPr>
            </w:pPr>
            <w:r w:rsidRPr="00514230">
              <w:rPr>
                <w:rStyle w:val="normaltextrun"/>
                <w:sz w:val="24"/>
              </w:rPr>
              <w:t>Year 0: building is revalued.</w:t>
            </w:r>
          </w:p>
          <w:p w14:paraId="0FC3DC2D" w14:textId="77777777" w:rsidR="001653A1" w:rsidRPr="00514230" w:rsidRDefault="001653A1" w:rsidP="00514230">
            <w:pPr>
              <w:pStyle w:val="TableContent"/>
              <w:rPr>
                <w:sz w:val="24"/>
              </w:rPr>
            </w:pPr>
            <w:r w:rsidRPr="00514230">
              <w:rPr>
                <w:rStyle w:val="normaltextrun"/>
                <w:sz w:val="24"/>
              </w:rPr>
              <w:t xml:space="preserve">Year 2: </w:t>
            </w:r>
            <w:r w:rsidRPr="00514230">
              <w:rPr>
                <w:sz w:val="24"/>
              </w:rPr>
              <w:t xml:space="preserve">building’s value falls dramatically due to a market downturn. Consequently, a material difference exists between the building’s carrying amount and its fair value at the reporting date. </w:t>
            </w:r>
          </w:p>
        </w:tc>
      </w:tr>
      <w:tr w:rsidR="001653A1" w:rsidRPr="009948EC" w14:paraId="5907C28D" w14:textId="77777777" w:rsidTr="00611207">
        <w:tc>
          <w:tcPr>
            <w:tcW w:w="4248" w:type="dxa"/>
            <w:tcBorders>
              <w:top w:val="single" w:sz="4" w:space="0" w:color="auto"/>
              <w:bottom w:val="single" w:sz="4" w:space="0" w:color="auto"/>
            </w:tcBorders>
          </w:tcPr>
          <w:p w14:paraId="72E5916F" w14:textId="77777777" w:rsidR="001653A1" w:rsidRPr="00E92404" w:rsidRDefault="001653A1" w:rsidP="00514230">
            <w:pPr>
              <w:pStyle w:val="TableContent"/>
              <w:rPr>
                <w:b/>
                <w:bCs/>
                <w:sz w:val="24"/>
              </w:rPr>
            </w:pPr>
            <w:r w:rsidRPr="00E92404">
              <w:rPr>
                <w:b/>
                <w:bCs/>
                <w:sz w:val="24"/>
              </w:rPr>
              <w:t>LG (FM) Regs, regulation 17A(4</w:t>
            </w:r>
            <w:proofErr w:type="gramStart"/>
            <w:r w:rsidRPr="00E92404">
              <w:rPr>
                <w:b/>
                <w:bCs/>
                <w:sz w:val="24"/>
              </w:rPr>
              <w:t>A)(</w:t>
            </w:r>
            <w:proofErr w:type="gramEnd"/>
            <w:r w:rsidRPr="00E92404">
              <w:rPr>
                <w:b/>
                <w:bCs/>
                <w:sz w:val="24"/>
              </w:rPr>
              <w:t>b)</w:t>
            </w:r>
          </w:p>
          <w:p w14:paraId="6C0939DF" w14:textId="77777777" w:rsidR="001653A1" w:rsidRPr="00BE5F43" w:rsidRDefault="001653A1" w:rsidP="00514230">
            <w:pPr>
              <w:pStyle w:val="TableContent"/>
              <w:rPr>
                <w:sz w:val="24"/>
              </w:rPr>
            </w:pPr>
            <w:r w:rsidRPr="00BE5F43">
              <w:rPr>
                <w:sz w:val="24"/>
              </w:rPr>
              <w:t xml:space="preserve">Revalue 17A(2)(a) Assets once every 5 years. </w:t>
            </w:r>
          </w:p>
          <w:p w14:paraId="38FE053E" w14:textId="77777777" w:rsidR="001653A1" w:rsidRPr="00514230" w:rsidRDefault="001653A1" w:rsidP="00514230">
            <w:pPr>
              <w:pStyle w:val="TableContent"/>
              <w:rPr>
                <w:b/>
                <w:bCs/>
                <w:sz w:val="24"/>
              </w:rPr>
            </w:pPr>
            <w:r w:rsidRPr="00514230">
              <w:rPr>
                <w:b/>
                <w:bCs/>
                <w:sz w:val="24"/>
              </w:rPr>
              <w:t>Application:</w:t>
            </w:r>
          </w:p>
          <w:p w14:paraId="041BDE4A" w14:textId="529AE202" w:rsidR="001653A1" w:rsidRPr="009948EC" w:rsidRDefault="001653A1" w:rsidP="00514230">
            <w:pPr>
              <w:pStyle w:val="TableContent"/>
            </w:pPr>
            <w:r w:rsidRPr="00514230">
              <w:rPr>
                <w:sz w:val="24"/>
              </w:rPr>
              <w:t>Do not revalue the building in year 2.</w:t>
            </w:r>
          </w:p>
        </w:tc>
        <w:tc>
          <w:tcPr>
            <w:tcW w:w="1134" w:type="dxa"/>
            <w:tcBorders>
              <w:top w:val="nil"/>
              <w:bottom w:val="nil"/>
            </w:tcBorders>
          </w:tcPr>
          <w:p w14:paraId="3C2B6A4A" w14:textId="77777777" w:rsidR="001653A1" w:rsidRPr="009948EC" w:rsidRDefault="001653A1">
            <w:pPr>
              <w:autoSpaceDE w:val="0"/>
              <w:autoSpaceDN w:val="0"/>
              <w:adjustRightInd w:val="0"/>
              <w:rPr>
                <w:rFonts w:cs="Arial"/>
                <w:b/>
                <w:bCs/>
                <w:sz w:val="24"/>
              </w:rPr>
            </w:pPr>
          </w:p>
        </w:tc>
        <w:tc>
          <w:tcPr>
            <w:tcW w:w="4257" w:type="dxa"/>
            <w:tcBorders>
              <w:top w:val="single" w:sz="4" w:space="0" w:color="auto"/>
              <w:bottom w:val="single" w:sz="4" w:space="0" w:color="auto"/>
            </w:tcBorders>
          </w:tcPr>
          <w:p w14:paraId="68997591" w14:textId="77777777" w:rsidR="001653A1" w:rsidRPr="00514230" w:rsidRDefault="001653A1" w:rsidP="00514230">
            <w:pPr>
              <w:pStyle w:val="TableContent"/>
              <w:rPr>
                <w:b/>
                <w:bCs/>
                <w:sz w:val="24"/>
              </w:rPr>
            </w:pPr>
            <w:r w:rsidRPr="00514230">
              <w:rPr>
                <w:b/>
                <w:bCs/>
                <w:sz w:val="24"/>
              </w:rPr>
              <w:t>AASB 116 Property, Plant and Equipment (2022 - 10, paragraph 31).</w:t>
            </w:r>
          </w:p>
          <w:p w14:paraId="62402FF6" w14:textId="77777777" w:rsidR="001653A1" w:rsidRPr="00BE5F43" w:rsidRDefault="001653A1" w:rsidP="00514230">
            <w:pPr>
              <w:pStyle w:val="TableContent"/>
              <w:rPr>
                <w:sz w:val="24"/>
              </w:rPr>
            </w:pPr>
            <w:r w:rsidRPr="00BE5F43">
              <w:rPr>
                <w:sz w:val="24"/>
              </w:rPr>
              <w:t>Revalue assets whenever required:</w:t>
            </w:r>
          </w:p>
          <w:p w14:paraId="537CECF9" w14:textId="77777777" w:rsidR="001653A1" w:rsidRPr="00514230" w:rsidRDefault="001653A1" w:rsidP="00FE68CF">
            <w:pPr>
              <w:pStyle w:val="TableContent"/>
              <w:rPr>
                <w:sz w:val="24"/>
              </w:rPr>
            </w:pPr>
            <w:r w:rsidRPr="00514230">
              <w:rPr>
                <w:sz w:val="24"/>
              </w:rPr>
              <w:t xml:space="preserve">If the revaluation model has been chosen for an asset class, the local government should: </w:t>
            </w:r>
          </w:p>
          <w:p w14:paraId="7A9BE8EA" w14:textId="77777777" w:rsidR="001653A1" w:rsidRPr="00514230" w:rsidRDefault="001653A1" w:rsidP="00FE68CF">
            <w:pPr>
              <w:pStyle w:val="TableContent"/>
              <w:rPr>
                <w:sz w:val="24"/>
              </w:rPr>
            </w:pPr>
            <w:r w:rsidRPr="00514230">
              <w:rPr>
                <w:sz w:val="24"/>
              </w:rPr>
              <w:t xml:space="preserve">annually assess whether that asset class’s carrying amount ‘differs materially’ from its ‘fair value at the end of the reporting period’, and </w:t>
            </w:r>
          </w:p>
          <w:p w14:paraId="4A435EC1" w14:textId="77777777" w:rsidR="001653A1" w:rsidRPr="00514230" w:rsidRDefault="001653A1" w:rsidP="00FE68CF">
            <w:pPr>
              <w:pStyle w:val="TableContent"/>
              <w:rPr>
                <w:sz w:val="24"/>
              </w:rPr>
            </w:pPr>
            <w:r w:rsidRPr="00514230">
              <w:rPr>
                <w:sz w:val="24"/>
              </w:rPr>
              <w:t>if such an assessment suggests a material difference exists, an actual revaluation of the asset class must be performed.</w:t>
            </w:r>
          </w:p>
          <w:p w14:paraId="1596F4CC" w14:textId="77777777" w:rsidR="001653A1" w:rsidRPr="00514230" w:rsidRDefault="001653A1" w:rsidP="00514230">
            <w:pPr>
              <w:pStyle w:val="TableContent"/>
              <w:rPr>
                <w:b/>
                <w:bCs/>
                <w:sz w:val="24"/>
              </w:rPr>
            </w:pPr>
            <w:r w:rsidRPr="00514230">
              <w:rPr>
                <w:b/>
                <w:bCs/>
                <w:sz w:val="24"/>
              </w:rPr>
              <w:t xml:space="preserve">Application: </w:t>
            </w:r>
          </w:p>
          <w:p w14:paraId="5B39F20D" w14:textId="77777777" w:rsidR="001653A1" w:rsidRPr="00514230" w:rsidRDefault="001653A1" w:rsidP="00514230">
            <w:pPr>
              <w:pStyle w:val="TableContent"/>
              <w:rPr>
                <w:sz w:val="24"/>
              </w:rPr>
            </w:pPr>
            <w:r w:rsidRPr="00514230">
              <w:rPr>
                <w:sz w:val="24"/>
              </w:rPr>
              <w:t>Revalue the building in year 2.</w:t>
            </w:r>
          </w:p>
        </w:tc>
      </w:tr>
      <w:tr w:rsidR="001653A1" w:rsidRPr="009948EC" w14:paraId="289AE54D" w14:textId="77777777" w:rsidTr="00611207">
        <w:tc>
          <w:tcPr>
            <w:tcW w:w="4248" w:type="dxa"/>
            <w:tcBorders>
              <w:top w:val="single" w:sz="4" w:space="0" w:color="auto"/>
              <w:left w:val="nil"/>
              <w:bottom w:val="single" w:sz="4" w:space="0" w:color="auto"/>
              <w:right w:val="nil"/>
            </w:tcBorders>
          </w:tcPr>
          <w:p w14:paraId="48B6113B" w14:textId="0B6F9A47" w:rsidR="00032959" w:rsidRDefault="00032959">
            <w:pPr>
              <w:autoSpaceDE w:val="0"/>
              <w:autoSpaceDN w:val="0"/>
              <w:adjustRightInd w:val="0"/>
              <w:spacing w:before="60" w:after="60"/>
              <w:rPr>
                <w:rFonts w:cs="Arial"/>
                <w:b/>
                <w:bCs/>
                <w:sz w:val="24"/>
              </w:rPr>
            </w:pPr>
            <w:r>
              <w:rPr>
                <w:rFonts w:cs="Arial"/>
                <w:b/>
                <w:bCs/>
                <w:noProof/>
              </w:rPr>
              <mc:AlternateContent>
                <mc:Choice Requires="wps">
                  <w:drawing>
                    <wp:anchor distT="0" distB="0" distL="114300" distR="114300" simplePos="0" relativeHeight="251658242" behindDoc="0" locked="0" layoutInCell="1" allowOverlap="1" wp14:anchorId="537E55C8" wp14:editId="1D9E2BF2">
                      <wp:simplePos x="0" y="0"/>
                      <wp:positionH relativeFrom="column">
                        <wp:posOffset>1140889</wp:posOffset>
                      </wp:positionH>
                      <wp:positionV relativeFrom="paragraph">
                        <wp:posOffset>73528</wp:posOffset>
                      </wp:positionV>
                      <wp:extent cx="261257" cy="380010"/>
                      <wp:effectExtent l="0" t="0" r="5715" b="1270"/>
                      <wp:wrapNone/>
                      <wp:docPr id="1758380597" name="Arrow: Down 1" descr="Arrow pointing down"/>
                      <wp:cNvGraphicFramePr/>
                      <a:graphic xmlns:a="http://schemas.openxmlformats.org/drawingml/2006/main">
                        <a:graphicData uri="http://schemas.microsoft.com/office/word/2010/wordprocessingShape">
                          <wps:wsp>
                            <wps:cNvSpPr/>
                            <wps:spPr>
                              <a:xfrm>
                                <a:off x="0" y="0"/>
                                <a:ext cx="261257" cy="380010"/>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932A7" id="Arrow: Down 1" o:spid="_x0000_s1026" type="#_x0000_t67" alt="Arrow pointing down" style="position:absolute;margin-left:89.85pt;margin-top:5.8pt;width:20.55pt;height:29.9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" adj="14175" fillcolor="#8782a8 [1951]" stroked="f"/>
                  </w:pict>
                </mc:Fallback>
              </mc:AlternateContent>
            </w:r>
          </w:p>
          <w:p w14:paraId="19BF6F4B" w14:textId="2D522B6D" w:rsidR="001653A1" w:rsidRPr="009948EC" w:rsidRDefault="001653A1">
            <w:pPr>
              <w:autoSpaceDE w:val="0"/>
              <w:autoSpaceDN w:val="0"/>
              <w:adjustRightInd w:val="0"/>
              <w:spacing w:before="60" w:after="60"/>
              <w:rPr>
                <w:rFonts w:cs="Arial"/>
                <w:b/>
                <w:bCs/>
                <w:sz w:val="24"/>
              </w:rPr>
            </w:pPr>
          </w:p>
        </w:tc>
        <w:tc>
          <w:tcPr>
            <w:tcW w:w="1134" w:type="dxa"/>
            <w:tcBorders>
              <w:top w:val="nil"/>
              <w:left w:val="nil"/>
              <w:bottom w:val="nil"/>
              <w:right w:val="nil"/>
            </w:tcBorders>
          </w:tcPr>
          <w:p w14:paraId="601D6271" w14:textId="77777777" w:rsidR="001653A1" w:rsidRPr="009948EC" w:rsidRDefault="001653A1">
            <w:pPr>
              <w:autoSpaceDE w:val="0"/>
              <w:autoSpaceDN w:val="0"/>
              <w:adjustRightInd w:val="0"/>
              <w:rPr>
                <w:rFonts w:cs="Arial"/>
                <w:b/>
                <w:bCs/>
                <w:sz w:val="24"/>
              </w:rPr>
            </w:pPr>
          </w:p>
        </w:tc>
        <w:tc>
          <w:tcPr>
            <w:tcW w:w="4257" w:type="dxa"/>
            <w:tcBorders>
              <w:top w:val="single" w:sz="4" w:space="0" w:color="auto"/>
              <w:left w:val="nil"/>
              <w:bottom w:val="single" w:sz="4" w:space="0" w:color="auto"/>
              <w:right w:val="nil"/>
            </w:tcBorders>
          </w:tcPr>
          <w:p w14:paraId="62566CDA" w14:textId="4458D0C2" w:rsidR="001653A1" w:rsidRPr="009948EC" w:rsidRDefault="00032959">
            <w:pPr>
              <w:autoSpaceDE w:val="0"/>
              <w:autoSpaceDN w:val="0"/>
              <w:adjustRightInd w:val="0"/>
              <w:spacing w:before="60" w:after="60"/>
              <w:rPr>
                <w:rFonts w:cs="Arial"/>
                <w:b/>
                <w:bCs/>
                <w:sz w:val="24"/>
              </w:rPr>
            </w:pPr>
            <w:r>
              <w:rPr>
                <w:rFonts w:cs="Arial"/>
                <w:b/>
                <w:bCs/>
                <w:noProof/>
              </w:rPr>
              <mc:AlternateContent>
                <mc:Choice Requires="wps">
                  <w:drawing>
                    <wp:anchor distT="0" distB="0" distL="114300" distR="114300" simplePos="0" relativeHeight="251658243" behindDoc="0" locked="0" layoutInCell="1" allowOverlap="1" wp14:anchorId="55166578" wp14:editId="5F0DAE83">
                      <wp:simplePos x="0" y="0"/>
                      <wp:positionH relativeFrom="column">
                        <wp:posOffset>1174313</wp:posOffset>
                      </wp:positionH>
                      <wp:positionV relativeFrom="paragraph">
                        <wp:posOffset>88265</wp:posOffset>
                      </wp:positionV>
                      <wp:extent cx="261257" cy="380010"/>
                      <wp:effectExtent l="0" t="0" r="5715" b="1270"/>
                      <wp:wrapNone/>
                      <wp:docPr id="2067584079" name="Arrow: Down 1" descr="Arrow pointing down"/>
                      <wp:cNvGraphicFramePr/>
                      <a:graphic xmlns:a="http://schemas.openxmlformats.org/drawingml/2006/main">
                        <a:graphicData uri="http://schemas.microsoft.com/office/word/2010/wordprocessingShape">
                          <wps:wsp>
                            <wps:cNvSpPr/>
                            <wps:spPr>
                              <a:xfrm>
                                <a:off x="0" y="0"/>
                                <a:ext cx="261257" cy="380010"/>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1B105" id="Arrow: Down 1" o:spid="_x0000_s1026" type="#_x0000_t67" alt="Arrow pointing down" style="position:absolute;margin-left:92.45pt;margin-top:6.95pt;width:20.55pt;height:29.9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" adj="14175" fillcolor="#8782a8 [1951]" stroked="f"/>
                  </w:pict>
                </mc:Fallback>
              </mc:AlternateContent>
            </w:r>
          </w:p>
        </w:tc>
      </w:tr>
      <w:tr w:rsidR="001653A1" w:rsidRPr="009948EC" w14:paraId="27B0F506" w14:textId="77777777">
        <w:tc>
          <w:tcPr>
            <w:tcW w:w="9639" w:type="dxa"/>
            <w:gridSpan w:val="3"/>
            <w:tcBorders>
              <w:top w:val="single" w:sz="4" w:space="0" w:color="auto"/>
              <w:bottom w:val="single" w:sz="4" w:space="0" w:color="auto"/>
            </w:tcBorders>
          </w:tcPr>
          <w:p w14:paraId="1F371E09" w14:textId="77777777" w:rsidR="001653A1" w:rsidRPr="00514230" w:rsidRDefault="001653A1" w:rsidP="00514230">
            <w:pPr>
              <w:pStyle w:val="TableContent"/>
              <w:rPr>
                <w:sz w:val="24"/>
              </w:rPr>
            </w:pPr>
            <w:r w:rsidRPr="00514230">
              <w:rPr>
                <w:sz w:val="24"/>
              </w:rPr>
              <w:t>Situation is covered by both the LG (FM) Regs and AAS but require different treatments. Which treatment should be followed?</w:t>
            </w:r>
          </w:p>
          <w:p w14:paraId="595B8959" w14:textId="208814FD" w:rsidR="00A0086F" w:rsidRPr="00514230" w:rsidRDefault="00A0086F" w:rsidP="00514230">
            <w:pPr>
              <w:pStyle w:val="TableContent"/>
              <w:rPr>
                <w:b/>
                <w:bCs/>
              </w:rPr>
            </w:pPr>
            <w:r w:rsidRPr="00514230">
              <w:rPr>
                <w:b/>
                <w:bCs/>
                <w:sz w:val="24"/>
              </w:rPr>
              <w:t>Do not revalue the building in year 2. The LG (FM) Regs overrules AASB 116 Property, Plant and Equipment (2022).</w:t>
            </w:r>
          </w:p>
        </w:tc>
      </w:tr>
    </w:tbl>
    <w:p w14:paraId="0A6C074D" w14:textId="41598630" w:rsidR="00F330EB" w:rsidRPr="00D35E62" w:rsidRDefault="00F330EB" w:rsidP="00E8351C">
      <w:pPr>
        <w:pStyle w:val="Heading4"/>
      </w:pPr>
      <w:r w:rsidRPr="00D35E62">
        <w:lastRenderedPageBreak/>
        <w:t>Prior period errors</w:t>
      </w:r>
    </w:p>
    <w:p w14:paraId="6D60D855" w14:textId="65094535" w:rsidR="00F330EB" w:rsidRPr="00D35E62" w:rsidRDefault="001801C3" w:rsidP="00D70B5C">
      <w:pPr>
        <w:pStyle w:val="BodyText"/>
      </w:pPr>
      <w:r>
        <w:t>T</w:t>
      </w:r>
      <w:r w:rsidR="00F330EB" w:rsidRPr="00D35E62">
        <w:t xml:space="preserve">he non-revaluation of 17A(2)(a) Assets in the intervening years does not constitute a prior period error unless a fundamental error is identified. Therefore, the doubling in the asset’s value in the intervening years between revaluations does not need to be treated as a prior period error in the fifth year when the asset is revalued. </w:t>
      </w:r>
    </w:p>
    <w:p w14:paraId="37581A08" w14:textId="77777777" w:rsidR="00F330EB" w:rsidRPr="00D35E62" w:rsidRDefault="00F330EB" w:rsidP="00E8351C">
      <w:pPr>
        <w:pStyle w:val="Heading4"/>
      </w:pPr>
      <w:bookmarkStart w:id="20" w:name="_Toc207722720"/>
      <w:r w:rsidRPr="00D35E62">
        <w:t>Discretion</w:t>
      </w:r>
      <w:bookmarkEnd w:id="20"/>
    </w:p>
    <w:p w14:paraId="49EB8723" w14:textId="77777777" w:rsidR="00F330EB" w:rsidRPr="00D35E62" w:rsidRDefault="00F330EB" w:rsidP="00D70B5C">
      <w:pPr>
        <w:pStyle w:val="BodyText"/>
      </w:pPr>
      <w:r w:rsidRPr="00D35E62">
        <w:t>The LG (FM) Regs allows local governments to use discretion to revalue 17A(2)(a) Assets more frequently than once every 5 years, and states:</w:t>
      </w:r>
    </w:p>
    <w:tbl>
      <w:tblPr>
        <w:tblStyle w:val="TableGrid"/>
        <w:tblW w:w="9696" w:type="dxa"/>
        <w:tblLook w:val="04A0" w:firstRow="1" w:lastRow="0" w:firstColumn="1" w:lastColumn="0" w:noHBand="0" w:noVBand="1"/>
      </w:tblPr>
      <w:tblGrid>
        <w:gridCol w:w="9696"/>
      </w:tblGrid>
      <w:tr w:rsidR="00F330EB" w:rsidRPr="00D35E62" w14:paraId="469D6798" w14:textId="77777777">
        <w:trPr>
          <w:tblHeader/>
        </w:trPr>
        <w:tc>
          <w:tcPr>
            <w:tcW w:w="9696" w:type="dxa"/>
            <w:shd w:val="clear" w:color="auto" w:fill="F2F2F2" w:themeFill="background1" w:themeFillShade="F2"/>
          </w:tcPr>
          <w:p w14:paraId="6BAC2892" w14:textId="77777777" w:rsidR="00F330EB" w:rsidRPr="00A245EF" w:rsidRDefault="00F330EB" w:rsidP="00A245EF">
            <w:pPr>
              <w:pStyle w:val="TableContent"/>
              <w:rPr>
                <w:b/>
                <w:bCs/>
                <w:sz w:val="24"/>
              </w:rPr>
            </w:pPr>
            <w:r w:rsidRPr="00A245EF">
              <w:rPr>
                <w:b/>
                <w:bCs/>
                <w:sz w:val="24"/>
              </w:rPr>
              <w:t>LG (FM) Regs, regulation 17A(4B)</w:t>
            </w:r>
          </w:p>
        </w:tc>
      </w:tr>
      <w:tr w:rsidR="00F330EB" w:rsidRPr="00D35E62" w14:paraId="2468FA67" w14:textId="77777777">
        <w:tc>
          <w:tcPr>
            <w:tcW w:w="9696" w:type="dxa"/>
          </w:tcPr>
          <w:p w14:paraId="1F9C041E" w14:textId="2F62C5CF" w:rsidR="00F330EB" w:rsidRPr="00A245EF" w:rsidRDefault="00F330EB" w:rsidP="00A245EF">
            <w:pPr>
              <w:pStyle w:val="TableContent"/>
              <w:rPr>
                <w:sz w:val="24"/>
              </w:rPr>
            </w:pPr>
            <w:r w:rsidRPr="00A245EF">
              <w:rPr>
                <w:sz w:val="24"/>
              </w:rPr>
              <w:t>‘(4</w:t>
            </w:r>
            <w:proofErr w:type="gramStart"/>
            <w:r w:rsidRPr="00A245EF">
              <w:rPr>
                <w:sz w:val="24"/>
              </w:rPr>
              <w:t>B)  A</w:t>
            </w:r>
            <w:proofErr w:type="gramEnd"/>
            <w:r w:rsidRPr="00A245EF">
              <w:rPr>
                <w:sz w:val="24"/>
              </w:rPr>
              <w:t xml:space="preserve"> local government — </w:t>
            </w:r>
          </w:p>
          <w:p w14:paraId="3F56BAD4" w14:textId="77777777" w:rsidR="00F330EB" w:rsidRPr="00A245EF" w:rsidRDefault="00F330EB" w:rsidP="00A245EF">
            <w:pPr>
              <w:pStyle w:val="TableContent"/>
              <w:ind w:left="1021" w:hanging="397"/>
              <w:rPr>
                <w:sz w:val="24"/>
              </w:rPr>
            </w:pPr>
            <w:r w:rsidRPr="00A245EF">
              <w:rPr>
                <w:sz w:val="24"/>
              </w:rPr>
              <w:t xml:space="preserve">(a) is not required to revalue a non-financial asset of the local government referred to in </w:t>
            </w:r>
            <w:proofErr w:type="spellStart"/>
            <w:r w:rsidRPr="00A245EF">
              <w:rPr>
                <w:sz w:val="24"/>
              </w:rPr>
              <w:t>subregulation</w:t>
            </w:r>
            <w:proofErr w:type="spellEnd"/>
            <w:r w:rsidRPr="00A245EF">
              <w:rPr>
                <w:sz w:val="24"/>
              </w:rPr>
              <w:t xml:space="preserve"> (2)(a) otherwise than as required under </w:t>
            </w:r>
            <w:proofErr w:type="spellStart"/>
            <w:r w:rsidRPr="00A245EF">
              <w:rPr>
                <w:sz w:val="24"/>
              </w:rPr>
              <w:t>subregulation</w:t>
            </w:r>
            <w:proofErr w:type="spellEnd"/>
            <w:r w:rsidRPr="00A245EF">
              <w:rPr>
                <w:sz w:val="24"/>
              </w:rPr>
              <w:t xml:space="preserve"> (4A); but </w:t>
            </w:r>
          </w:p>
          <w:p w14:paraId="7D4A3F3D" w14:textId="77777777" w:rsidR="00F330EB" w:rsidRPr="00A245EF" w:rsidRDefault="00F330EB" w:rsidP="00A245EF">
            <w:pPr>
              <w:pStyle w:val="TableContent"/>
              <w:ind w:left="1021" w:hanging="397"/>
              <w:rPr>
                <w:sz w:val="24"/>
              </w:rPr>
            </w:pPr>
            <w:r w:rsidRPr="00A245EF">
              <w:rPr>
                <w:sz w:val="24"/>
              </w:rPr>
              <w:t xml:space="preserve">(b) may revalue the asset earlier than is required under </w:t>
            </w:r>
            <w:proofErr w:type="spellStart"/>
            <w:r w:rsidRPr="00A245EF">
              <w:rPr>
                <w:sz w:val="24"/>
              </w:rPr>
              <w:t>subregulation</w:t>
            </w:r>
            <w:proofErr w:type="spellEnd"/>
            <w:r w:rsidRPr="00A245EF">
              <w:rPr>
                <w:sz w:val="24"/>
              </w:rPr>
              <w:t xml:space="preserve"> (4A) if the local government chooses to do so.’</w:t>
            </w:r>
          </w:p>
        </w:tc>
      </w:tr>
    </w:tbl>
    <w:p w14:paraId="6821DDFF" w14:textId="77777777" w:rsidR="00C245CC" w:rsidRDefault="00C245CC">
      <w:pPr>
        <w:spacing w:after="0" w:line="240" w:lineRule="auto"/>
        <w:rPr>
          <w:rFonts w:cs="Arial"/>
          <w:b/>
          <w:bCs/>
        </w:rPr>
      </w:pPr>
      <w:r>
        <w:rPr>
          <w:rFonts w:cs="Arial"/>
          <w:b/>
          <w:bCs/>
        </w:rPr>
        <w:br w:type="page"/>
      </w:r>
    </w:p>
    <w:p w14:paraId="38F11C6A" w14:textId="72E8E526" w:rsidR="00C245CC" w:rsidRPr="00D35E62" w:rsidRDefault="00C245CC" w:rsidP="00E60F3E">
      <w:pPr>
        <w:pStyle w:val="Heading4"/>
      </w:pPr>
      <w:r w:rsidRPr="00D35E62">
        <w:lastRenderedPageBreak/>
        <w:t>Example</w:t>
      </w:r>
      <w:r w:rsidR="00501F7A">
        <w:t>:</w:t>
      </w:r>
      <w:r w:rsidRPr="00D35E62">
        <w:t xml:space="preserve"> use of discretion in revaluing 17A(2)(a) Assets</w:t>
      </w:r>
      <w:r w:rsidR="00501F7A">
        <w:t xml:space="preserve"> </w:t>
      </w:r>
    </w:p>
    <w:tbl>
      <w:tblPr>
        <w:tblStyle w:val="TableGrid"/>
        <w:tblW w:w="9639" w:type="dxa"/>
        <w:tblLook w:val="04A0" w:firstRow="1" w:lastRow="0" w:firstColumn="1" w:lastColumn="0" w:noHBand="0" w:noVBand="1"/>
      </w:tblPr>
      <w:tblGrid>
        <w:gridCol w:w="3213"/>
        <w:gridCol w:w="3213"/>
        <w:gridCol w:w="3213"/>
      </w:tblGrid>
      <w:tr w:rsidR="00C245CC" w:rsidRPr="00D35E62" w14:paraId="54FC3EC6" w14:textId="77777777">
        <w:tc>
          <w:tcPr>
            <w:tcW w:w="9749" w:type="dxa"/>
            <w:gridSpan w:val="3"/>
            <w:tcBorders>
              <w:top w:val="single" w:sz="4" w:space="0" w:color="auto"/>
              <w:left w:val="single" w:sz="4" w:space="0" w:color="auto"/>
              <w:bottom w:val="single" w:sz="4" w:space="0" w:color="auto"/>
            </w:tcBorders>
          </w:tcPr>
          <w:p w14:paraId="14DBEECB" w14:textId="2BCF7BA4" w:rsidR="00C245CC" w:rsidRPr="00BE4A08" w:rsidRDefault="00C245CC" w:rsidP="00BE4A08">
            <w:pPr>
              <w:pStyle w:val="TableContent"/>
              <w:rPr>
                <w:rStyle w:val="normaltextrun"/>
                <w:sz w:val="24"/>
              </w:rPr>
            </w:pPr>
            <w:r w:rsidRPr="00BE4A08">
              <w:rPr>
                <w:sz w:val="24"/>
              </w:rPr>
              <w:t>V</w:t>
            </w:r>
            <w:r w:rsidRPr="00BE4A08">
              <w:rPr>
                <w:rStyle w:val="normaltextrun"/>
                <w:sz w:val="24"/>
              </w:rPr>
              <w:t>aluation of an impaired administrative building.</w:t>
            </w:r>
          </w:p>
          <w:p w14:paraId="5464A4E2" w14:textId="77777777" w:rsidR="00C245CC" w:rsidRPr="00BE4A08" w:rsidRDefault="00C245CC" w:rsidP="00BE4A08">
            <w:pPr>
              <w:pStyle w:val="TableContent"/>
              <w:rPr>
                <w:sz w:val="24"/>
              </w:rPr>
            </w:pPr>
            <w:r w:rsidRPr="00BE4A08">
              <w:rPr>
                <w:sz w:val="24"/>
              </w:rPr>
              <w:t>Year 0: Building is revalued.</w:t>
            </w:r>
          </w:p>
          <w:p w14:paraId="3416425A" w14:textId="6EAE5573" w:rsidR="00C245CC" w:rsidRPr="00BE4A08" w:rsidRDefault="00C245CC" w:rsidP="00BE4A08">
            <w:pPr>
              <w:pStyle w:val="TableContent"/>
              <w:rPr>
                <w:sz w:val="24"/>
              </w:rPr>
            </w:pPr>
            <w:r w:rsidRPr="00BE4A08">
              <w:rPr>
                <w:sz w:val="24"/>
              </w:rPr>
              <w:t xml:space="preserve">Year 2: Building’s value falls dramatically due to a market downturn. Consequently, a material difference exists between the building’s carrying amount and its fair value at the reporting date. </w:t>
            </w:r>
          </w:p>
        </w:tc>
      </w:tr>
      <w:tr w:rsidR="00C245CC" w:rsidRPr="00D35E62" w14:paraId="1171CB19" w14:textId="77777777">
        <w:tc>
          <w:tcPr>
            <w:tcW w:w="3249" w:type="dxa"/>
            <w:tcBorders>
              <w:top w:val="single" w:sz="4" w:space="0" w:color="auto"/>
              <w:left w:val="nil"/>
              <w:bottom w:val="nil"/>
              <w:right w:val="nil"/>
            </w:tcBorders>
          </w:tcPr>
          <w:p w14:paraId="6C012817" w14:textId="77777777" w:rsidR="00C245CC" w:rsidRPr="00BE4A08" w:rsidRDefault="00C245CC" w:rsidP="00BE4A08">
            <w:pPr>
              <w:pStyle w:val="TableContent"/>
              <w:rPr>
                <w:sz w:val="24"/>
              </w:rPr>
            </w:pPr>
          </w:p>
        </w:tc>
        <w:tc>
          <w:tcPr>
            <w:tcW w:w="3250" w:type="dxa"/>
            <w:tcBorders>
              <w:top w:val="single" w:sz="4" w:space="0" w:color="auto"/>
              <w:left w:val="nil"/>
              <w:bottom w:val="single" w:sz="4" w:space="0" w:color="auto"/>
              <w:right w:val="nil"/>
            </w:tcBorders>
          </w:tcPr>
          <w:p w14:paraId="5E10D4FA" w14:textId="1D8DB276" w:rsidR="00032959" w:rsidRDefault="00032959" w:rsidP="00BE4A08">
            <w:pPr>
              <w:pStyle w:val="TableContent"/>
              <w:rPr>
                <w:sz w:val="24"/>
              </w:rPr>
            </w:pPr>
            <w:r>
              <w:rPr>
                <w:b/>
                <w:bCs/>
                <w:noProof/>
              </w:rPr>
              <mc:AlternateContent>
                <mc:Choice Requires="wps">
                  <w:drawing>
                    <wp:anchor distT="0" distB="0" distL="114300" distR="114300" simplePos="0" relativeHeight="251658244" behindDoc="0" locked="0" layoutInCell="1" allowOverlap="1" wp14:anchorId="3BE50B27" wp14:editId="5839B9C8">
                      <wp:simplePos x="0" y="0"/>
                      <wp:positionH relativeFrom="column">
                        <wp:posOffset>878008</wp:posOffset>
                      </wp:positionH>
                      <wp:positionV relativeFrom="paragraph">
                        <wp:posOffset>83506</wp:posOffset>
                      </wp:positionV>
                      <wp:extent cx="261257" cy="380010"/>
                      <wp:effectExtent l="0" t="0" r="5715" b="1270"/>
                      <wp:wrapNone/>
                      <wp:docPr id="893396496" name="Arrow: Down 1" descr="Arrow pointing down"/>
                      <wp:cNvGraphicFramePr/>
                      <a:graphic xmlns:a="http://schemas.openxmlformats.org/drawingml/2006/main">
                        <a:graphicData uri="http://schemas.microsoft.com/office/word/2010/wordprocessingShape">
                          <wps:wsp>
                            <wps:cNvSpPr/>
                            <wps:spPr>
                              <a:xfrm>
                                <a:off x="0" y="0"/>
                                <a:ext cx="261257" cy="380010"/>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5AE714" id="Arrow: Down 1" o:spid="_x0000_s1026" type="#_x0000_t67" alt="Arrow pointing down" style="position:absolute;margin-left:69.15pt;margin-top:6.6pt;width:20.55pt;height:29.9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" adj="14175" fillcolor="#8782a8 [1951]" stroked="f"/>
                  </w:pict>
                </mc:Fallback>
              </mc:AlternateContent>
            </w:r>
          </w:p>
          <w:p w14:paraId="036BE55B" w14:textId="1E4D8C5A" w:rsidR="00C245CC" w:rsidRPr="00BE4A08" w:rsidRDefault="00C245CC" w:rsidP="00BE4A08">
            <w:pPr>
              <w:pStyle w:val="TableContent"/>
              <w:rPr>
                <w:sz w:val="24"/>
              </w:rPr>
            </w:pPr>
          </w:p>
        </w:tc>
        <w:tc>
          <w:tcPr>
            <w:tcW w:w="3250" w:type="dxa"/>
            <w:tcBorders>
              <w:top w:val="single" w:sz="4" w:space="0" w:color="auto"/>
              <w:left w:val="nil"/>
              <w:bottom w:val="nil"/>
              <w:right w:val="nil"/>
            </w:tcBorders>
          </w:tcPr>
          <w:p w14:paraId="5D4A9638" w14:textId="77777777" w:rsidR="00C245CC" w:rsidRPr="00BE4A08" w:rsidRDefault="00C245CC" w:rsidP="00BE4A08">
            <w:pPr>
              <w:pStyle w:val="TableContent"/>
              <w:rPr>
                <w:sz w:val="24"/>
              </w:rPr>
            </w:pPr>
          </w:p>
        </w:tc>
      </w:tr>
      <w:tr w:rsidR="00C245CC" w:rsidRPr="00D35E62" w14:paraId="4D4D4480" w14:textId="77777777">
        <w:tc>
          <w:tcPr>
            <w:tcW w:w="3249" w:type="dxa"/>
            <w:tcBorders>
              <w:top w:val="nil"/>
              <w:left w:val="nil"/>
              <w:bottom w:val="nil"/>
              <w:right w:val="single" w:sz="4" w:space="0" w:color="auto"/>
            </w:tcBorders>
          </w:tcPr>
          <w:p w14:paraId="55892F02" w14:textId="77777777" w:rsidR="00C245CC" w:rsidRPr="00BE4A08" w:rsidRDefault="00C245CC" w:rsidP="00BE4A08">
            <w:pPr>
              <w:pStyle w:val="TableContent"/>
              <w:rPr>
                <w:sz w:val="24"/>
              </w:rPr>
            </w:pPr>
          </w:p>
        </w:tc>
        <w:tc>
          <w:tcPr>
            <w:tcW w:w="3250" w:type="dxa"/>
            <w:tcBorders>
              <w:left w:val="single" w:sz="4" w:space="0" w:color="auto"/>
              <w:bottom w:val="single" w:sz="4" w:space="0" w:color="auto"/>
            </w:tcBorders>
          </w:tcPr>
          <w:p w14:paraId="0ADD5106" w14:textId="200E256D" w:rsidR="00C245CC" w:rsidRPr="00BE4A08" w:rsidRDefault="00C245CC" w:rsidP="00BE4A08">
            <w:pPr>
              <w:pStyle w:val="TableContent"/>
              <w:rPr>
                <w:sz w:val="24"/>
              </w:rPr>
            </w:pPr>
            <w:r w:rsidRPr="00BE4A08">
              <w:rPr>
                <w:sz w:val="24"/>
              </w:rPr>
              <w:t>Does the LG (FM) Regs, regulation 17A address the value decline due to the market downturn?</w:t>
            </w:r>
          </w:p>
        </w:tc>
        <w:tc>
          <w:tcPr>
            <w:tcW w:w="3250" w:type="dxa"/>
            <w:tcBorders>
              <w:top w:val="nil"/>
              <w:bottom w:val="nil"/>
              <w:right w:val="nil"/>
            </w:tcBorders>
          </w:tcPr>
          <w:p w14:paraId="6779F8DE" w14:textId="77777777" w:rsidR="00C245CC" w:rsidRPr="00BE4A08" w:rsidRDefault="00C245CC" w:rsidP="00BE4A08">
            <w:pPr>
              <w:pStyle w:val="TableContent"/>
              <w:rPr>
                <w:sz w:val="24"/>
              </w:rPr>
            </w:pPr>
          </w:p>
        </w:tc>
      </w:tr>
      <w:tr w:rsidR="00C245CC" w:rsidRPr="00D35E62" w14:paraId="6AE767C0" w14:textId="77777777">
        <w:tc>
          <w:tcPr>
            <w:tcW w:w="3249" w:type="dxa"/>
            <w:tcBorders>
              <w:top w:val="nil"/>
              <w:left w:val="nil"/>
              <w:bottom w:val="nil"/>
              <w:right w:val="nil"/>
            </w:tcBorders>
          </w:tcPr>
          <w:p w14:paraId="2849B2E6" w14:textId="77777777" w:rsidR="00C245CC" w:rsidRPr="00BE4A08" w:rsidRDefault="00C245CC" w:rsidP="00BE4A08">
            <w:pPr>
              <w:pStyle w:val="TableContent"/>
              <w:rPr>
                <w:sz w:val="24"/>
              </w:rPr>
            </w:pPr>
          </w:p>
        </w:tc>
        <w:tc>
          <w:tcPr>
            <w:tcW w:w="3250" w:type="dxa"/>
            <w:tcBorders>
              <w:left w:val="nil"/>
              <w:bottom w:val="single" w:sz="4" w:space="0" w:color="auto"/>
              <w:right w:val="nil"/>
            </w:tcBorders>
          </w:tcPr>
          <w:p w14:paraId="79926746" w14:textId="0E45D14D" w:rsidR="00032959" w:rsidRPr="00611207" w:rsidRDefault="00032959" w:rsidP="00BE4A08">
            <w:pPr>
              <w:pStyle w:val="TableContent"/>
              <w:rPr>
                <w:sz w:val="24"/>
              </w:rPr>
            </w:pPr>
            <w:r>
              <w:rPr>
                <w:b/>
                <w:bCs/>
                <w:noProof/>
              </w:rPr>
              <mc:AlternateContent>
                <mc:Choice Requires="wps">
                  <w:drawing>
                    <wp:anchor distT="0" distB="0" distL="114300" distR="114300" simplePos="0" relativeHeight="251658245" behindDoc="0" locked="0" layoutInCell="1" allowOverlap="1" wp14:anchorId="18885B8D" wp14:editId="42CC3640">
                      <wp:simplePos x="0" y="0"/>
                      <wp:positionH relativeFrom="column">
                        <wp:posOffset>877570</wp:posOffset>
                      </wp:positionH>
                      <wp:positionV relativeFrom="paragraph">
                        <wp:posOffset>74485</wp:posOffset>
                      </wp:positionV>
                      <wp:extent cx="260985" cy="379730"/>
                      <wp:effectExtent l="0" t="0" r="5715" b="1270"/>
                      <wp:wrapNone/>
                      <wp:docPr id="580560884" name="Arrow: Down 1" descr="Arrow pointing down"/>
                      <wp:cNvGraphicFramePr/>
                      <a:graphic xmlns:a="http://schemas.openxmlformats.org/drawingml/2006/main">
                        <a:graphicData uri="http://schemas.microsoft.com/office/word/2010/wordprocessingShape">
                          <wps:wsp>
                            <wps:cNvSpPr/>
                            <wps:spPr>
                              <a:xfrm>
                                <a:off x="0" y="0"/>
                                <a:ext cx="260985" cy="379730"/>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8A1D4F" id="Arrow: Down 1" o:spid="_x0000_s1026" type="#_x0000_t67" alt="Arrow pointing down" style="position:absolute;margin-left:69.1pt;margin-top:5.85pt;width:20.55pt;height:29.9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" adj="14177" fillcolor="#8782a8 [1951]" stroked="f"/>
                  </w:pict>
                </mc:Fallback>
              </mc:AlternateContent>
            </w:r>
            <w:r w:rsidR="00C245CC" w:rsidRPr="00BE4A08">
              <w:rPr>
                <w:b/>
                <w:bCs/>
                <w:sz w:val="24"/>
              </w:rPr>
              <w:t xml:space="preserve">          </w:t>
            </w:r>
          </w:p>
          <w:p w14:paraId="2E60F793" w14:textId="59BE7A12" w:rsidR="00C245CC" w:rsidRPr="00BE4A08" w:rsidRDefault="00032959" w:rsidP="00611207">
            <w:pPr>
              <w:pStyle w:val="TableContent"/>
              <w:jc w:val="center"/>
              <w:rPr>
                <w:b/>
                <w:bCs/>
                <w:sz w:val="24"/>
              </w:rPr>
            </w:pPr>
            <w:r>
              <w:rPr>
                <w:b/>
                <w:bCs/>
                <w:sz w:val="24"/>
              </w:rPr>
              <w:t xml:space="preserve">                  Yes</w:t>
            </w:r>
          </w:p>
        </w:tc>
        <w:tc>
          <w:tcPr>
            <w:tcW w:w="3250" w:type="dxa"/>
            <w:tcBorders>
              <w:top w:val="nil"/>
              <w:left w:val="nil"/>
              <w:bottom w:val="nil"/>
              <w:right w:val="nil"/>
            </w:tcBorders>
          </w:tcPr>
          <w:p w14:paraId="590689F5" w14:textId="77777777" w:rsidR="00C245CC" w:rsidRPr="00BE4A08" w:rsidRDefault="00C245CC" w:rsidP="00BE4A08">
            <w:pPr>
              <w:pStyle w:val="TableContent"/>
              <w:rPr>
                <w:sz w:val="24"/>
              </w:rPr>
            </w:pPr>
          </w:p>
        </w:tc>
      </w:tr>
      <w:tr w:rsidR="00C245CC" w:rsidRPr="00D35E62" w14:paraId="002AC720" w14:textId="77777777">
        <w:tc>
          <w:tcPr>
            <w:tcW w:w="3249" w:type="dxa"/>
            <w:tcBorders>
              <w:top w:val="nil"/>
              <w:left w:val="nil"/>
              <w:bottom w:val="nil"/>
            </w:tcBorders>
          </w:tcPr>
          <w:p w14:paraId="4A84123B" w14:textId="77777777" w:rsidR="00C245CC" w:rsidRPr="00BE4A08" w:rsidRDefault="00C245CC" w:rsidP="00BE4A08">
            <w:pPr>
              <w:pStyle w:val="TableContent"/>
              <w:rPr>
                <w:sz w:val="24"/>
              </w:rPr>
            </w:pPr>
          </w:p>
        </w:tc>
        <w:tc>
          <w:tcPr>
            <w:tcW w:w="3250" w:type="dxa"/>
            <w:tcBorders>
              <w:bottom w:val="single" w:sz="4" w:space="0" w:color="auto"/>
            </w:tcBorders>
          </w:tcPr>
          <w:p w14:paraId="47BC4769" w14:textId="6C4C1356" w:rsidR="00C245CC" w:rsidRPr="00BE4A08" w:rsidRDefault="00032959" w:rsidP="00BE4A08">
            <w:pPr>
              <w:pStyle w:val="TableContent"/>
              <w:rPr>
                <w:sz w:val="24"/>
              </w:rPr>
            </w:pPr>
            <w:r>
              <w:rPr>
                <w:b/>
                <w:bCs/>
                <w:noProof/>
              </w:rPr>
              <mc:AlternateContent>
                <mc:Choice Requires="wps">
                  <w:drawing>
                    <wp:anchor distT="0" distB="0" distL="114300" distR="114300" simplePos="0" relativeHeight="251658246" behindDoc="0" locked="0" layoutInCell="1" allowOverlap="1" wp14:anchorId="1BAA2CCB" wp14:editId="49036214">
                      <wp:simplePos x="0" y="0"/>
                      <wp:positionH relativeFrom="column">
                        <wp:posOffset>404305</wp:posOffset>
                      </wp:positionH>
                      <wp:positionV relativeFrom="paragraph">
                        <wp:posOffset>475615</wp:posOffset>
                      </wp:positionV>
                      <wp:extent cx="210185" cy="815975"/>
                      <wp:effectExtent l="0" t="150495" r="0" b="153670"/>
                      <wp:wrapNone/>
                      <wp:docPr id="851594093" name="Arrow: Down 1" descr="Arrow pointing left"/>
                      <wp:cNvGraphicFramePr/>
                      <a:graphic xmlns:a="http://schemas.openxmlformats.org/drawingml/2006/main">
                        <a:graphicData uri="http://schemas.microsoft.com/office/word/2010/wordprocessingShape">
                          <wps:wsp>
                            <wps:cNvSpPr/>
                            <wps:spPr>
                              <a:xfrm rot="3564595">
                                <a:off x="0" y="0"/>
                                <a:ext cx="210185" cy="815975"/>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C29F5" id="Arrow: Down 1" o:spid="_x0000_s1026" type="#_x0000_t67" alt="Arrow pointing left" style="position:absolute;margin-left:31.85pt;margin-top:37.45pt;width:16.55pt;height:64.25pt;rotation:3893488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" adj="18818" fillcolor="#8782a8 [1951]" stroked="f"/>
                  </w:pict>
                </mc:Fallback>
              </mc:AlternateContent>
            </w:r>
            <w:r>
              <w:rPr>
                <w:b/>
                <w:bCs/>
                <w:noProof/>
              </w:rPr>
              <mc:AlternateContent>
                <mc:Choice Requires="wps">
                  <w:drawing>
                    <wp:anchor distT="0" distB="0" distL="114300" distR="114300" simplePos="0" relativeHeight="251658247" behindDoc="0" locked="0" layoutInCell="1" allowOverlap="1" wp14:anchorId="4B43E42A" wp14:editId="38A93FE6">
                      <wp:simplePos x="0" y="0"/>
                      <wp:positionH relativeFrom="column">
                        <wp:posOffset>1337500</wp:posOffset>
                      </wp:positionH>
                      <wp:positionV relativeFrom="paragraph">
                        <wp:posOffset>472440</wp:posOffset>
                      </wp:positionV>
                      <wp:extent cx="210185" cy="815975"/>
                      <wp:effectExtent l="0" t="150495" r="0" b="153670"/>
                      <wp:wrapNone/>
                      <wp:docPr id="1171462282" name="Arrow: Down 1" descr="Arrow pointing right"/>
                      <wp:cNvGraphicFramePr/>
                      <a:graphic xmlns:a="http://schemas.openxmlformats.org/drawingml/2006/main">
                        <a:graphicData uri="http://schemas.microsoft.com/office/word/2010/wordprocessingShape">
                          <wps:wsp>
                            <wps:cNvSpPr/>
                            <wps:spPr>
                              <a:xfrm rot="18035405" flipH="1">
                                <a:off x="0" y="0"/>
                                <a:ext cx="210185" cy="815975"/>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206A5" id="Arrow: Down 1" o:spid="_x0000_s1026" type="#_x0000_t67" alt="Arrow pointing right" style="position:absolute;margin-left:105.3pt;margin-top:37.2pt;width:16.55pt;height:64.25pt;rotation:3893488fd;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" adj="18818" fillcolor="#8782a8 [1951]" stroked="f"/>
                  </w:pict>
                </mc:Fallback>
              </mc:AlternateContent>
            </w:r>
            <w:r w:rsidR="00C245CC" w:rsidRPr="00BE4A08">
              <w:rPr>
                <w:sz w:val="24"/>
              </w:rPr>
              <w:t>The local government has one of two options.</w:t>
            </w:r>
          </w:p>
        </w:tc>
        <w:tc>
          <w:tcPr>
            <w:tcW w:w="3250" w:type="dxa"/>
            <w:tcBorders>
              <w:top w:val="nil"/>
              <w:bottom w:val="nil"/>
              <w:right w:val="nil"/>
            </w:tcBorders>
          </w:tcPr>
          <w:p w14:paraId="1D0C6927" w14:textId="77777777" w:rsidR="00C245CC" w:rsidRPr="00BE4A08" w:rsidRDefault="00C245CC" w:rsidP="00BE4A08">
            <w:pPr>
              <w:pStyle w:val="TableContent"/>
              <w:rPr>
                <w:sz w:val="24"/>
              </w:rPr>
            </w:pPr>
          </w:p>
        </w:tc>
      </w:tr>
      <w:tr w:rsidR="00C245CC" w:rsidRPr="00D35E62" w14:paraId="1604A855" w14:textId="77777777">
        <w:tc>
          <w:tcPr>
            <w:tcW w:w="3249" w:type="dxa"/>
            <w:tcBorders>
              <w:top w:val="nil"/>
              <w:left w:val="nil"/>
              <w:bottom w:val="single" w:sz="4" w:space="0" w:color="auto"/>
              <w:right w:val="nil"/>
            </w:tcBorders>
          </w:tcPr>
          <w:p w14:paraId="0425D4D2" w14:textId="77777777" w:rsidR="00C245CC" w:rsidRPr="00BE4A08" w:rsidRDefault="00C245CC" w:rsidP="00BE4A08">
            <w:pPr>
              <w:pStyle w:val="TableContent"/>
              <w:rPr>
                <w:sz w:val="24"/>
              </w:rPr>
            </w:pPr>
          </w:p>
        </w:tc>
        <w:tc>
          <w:tcPr>
            <w:tcW w:w="3250" w:type="dxa"/>
            <w:tcBorders>
              <w:top w:val="single" w:sz="4" w:space="0" w:color="auto"/>
              <w:left w:val="nil"/>
              <w:bottom w:val="nil"/>
              <w:right w:val="nil"/>
            </w:tcBorders>
          </w:tcPr>
          <w:p w14:paraId="5CE1D9C9" w14:textId="08B03E20" w:rsidR="00032959" w:rsidRDefault="00032959" w:rsidP="00BE4A08">
            <w:pPr>
              <w:pStyle w:val="TableContent"/>
              <w:rPr>
                <w:sz w:val="24"/>
              </w:rPr>
            </w:pPr>
          </w:p>
          <w:p w14:paraId="6511D2EF" w14:textId="289B6E81" w:rsidR="00032959" w:rsidRDefault="00032959" w:rsidP="00BE4A08">
            <w:pPr>
              <w:pStyle w:val="TableContent"/>
              <w:rPr>
                <w:sz w:val="24"/>
              </w:rPr>
            </w:pPr>
          </w:p>
          <w:p w14:paraId="3A6226A0" w14:textId="5FAF6CCA" w:rsidR="00C245CC" w:rsidRPr="00BE4A08" w:rsidRDefault="00C245CC" w:rsidP="00BE4A08">
            <w:pPr>
              <w:pStyle w:val="TableContent"/>
              <w:rPr>
                <w:sz w:val="24"/>
              </w:rPr>
            </w:pPr>
          </w:p>
        </w:tc>
        <w:tc>
          <w:tcPr>
            <w:tcW w:w="3250" w:type="dxa"/>
            <w:tcBorders>
              <w:top w:val="nil"/>
              <w:left w:val="nil"/>
              <w:bottom w:val="single" w:sz="4" w:space="0" w:color="auto"/>
              <w:right w:val="nil"/>
            </w:tcBorders>
          </w:tcPr>
          <w:p w14:paraId="6270A206" w14:textId="77777777" w:rsidR="00C245CC" w:rsidRPr="00BE4A08" w:rsidRDefault="00C245CC" w:rsidP="00BE4A08">
            <w:pPr>
              <w:pStyle w:val="TableContent"/>
              <w:rPr>
                <w:sz w:val="24"/>
              </w:rPr>
            </w:pPr>
          </w:p>
        </w:tc>
      </w:tr>
      <w:tr w:rsidR="00C245CC" w:rsidRPr="00D35E62" w14:paraId="1C28CB36" w14:textId="77777777">
        <w:tc>
          <w:tcPr>
            <w:tcW w:w="3249" w:type="dxa"/>
          </w:tcPr>
          <w:p w14:paraId="4BBA8AC9" w14:textId="77777777" w:rsidR="00C245CC" w:rsidRPr="00BE4A08" w:rsidRDefault="00C245CC" w:rsidP="00BE4A08">
            <w:pPr>
              <w:pStyle w:val="TableContent"/>
              <w:rPr>
                <w:b/>
                <w:bCs/>
                <w:sz w:val="24"/>
              </w:rPr>
            </w:pPr>
            <w:r w:rsidRPr="00BE4A08">
              <w:rPr>
                <w:b/>
                <w:bCs/>
                <w:sz w:val="24"/>
              </w:rPr>
              <w:t xml:space="preserve">Revalue building once every 5 years. </w:t>
            </w:r>
          </w:p>
          <w:p w14:paraId="4E6B2CEA" w14:textId="77777777" w:rsidR="00C245CC" w:rsidRPr="00BE4A08" w:rsidRDefault="00C245CC" w:rsidP="00BE4A08">
            <w:pPr>
              <w:pStyle w:val="TableContent"/>
              <w:rPr>
                <w:b/>
                <w:bCs/>
                <w:sz w:val="24"/>
              </w:rPr>
            </w:pPr>
            <w:r w:rsidRPr="00BE4A08">
              <w:rPr>
                <w:b/>
                <w:bCs/>
                <w:sz w:val="24"/>
              </w:rPr>
              <w:t xml:space="preserve">No need to assess for material changes in asset values in the intervening years during the </w:t>
            </w:r>
            <w:proofErr w:type="gramStart"/>
            <w:r w:rsidRPr="00BE4A08">
              <w:rPr>
                <w:b/>
                <w:bCs/>
                <w:sz w:val="24"/>
              </w:rPr>
              <w:t>5 year</w:t>
            </w:r>
            <w:proofErr w:type="gramEnd"/>
            <w:r w:rsidRPr="00BE4A08">
              <w:rPr>
                <w:b/>
                <w:bCs/>
                <w:sz w:val="24"/>
              </w:rPr>
              <w:t xml:space="preserve"> revaluation cycle.</w:t>
            </w:r>
          </w:p>
          <w:p w14:paraId="00A6FC6E" w14:textId="77777777" w:rsidR="00C245CC" w:rsidRPr="00BE4A08" w:rsidRDefault="00C245CC" w:rsidP="00BE4A08">
            <w:pPr>
              <w:pStyle w:val="TableContent"/>
              <w:rPr>
                <w:sz w:val="24"/>
              </w:rPr>
            </w:pPr>
            <w:r w:rsidRPr="00BE4A08">
              <w:rPr>
                <w:sz w:val="24"/>
              </w:rPr>
              <w:t>[LG (FM) Regs, regulation 17A(4</w:t>
            </w:r>
            <w:proofErr w:type="gramStart"/>
            <w:r w:rsidRPr="00BE4A08">
              <w:rPr>
                <w:sz w:val="24"/>
              </w:rPr>
              <w:t>A)(</w:t>
            </w:r>
            <w:proofErr w:type="gramEnd"/>
            <w:r w:rsidRPr="00BE4A08">
              <w:rPr>
                <w:sz w:val="24"/>
              </w:rPr>
              <w:t>b)]</w:t>
            </w:r>
          </w:p>
        </w:tc>
        <w:tc>
          <w:tcPr>
            <w:tcW w:w="3250" w:type="dxa"/>
            <w:tcBorders>
              <w:top w:val="nil"/>
              <w:bottom w:val="nil"/>
            </w:tcBorders>
          </w:tcPr>
          <w:p w14:paraId="212EBF43" w14:textId="5BD48767" w:rsidR="00C245CC" w:rsidRPr="00BE4A08" w:rsidRDefault="00C245CC" w:rsidP="00BE4A08">
            <w:pPr>
              <w:pStyle w:val="TableContent"/>
              <w:rPr>
                <w:sz w:val="24"/>
              </w:rPr>
            </w:pPr>
          </w:p>
        </w:tc>
        <w:tc>
          <w:tcPr>
            <w:tcW w:w="3250" w:type="dxa"/>
          </w:tcPr>
          <w:p w14:paraId="196C22C4" w14:textId="77777777" w:rsidR="00C245CC" w:rsidRPr="00BE4A08" w:rsidRDefault="00C245CC" w:rsidP="00BE4A08">
            <w:pPr>
              <w:pStyle w:val="TableContent"/>
              <w:rPr>
                <w:b/>
                <w:bCs/>
                <w:sz w:val="24"/>
              </w:rPr>
            </w:pPr>
            <w:r w:rsidRPr="00BE4A08">
              <w:rPr>
                <w:b/>
                <w:bCs/>
                <w:sz w:val="24"/>
              </w:rPr>
              <w:t>Use discretion and revalue the building to recognise the fall in the building’s value.</w:t>
            </w:r>
          </w:p>
          <w:p w14:paraId="647E8BBC" w14:textId="77777777" w:rsidR="00C245CC" w:rsidRPr="00BE4A08" w:rsidRDefault="00C245CC" w:rsidP="00BE4A08">
            <w:pPr>
              <w:pStyle w:val="TableContent"/>
              <w:rPr>
                <w:sz w:val="24"/>
              </w:rPr>
            </w:pPr>
            <w:r w:rsidRPr="00BE4A08">
              <w:rPr>
                <w:sz w:val="24"/>
              </w:rPr>
              <w:t>[LG (FM) Regs, regulation 17A(4</w:t>
            </w:r>
            <w:proofErr w:type="gramStart"/>
            <w:r w:rsidRPr="00BE4A08">
              <w:rPr>
                <w:sz w:val="24"/>
              </w:rPr>
              <w:t>B)(</w:t>
            </w:r>
            <w:proofErr w:type="gramEnd"/>
            <w:r w:rsidRPr="00BE4A08">
              <w:rPr>
                <w:sz w:val="24"/>
              </w:rPr>
              <w:t>b)]</w:t>
            </w:r>
          </w:p>
          <w:p w14:paraId="65C39B46" w14:textId="77777777" w:rsidR="00C245CC" w:rsidRPr="00BE4A08" w:rsidRDefault="00C245CC" w:rsidP="00BE4A08">
            <w:pPr>
              <w:pStyle w:val="TableContent"/>
              <w:rPr>
                <w:b/>
                <w:bCs/>
                <w:sz w:val="24"/>
              </w:rPr>
            </w:pPr>
          </w:p>
        </w:tc>
      </w:tr>
    </w:tbl>
    <w:p w14:paraId="5660B2D7" w14:textId="77777777" w:rsidR="00392D8D" w:rsidRDefault="00392D8D">
      <w:pPr>
        <w:spacing w:after="0" w:line="240" w:lineRule="auto"/>
        <w:rPr>
          <w:rFonts w:cs="Arial"/>
          <w:color w:val="38115E"/>
          <w:sz w:val="30"/>
          <w:lang w:val="en-GB"/>
        </w:rPr>
      </w:pPr>
      <w:r>
        <w:rPr>
          <w:b/>
          <w:bCs/>
        </w:rPr>
        <w:br w:type="page"/>
      </w:r>
    </w:p>
    <w:p w14:paraId="56B9C562" w14:textId="77777777" w:rsidR="00392D8D" w:rsidRPr="00D35E62" w:rsidRDefault="00392D8D" w:rsidP="00E8351C">
      <w:pPr>
        <w:pStyle w:val="Heading4"/>
      </w:pPr>
      <w:bookmarkStart w:id="21" w:name="_Toc207722721"/>
      <w:r w:rsidRPr="00D35E62">
        <w:lastRenderedPageBreak/>
        <w:t>Impairment</w:t>
      </w:r>
      <w:bookmarkEnd w:id="21"/>
      <w:r w:rsidRPr="00D35E62">
        <w:t xml:space="preserve"> </w:t>
      </w:r>
    </w:p>
    <w:p w14:paraId="2FD6344B" w14:textId="166177FB" w:rsidR="00392D8D" w:rsidRPr="00D35E62" w:rsidRDefault="00392D8D" w:rsidP="00D4386D">
      <w:pPr>
        <w:pStyle w:val="Heading4"/>
      </w:pPr>
      <w:r w:rsidRPr="00D35E62">
        <w:t>L</w:t>
      </w:r>
      <w:r w:rsidR="00A60FB5">
        <w:t>G (FM) Regs</w:t>
      </w:r>
    </w:p>
    <w:p w14:paraId="47A0E61B" w14:textId="77777777" w:rsidR="00392D8D" w:rsidRPr="00D35E62" w:rsidRDefault="00392D8D" w:rsidP="00D70B5C">
      <w:pPr>
        <w:pStyle w:val="BodyText"/>
      </w:pPr>
      <w:r w:rsidRPr="00D35E62">
        <w:t xml:space="preserve">Impairment signifies that the asset's value has declined, and it may be worth less than what it's currently recorded for in accounting records. </w:t>
      </w:r>
    </w:p>
    <w:p w14:paraId="02A870E1" w14:textId="13983608" w:rsidR="00392D8D" w:rsidRPr="00D35E62" w:rsidRDefault="00392D8D" w:rsidP="00D70B5C">
      <w:pPr>
        <w:pStyle w:val="BodyText"/>
      </w:pPr>
      <w:r w:rsidRPr="00D35E62">
        <w:t xml:space="preserve">AASB 136 Impairment of Assets (2022) </w:t>
      </w:r>
      <w:r w:rsidR="006D76DE">
        <w:t xml:space="preserve">requires </w:t>
      </w:r>
      <w:r w:rsidRPr="00D35E62">
        <w:t xml:space="preserve">local governments </w:t>
      </w:r>
      <w:r w:rsidR="006D76DE">
        <w:t xml:space="preserve">to </w:t>
      </w:r>
      <w:r w:rsidRPr="00D35E62">
        <w:t xml:space="preserve">assess assets annually to identify impairment indicators. However, the LG (FM) Regs limits the impairment losses to be recognised in determining the “reportable value” of 17A(2)(a) Assets. Consequently, the LG (FM) Regs distinguishes between </w:t>
      </w:r>
      <w:r w:rsidR="006D76DE">
        <w:t>two</w:t>
      </w:r>
      <w:r w:rsidRPr="00D35E62">
        <w:t xml:space="preserve"> types of impairment losses and states:</w:t>
      </w:r>
    </w:p>
    <w:tbl>
      <w:tblPr>
        <w:tblStyle w:val="TableGrid"/>
        <w:tblW w:w="9696" w:type="dxa"/>
        <w:tblLook w:val="04A0" w:firstRow="1" w:lastRow="0" w:firstColumn="1" w:lastColumn="0" w:noHBand="0" w:noVBand="1"/>
      </w:tblPr>
      <w:tblGrid>
        <w:gridCol w:w="9696"/>
      </w:tblGrid>
      <w:tr w:rsidR="00392D8D" w:rsidRPr="00D35E62" w14:paraId="60259A42" w14:textId="77777777">
        <w:trPr>
          <w:tblHeader/>
        </w:trPr>
        <w:tc>
          <w:tcPr>
            <w:tcW w:w="9696" w:type="dxa"/>
            <w:shd w:val="clear" w:color="auto" w:fill="F2F2F2" w:themeFill="background1" w:themeFillShade="F2"/>
          </w:tcPr>
          <w:p w14:paraId="12FF1DC4" w14:textId="77777777" w:rsidR="00392D8D" w:rsidRPr="000B636B" w:rsidRDefault="00392D8D" w:rsidP="00926601">
            <w:pPr>
              <w:pStyle w:val="TableContent"/>
              <w:rPr>
                <w:b/>
                <w:bCs/>
                <w:sz w:val="24"/>
              </w:rPr>
            </w:pPr>
            <w:r w:rsidRPr="000B636B">
              <w:rPr>
                <w:b/>
                <w:bCs/>
                <w:sz w:val="24"/>
              </w:rPr>
              <w:t>LG (FM) Regs, regulation 17A(4C)</w:t>
            </w:r>
          </w:p>
        </w:tc>
      </w:tr>
      <w:tr w:rsidR="00392D8D" w:rsidRPr="00D35E62" w14:paraId="7855DADD" w14:textId="77777777">
        <w:tc>
          <w:tcPr>
            <w:tcW w:w="9696" w:type="dxa"/>
          </w:tcPr>
          <w:p w14:paraId="1D9BAD58" w14:textId="77777777" w:rsidR="00392D8D" w:rsidRPr="00926601" w:rsidRDefault="00392D8D" w:rsidP="000B636B">
            <w:pPr>
              <w:pStyle w:val="TableContent"/>
              <w:ind w:left="624" w:hanging="624"/>
              <w:rPr>
                <w:sz w:val="24"/>
              </w:rPr>
            </w:pPr>
            <w:r w:rsidRPr="00926601">
              <w:rPr>
                <w:sz w:val="24"/>
              </w:rPr>
              <w:t xml:space="preserve">‘(4C) A local government is not required to comply with the AAS known as AASB 136 to determine the recoverable amounts of its non-financial assets referred to in </w:t>
            </w:r>
            <w:proofErr w:type="spellStart"/>
            <w:r w:rsidRPr="00926601">
              <w:rPr>
                <w:sz w:val="24"/>
              </w:rPr>
              <w:t>subregulation</w:t>
            </w:r>
            <w:proofErr w:type="spellEnd"/>
            <w:r w:rsidRPr="00926601">
              <w:rPr>
                <w:sz w:val="24"/>
              </w:rPr>
              <w:t xml:space="preserve"> (2)(a) for an impairment indicator of a general decrease in asset values.’</w:t>
            </w:r>
          </w:p>
        </w:tc>
      </w:tr>
    </w:tbl>
    <w:p w14:paraId="10BA3E95" w14:textId="77777777" w:rsidR="00392D8D" w:rsidRPr="00D35E62" w:rsidRDefault="00392D8D" w:rsidP="00D70B5C">
      <w:pPr>
        <w:pStyle w:val="BodyText"/>
      </w:pPr>
      <w:r w:rsidRPr="00D35E62">
        <w:t>Example of the two types of impairment indicators</w:t>
      </w:r>
    </w:p>
    <w:tbl>
      <w:tblPr>
        <w:tblStyle w:val="TableGrid"/>
        <w:tblW w:w="0" w:type="auto"/>
        <w:tblLook w:val="04A0" w:firstRow="1" w:lastRow="0" w:firstColumn="1" w:lastColumn="0" w:noHBand="0" w:noVBand="1"/>
      </w:tblPr>
      <w:tblGrid>
        <w:gridCol w:w="4803"/>
        <w:gridCol w:w="4804"/>
      </w:tblGrid>
      <w:tr w:rsidR="00392D8D" w:rsidRPr="00D35E62" w14:paraId="577A9594" w14:textId="77777777">
        <w:tc>
          <w:tcPr>
            <w:tcW w:w="4803" w:type="dxa"/>
            <w:shd w:val="clear" w:color="auto" w:fill="F2F2F2" w:themeFill="background1" w:themeFillShade="F2"/>
          </w:tcPr>
          <w:p w14:paraId="53FF9BFD" w14:textId="77777777" w:rsidR="00392D8D" w:rsidRPr="000B636B" w:rsidRDefault="00392D8D" w:rsidP="000B636B">
            <w:pPr>
              <w:pStyle w:val="TableContent"/>
              <w:rPr>
                <w:b/>
                <w:bCs/>
                <w:sz w:val="24"/>
              </w:rPr>
            </w:pPr>
            <w:r w:rsidRPr="000B636B">
              <w:rPr>
                <w:b/>
                <w:bCs/>
                <w:sz w:val="24"/>
              </w:rPr>
              <w:t>LG (FM) Regs, regulation 17A(4C)</w:t>
            </w:r>
          </w:p>
        </w:tc>
        <w:tc>
          <w:tcPr>
            <w:tcW w:w="4804" w:type="dxa"/>
            <w:shd w:val="clear" w:color="auto" w:fill="F2F2F2" w:themeFill="background1" w:themeFillShade="F2"/>
          </w:tcPr>
          <w:p w14:paraId="10102C27" w14:textId="77777777" w:rsidR="00392D8D" w:rsidRPr="000B636B" w:rsidRDefault="00392D8D" w:rsidP="000B636B">
            <w:pPr>
              <w:pStyle w:val="TableContent"/>
              <w:rPr>
                <w:b/>
                <w:bCs/>
                <w:sz w:val="24"/>
              </w:rPr>
            </w:pPr>
            <w:r w:rsidRPr="000B636B">
              <w:rPr>
                <w:b/>
                <w:bCs/>
                <w:sz w:val="24"/>
              </w:rPr>
              <w:t>Example</w:t>
            </w:r>
          </w:p>
        </w:tc>
      </w:tr>
      <w:tr w:rsidR="00392D8D" w:rsidRPr="00D35E62" w14:paraId="33FC0F8A" w14:textId="77777777">
        <w:tc>
          <w:tcPr>
            <w:tcW w:w="4803" w:type="dxa"/>
          </w:tcPr>
          <w:p w14:paraId="14C93E90" w14:textId="77777777" w:rsidR="00392D8D" w:rsidRPr="000B636B" w:rsidRDefault="00392D8D" w:rsidP="000B636B">
            <w:pPr>
              <w:pStyle w:val="TableContent"/>
              <w:rPr>
                <w:sz w:val="24"/>
              </w:rPr>
            </w:pPr>
            <w:r w:rsidRPr="000B636B">
              <w:rPr>
                <w:sz w:val="24"/>
              </w:rPr>
              <w:t>Do not comply with AASB 136 Impairment of Assets (2022) regarding ‘an impairment indicator of a general decrease in asset values.’</w:t>
            </w:r>
          </w:p>
        </w:tc>
        <w:tc>
          <w:tcPr>
            <w:tcW w:w="4804" w:type="dxa"/>
          </w:tcPr>
          <w:p w14:paraId="0771CE17" w14:textId="77777777" w:rsidR="00392D8D" w:rsidRPr="000B636B" w:rsidRDefault="00392D8D" w:rsidP="000B636B">
            <w:pPr>
              <w:pStyle w:val="TableContent"/>
              <w:rPr>
                <w:sz w:val="24"/>
              </w:rPr>
            </w:pPr>
            <w:r w:rsidRPr="000B636B">
              <w:rPr>
                <w:sz w:val="24"/>
              </w:rPr>
              <w:t>Building’s value falls dramatically due to a market downturn.</w:t>
            </w:r>
          </w:p>
        </w:tc>
      </w:tr>
      <w:tr w:rsidR="00392D8D" w:rsidRPr="00D35E62" w14:paraId="26CCF417" w14:textId="77777777">
        <w:tc>
          <w:tcPr>
            <w:tcW w:w="4803" w:type="dxa"/>
          </w:tcPr>
          <w:p w14:paraId="67ECEA09" w14:textId="77777777" w:rsidR="00392D8D" w:rsidRPr="000B636B" w:rsidRDefault="00392D8D" w:rsidP="000B636B">
            <w:pPr>
              <w:pStyle w:val="TableContent"/>
              <w:rPr>
                <w:sz w:val="24"/>
              </w:rPr>
            </w:pPr>
            <w:r w:rsidRPr="000B636B">
              <w:rPr>
                <w:sz w:val="24"/>
              </w:rPr>
              <w:t>Comply with AASB 136 Impairment of Assets (2022) regarding ‘an impairment indicator’ other than ‘of a general decrease in asset values.’</w:t>
            </w:r>
          </w:p>
        </w:tc>
        <w:tc>
          <w:tcPr>
            <w:tcW w:w="4804" w:type="dxa"/>
          </w:tcPr>
          <w:p w14:paraId="06DB515C" w14:textId="77777777" w:rsidR="00392D8D" w:rsidRPr="000B636B" w:rsidRDefault="00392D8D" w:rsidP="000B636B">
            <w:pPr>
              <w:pStyle w:val="TableContent"/>
              <w:rPr>
                <w:sz w:val="24"/>
              </w:rPr>
            </w:pPr>
            <w:r w:rsidRPr="000B636B">
              <w:rPr>
                <w:sz w:val="24"/>
              </w:rPr>
              <w:t>Building suffers material damage due to a cyclone.</w:t>
            </w:r>
          </w:p>
        </w:tc>
      </w:tr>
    </w:tbl>
    <w:p w14:paraId="4A47B355" w14:textId="77777777" w:rsidR="00127BDD" w:rsidRDefault="00127BDD">
      <w:pPr>
        <w:spacing w:after="0" w:line="240" w:lineRule="auto"/>
        <w:rPr>
          <w:rFonts w:cs="Arial"/>
          <w:b/>
          <w:bCs/>
        </w:rPr>
      </w:pPr>
      <w:r>
        <w:rPr>
          <w:rFonts w:cs="Arial"/>
          <w:b/>
          <w:bCs/>
        </w:rPr>
        <w:br w:type="page"/>
      </w:r>
    </w:p>
    <w:p w14:paraId="1FBCDCA4" w14:textId="3542446C" w:rsidR="00392D8D" w:rsidRPr="00D35E62" w:rsidRDefault="00392D8D" w:rsidP="00E8351C">
      <w:pPr>
        <w:pStyle w:val="Heading4"/>
      </w:pPr>
      <w:r w:rsidRPr="00D35E62">
        <w:lastRenderedPageBreak/>
        <w:t>AASB 136 Impairment of Assets (2022)</w:t>
      </w:r>
    </w:p>
    <w:p w14:paraId="2B694197" w14:textId="77777777" w:rsidR="00392D8D" w:rsidRDefault="00392D8D" w:rsidP="00392D8D">
      <w:pPr>
        <w:spacing w:before="120"/>
        <w:rPr>
          <w:rFonts w:cs="Arial"/>
        </w:rPr>
      </w:pPr>
      <w:r w:rsidRPr="00D35E62">
        <w:rPr>
          <w:rFonts w:cs="Arial"/>
        </w:rPr>
        <w:t>The LG (FM) Regs reference to AASB 136 Impairment of Assets (2022) requires further explanation:</w:t>
      </w:r>
    </w:p>
    <w:tbl>
      <w:tblPr>
        <w:tblStyle w:val="TableGrid"/>
        <w:tblW w:w="9639" w:type="dxa"/>
        <w:tblLook w:val="04A0" w:firstRow="1" w:lastRow="0" w:firstColumn="1" w:lastColumn="0" w:noHBand="0" w:noVBand="1"/>
      </w:tblPr>
      <w:tblGrid>
        <w:gridCol w:w="9639"/>
      </w:tblGrid>
      <w:tr w:rsidR="00392D8D" w:rsidRPr="00D35E62" w14:paraId="04ED37A9" w14:textId="77777777">
        <w:trPr>
          <w:tblHeader/>
        </w:trPr>
        <w:tc>
          <w:tcPr>
            <w:tcW w:w="9639" w:type="dxa"/>
            <w:shd w:val="clear" w:color="auto" w:fill="F2F2F2" w:themeFill="background1" w:themeFillShade="F2"/>
          </w:tcPr>
          <w:p w14:paraId="000618AC" w14:textId="77777777" w:rsidR="00392D8D" w:rsidRPr="00533895" w:rsidRDefault="00392D8D" w:rsidP="00D31A3D">
            <w:pPr>
              <w:pStyle w:val="TableContent"/>
              <w:rPr>
                <w:b/>
                <w:bCs/>
                <w:sz w:val="24"/>
              </w:rPr>
            </w:pPr>
            <w:r w:rsidRPr="00533895">
              <w:rPr>
                <w:b/>
                <w:bCs/>
                <w:sz w:val="24"/>
              </w:rPr>
              <w:t>(AASB 2022: 7-8 and 14)</w:t>
            </w:r>
          </w:p>
        </w:tc>
      </w:tr>
      <w:tr w:rsidR="00392D8D" w:rsidRPr="00BB5D08" w14:paraId="58342D2F" w14:textId="77777777">
        <w:trPr>
          <w:tblHeader/>
        </w:trPr>
        <w:tc>
          <w:tcPr>
            <w:tcW w:w="9639" w:type="dxa"/>
          </w:tcPr>
          <w:p w14:paraId="1B7CF237" w14:textId="77777777" w:rsidR="00392D8D" w:rsidRPr="00533895" w:rsidRDefault="00392D8D" w:rsidP="00D31A3D">
            <w:pPr>
              <w:pStyle w:val="TableContent"/>
              <w:rPr>
                <w:b/>
                <w:bCs/>
                <w:sz w:val="24"/>
              </w:rPr>
            </w:pPr>
            <w:r w:rsidRPr="00533895">
              <w:rPr>
                <w:sz w:val="24"/>
              </w:rPr>
              <w:t>‘</w:t>
            </w:r>
            <w:r w:rsidRPr="00533895">
              <w:rPr>
                <w:b/>
                <w:bCs/>
                <w:sz w:val="24"/>
              </w:rPr>
              <w:t>6 The following terms are used in this Standard with the meanings specified:</w:t>
            </w:r>
          </w:p>
          <w:p w14:paraId="2364E25F" w14:textId="77777777" w:rsidR="00392D8D" w:rsidRPr="00533895" w:rsidRDefault="00392D8D" w:rsidP="00D31A3D">
            <w:pPr>
              <w:pStyle w:val="TableContent"/>
              <w:ind w:left="340"/>
              <w:rPr>
                <w:b/>
                <w:bCs/>
                <w:sz w:val="24"/>
              </w:rPr>
            </w:pPr>
            <w:r w:rsidRPr="00533895">
              <w:rPr>
                <w:b/>
                <w:bCs/>
                <w:sz w:val="24"/>
              </w:rPr>
              <w:t xml:space="preserve">…The </w:t>
            </w:r>
            <w:r w:rsidRPr="00533895">
              <w:rPr>
                <w:b/>
                <w:bCs/>
                <w:i/>
                <w:sz w:val="24"/>
              </w:rPr>
              <w:t>recoverable amount</w:t>
            </w:r>
            <w:r w:rsidRPr="00533895">
              <w:rPr>
                <w:b/>
                <w:bCs/>
                <w:sz w:val="24"/>
              </w:rPr>
              <w:t xml:space="preserve"> of an asset or a cash-generating unit is the higher of its fair value less costs of disposal and its value in use.</w:t>
            </w:r>
          </w:p>
          <w:p w14:paraId="704D1539" w14:textId="77777777" w:rsidR="00392D8D" w:rsidRPr="00533895" w:rsidRDefault="00392D8D" w:rsidP="00D31A3D">
            <w:pPr>
              <w:pStyle w:val="TableContent"/>
              <w:ind w:left="340"/>
              <w:rPr>
                <w:i/>
                <w:iCs/>
                <w:sz w:val="24"/>
              </w:rPr>
            </w:pPr>
            <w:r w:rsidRPr="00533895">
              <w:rPr>
                <w:b/>
                <w:bCs/>
                <w:sz w:val="24"/>
              </w:rPr>
              <w:t>…</w:t>
            </w:r>
            <w:r w:rsidRPr="00533895">
              <w:rPr>
                <w:b/>
                <w:bCs/>
                <w:i/>
                <w:sz w:val="24"/>
              </w:rPr>
              <w:t>Value in use</w:t>
            </w:r>
            <w:r w:rsidRPr="00533895">
              <w:rPr>
                <w:b/>
                <w:bCs/>
                <w:sz w:val="24"/>
              </w:rPr>
              <w:t xml:space="preserve"> is the present value of the future cash flows expected to be derived from an asset or cash-generating unit ‘</w:t>
            </w:r>
          </w:p>
        </w:tc>
      </w:tr>
      <w:tr w:rsidR="00392D8D" w:rsidRPr="00BB5D08" w14:paraId="3DBA13F5" w14:textId="77777777">
        <w:trPr>
          <w:tblHeader/>
        </w:trPr>
        <w:tc>
          <w:tcPr>
            <w:tcW w:w="9639" w:type="dxa"/>
          </w:tcPr>
          <w:p w14:paraId="64B6391E" w14:textId="180375E4" w:rsidR="00392D8D" w:rsidRPr="00533895" w:rsidRDefault="00392D8D" w:rsidP="00D31A3D">
            <w:pPr>
              <w:pStyle w:val="TableContent"/>
              <w:ind w:left="340" w:hanging="340"/>
              <w:rPr>
                <w:b/>
                <w:bCs/>
                <w:sz w:val="24"/>
              </w:rPr>
            </w:pPr>
            <w:r w:rsidRPr="00533895">
              <w:rPr>
                <w:b/>
                <w:bCs/>
                <w:sz w:val="24"/>
              </w:rPr>
              <w:t>‘9 An entity shall assess at the end of each reporting period whether there is any indication that an asset may be impaired. If any such indication exists, the entity shall estimate the recoverable amount of the asset.’</w:t>
            </w:r>
          </w:p>
        </w:tc>
      </w:tr>
      <w:tr w:rsidR="00392D8D" w:rsidRPr="00BB5D08" w14:paraId="5AE53431" w14:textId="77777777">
        <w:trPr>
          <w:tblHeader/>
        </w:trPr>
        <w:tc>
          <w:tcPr>
            <w:tcW w:w="9639" w:type="dxa"/>
          </w:tcPr>
          <w:p w14:paraId="269C729A" w14:textId="77777777" w:rsidR="00392D8D" w:rsidRPr="00533895" w:rsidRDefault="00392D8D" w:rsidP="00024476">
            <w:pPr>
              <w:pStyle w:val="TableContent"/>
              <w:ind w:left="340" w:hanging="340"/>
              <w:rPr>
                <w:b/>
                <w:bCs/>
                <w:sz w:val="24"/>
              </w:rPr>
            </w:pPr>
            <w:r w:rsidRPr="00533895">
              <w:rPr>
                <w:b/>
                <w:bCs/>
                <w:sz w:val="24"/>
              </w:rPr>
              <w:t xml:space="preserve">‘59 If, and only if, the recoverable amount of an asset is less than </w:t>
            </w:r>
            <w:proofErr w:type="gramStart"/>
            <w:r w:rsidRPr="00533895">
              <w:rPr>
                <w:b/>
                <w:bCs/>
                <w:sz w:val="24"/>
              </w:rPr>
              <w:t>its</w:t>
            </w:r>
            <w:proofErr w:type="gramEnd"/>
            <w:r w:rsidRPr="00533895">
              <w:rPr>
                <w:b/>
                <w:bCs/>
                <w:sz w:val="24"/>
              </w:rPr>
              <w:t xml:space="preserve"> carrying amount, the carrying amount of the asset shall be reduced to its recoverable amount. That reduction is an impairment loss.’</w:t>
            </w:r>
          </w:p>
        </w:tc>
      </w:tr>
    </w:tbl>
    <w:p w14:paraId="130ADD97" w14:textId="77777777" w:rsidR="004D07D2" w:rsidRDefault="004D07D2" w:rsidP="00301184">
      <w:pPr>
        <w:spacing w:after="0" w:line="240" w:lineRule="auto"/>
        <w:rPr>
          <w:rFonts w:cs="Arial"/>
          <w:lang w:val="en-GB"/>
        </w:rPr>
      </w:pPr>
      <w:r>
        <w:br w:type="page"/>
      </w:r>
    </w:p>
    <w:p w14:paraId="3F0DA03E" w14:textId="77777777" w:rsidR="00152549" w:rsidRPr="00C969B5" w:rsidRDefault="00152549" w:rsidP="00C969B5">
      <w:pPr>
        <w:pStyle w:val="Heading4"/>
      </w:pPr>
      <w:r w:rsidRPr="00C969B5">
        <w:lastRenderedPageBreak/>
        <w:t>Example of impairment losses to be recognised in terms of the LG (FM) Regs</w:t>
      </w:r>
    </w:p>
    <w:tbl>
      <w:tblPr>
        <w:tblStyle w:val="TableGrid"/>
        <w:tblW w:w="9639" w:type="dxa"/>
        <w:tblLook w:val="04A0" w:firstRow="1" w:lastRow="0" w:firstColumn="1" w:lastColumn="0" w:noHBand="0" w:noVBand="1"/>
      </w:tblPr>
      <w:tblGrid>
        <w:gridCol w:w="3213"/>
        <w:gridCol w:w="3212"/>
        <w:gridCol w:w="3214"/>
      </w:tblGrid>
      <w:tr w:rsidR="00152549" w:rsidRPr="00D35E62" w14:paraId="4D290FCE" w14:textId="77777777">
        <w:tc>
          <w:tcPr>
            <w:tcW w:w="9749" w:type="dxa"/>
            <w:gridSpan w:val="3"/>
          </w:tcPr>
          <w:p w14:paraId="08C94497" w14:textId="77777777" w:rsidR="00152549" w:rsidRPr="009C1217" w:rsidRDefault="00152549" w:rsidP="009C1217">
            <w:pPr>
              <w:pStyle w:val="TableContent"/>
              <w:rPr>
                <w:sz w:val="24"/>
              </w:rPr>
            </w:pPr>
            <w:r w:rsidRPr="009C1217">
              <w:rPr>
                <w:sz w:val="24"/>
              </w:rPr>
              <w:t xml:space="preserve">Example: Impairment of an administrative building. </w:t>
            </w:r>
          </w:p>
          <w:p w14:paraId="2C591512" w14:textId="77777777" w:rsidR="00152549" w:rsidRPr="009C1217" w:rsidRDefault="00152549" w:rsidP="009C1217">
            <w:pPr>
              <w:pStyle w:val="TableContent"/>
              <w:rPr>
                <w:sz w:val="24"/>
              </w:rPr>
            </w:pPr>
            <w:r w:rsidRPr="009C1217">
              <w:rPr>
                <w:sz w:val="24"/>
              </w:rPr>
              <w:t>Year 0: Building is revalued.</w:t>
            </w:r>
          </w:p>
          <w:p w14:paraId="708A2090" w14:textId="77777777" w:rsidR="00152549" w:rsidRPr="009C1217" w:rsidRDefault="00152549" w:rsidP="009C1217">
            <w:pPr>
              <w:pStyle w:val="TableContent"/>
              <w:rPr>
                <w:sz w:val="24"/>
              </w:rPr>
            </w:pPr>
            <w:r w:rsidRPr="009C1217">
              <w:rPr>
                <w:sz w:val="24"/>
              </w:rPr>
              <w:t>Year 2: Building’s value falls dramatically due to a market downturn.</w:t>
            </w:r>
          </w:p>
          <w:p w14:paraId="7E102A05" w14:textId="77777777" w:rsidR="00152549" w:rsidRPr="009C1217" w:rsidRDefault="00152549" w:rsidP="009C1217">
            <w:pPr>
              <w:pStyle w:val="TableContent"/>
              <w:rPr>
                <w:sz w:val="24"/>
              </w:rPr>
            </w:pPr>
            <w:r w:rsidRPr="009C1217">
              <w:rPr>
                <w:sz w:val="24"/>
              </w:rPr>
              <w:t xml:space="preserve">Year 4: Building suffers material damage due to a cyclone. </w:t>
            </w:r>
          </w:p>
        </w:tc>
      </w:tr>
      <w:tr w:rsidR="00152549" w:rsidRPr="00D35E62" w14:paraId="20A613E1" w14:textId="77777777">
        <w:tc>
          <w:tcPr>
            <w:tcW w:w="3249" w:type="dxa"/>
            <w:tcBorders>
              <w:left w:val="nil"/>
              <w:bottom w:val="nil"/>
              <w:right w:val="nil"/>
            </w:tcBorders>
          </w:tcPr>
          <w:p w14:paraId="3B5033C5" w14:textId="77777777" w:rsidR="00152549" w:rsidRPr="009C1217" w:rsidRDefault="00152549" w:rsidP="009C1217">
            <w:pPr>
              <w:pStyle w:val="TableContent"/>
              <w:rPr>
                <w:sz w:val="24"/>
              </w:rPr>
            </w:pPr>
          </w:p>
        </w:tc>
        <w:tc>
          <w:tcPr>
            <w:tcW w:w="3250" w:type="dxa"/>
            <w:tcBorders>
              <w:left w:val="nil"/>
              <w:bottom w:val="single" w:sz="4" w:space="0" w:color="auto"/>
              <w:right w:val="nil"/>
            </w:tcBorders>
          </w:tcPr>
          <w:p w14:paraId="47222437" w14:textId="30B57CB5" w:rsidR="00C945F6" w:rsidRDefault="00C945F6" w:rsidP="009C1217">
            <w:pPr>
              <w:pStyle w:val="TableContent"/>
              <w:rPr>
                <w:sz w:val="24"/>
              </w:rPr>
            </w:pPr>
            <w:r>
              <w:rPr>
                <w:b/>
                <w:bCs/>
                <w:noProof/>
              </w:rPr>
              <mc:AlternateContent>
                <mc:Choice Requires="wps">
                  <w:drawing>
                    <wp:anchor distT="0" distB="0" distL="114300" distR="114300" simplePos="0" relativeHeight="251658250" behindDoc="0" locked="0" layoutInCell="1" allowOverlap="1" wp14:anchorId="092C50B6" wp14:editId="71592823">
                      <wp:simplePos x="0" y="0"/>
                      <wp:positionH relativeFrom="column">
                        <wp:posOffset>854389</wp:posOffset>
                      </wp:positionH>
                      <wp:positionV relativeFrom="paragraph">
                        <wp:posOffset>67104</wp:posOffset>
                      </wp:positionV>
                      <wp:extent cx="260985" cy="379730"/>
                      <wp:effectExtent l="0" t="0" r="5715" b="1270"/>
                      <wp:wrapNone/>
                      <wp:docPr id="1026166766" name="Arrow: Down 1" descr="Arrow pointing down"/>
                      <wp:cNvGraphicFramePr/>
                      <a:graphic xmlns:a="http://schemas.openxmlformats.org/drawingml/2006/main">
                        <a:graphicData uri="http://schemas.microsoft.com/office/word/2010/wordprocessingShape">
                          <wps:wsp>
                            <wps:cNvSpPr/>
                            <wps:spPr>
                              <a:xfrm>
                                <a:off x="0" y="0"/>
                                <a:ext cx="260985" cy="379730"/>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F3E80" id="Arrow: Down 1" o:spid="_x0000_s1026" type="#_x0000_t67" alt="Arrow pointing down" style="position:absolute;margin-left:67.25pt;margin-top:5.3pt;width:20.55pt;height:29.9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" adj="14177" fillcolor="#8782a8 [1951]" stroked="f"/>
                  </w:pict>
                </mc:Fallback>
              </mc:AlternateContent>
            </w:r>
          </w:p>
          <w:p w14:paraId="0EDECF8E" w14:textId="67ED760B" w:rsidR="00152549" w:rsidRPr="009C1217" w:rsidRDefault="00152549" w:rsidP="009C1217">
            <w:pPr>
              <w:pStyle w:val="TableContent"/>
              <w:rPr>
                <w:sz w:val="24"/>
              </w:rPr>
            </w:pPr>
          </w:p>
        </w:tc>
        <w:tc>
          <w:tcPr>
            <w:tcW w:w="3250" w:type="dxa"/>
            <w:tcBorders>
              <w:left w:val="nil"/>
              <w:bottom w:val="nil"/>
              <w:right w:val="nil"/>
            </w:tcBorders>
          </w:tcPr>
          <w:p w14:paraId="14CD3CE7" w14:textId="77777777" w:rsidR="00152549" w:rsidRPr="009C1217" w:rsidRDefault="00152549" w:rsidP="009C1217">
            <w:pPr>
              <w:pStyle w:val="TableContent"/>
              <w:rPr>
                <w:sz w:val="24"/>
              </w:rPr>
            </w:pPr>
          </w:p>
        </w:tc>
      </w:tr>
      <w:tr w:rsidR="00152549" w:rsidRPr="00D35E62" w14:paraId="49A62664" w14:textId="77777777">
        <w:tc>
          <w:tcPr>
            <w:tcW w:w="3249" w:type="dxa"/>
            <w:tcBorders>
              <w:top w:val="nil"/>
              <w:left w:val="nil"/>
              <w:bottom w:val="nil"/>
            </w:tcBorders>
          </w:tcPr>
          <w:p w14:paraId="1E556DCA" w14:textId="77777777" w:rsidR="00152549" w:rsidRPr="009C1217" w:rsidRDefault="00152549" w:rsidP="009C1217">
            <w:pPr>
              <w:pStyle w:val="TableContent"/>
              <w:rPr>
                <w:sz w:val="24"/>
              </w:rPr>
            </w:pPr>
          </w:p>
        </w:tc>
        <w:tc>
          <w:tcPr>
            <w:tcW w:w="3250" w:type="dxa"/>
            <w:tcBorders>
              <w:bottom w:val="single" w:sz="4" w:space="0" w:color="auto"/>
            </w:tcBorders>
          </w:tcPr>
          <w:p w14:paraId="4E61AA0F" w14:textId="77777777" w:rsidR="00152549" w:rsidRPr="009C1217" w:rsidRDefault="00152549" w:rsidP="009C1217">
            <w:pPr>
              <w:pStyle w:val="TableContent"/>
              <w:rPr>
                <w:b/>
                <w:bCs/>
                <w:sz w:val="24"/>
              </w:rPr>
            </w:pPr>
            <w:r w:rsidRPr="009C1217">
              <w:rPr>
                <w:b/>
                <w:bCs/>
                <w:sz w:val="24"/>
              </w:rPr>
              <w:t>Assess building annually for an impairment indicator.</w:t>
            </w:r>
          </w:p>
          <w:p w14:paraId="13C5ECD3" w14:textId="77777777" w:rsidR="00152549" w:rsidRPr="009C1217" w:rsidRDefault="00152549" w:rsidP="009C1217">
            <w:pPr>
              <w:pStyle w:val="TableContent"/>
              <w:rPr>
                <w:sz w:val="24"/>
              </w:rPr>
            </w:pPr>
            <w:r w:rsidRPr="009C1217">
              <w:rPr>
                <w:sz w:val="24"/>
              </w:rPr>
              <w:t>AASB 136 Impairment of Assets (2022:8, par.9).</w:t>
            </w:r>
          </w:p>
        </w:tc>
        <w:tc>
          <w:tcPr>
            <w:tcW w:w="3250" w:type="dxa"/>
            <w:tcBorders>
              <w:top w:val="nil"/>
              <w:bottom w:val="nil"/>
              <w:right w:val="nil"/>
            </w:tcBorders>
          </w:tcPr>
          <w:p w14:paraId="2B1B194B" w14:textId="77777777" w:rsidR="00152549" w:rsidRPr="009C1217" w:rsidRDefault="00152549" w:rsidP="009C1217">
            <w:pPr>
              <w:pStyle w:val="TableContent"/>
              <w:rPr>
                <w:sz w:val="24"/>
              </w:rPr>
            </w:pPr>
          </w:p>
        </w:tc>
      </w:tr>
      <w:tr w:rsidR="00152549" w:rsidRPr="00D35E62" w14:paraId="42BB369E" w14:textId="77777777">
        <w:tc>
          <w:tcPr>
            <w:tcW w:w="3249" w:type="dxa"/>
            <w:tcBorders>
              <w:top w:val="nil"/>
              <w:left w:val="nil"/>
              <w:bottom w:val="single" w:sz="4" w:space="0" w:color="auto"/>
              <w:right w:val="nil"/>
            </w:tcBorders>
          </w:tcPr>
          <w:p w14:paraId="061BA37F" w14:textId="1BD67D15" w:rsidR="00152549" w:rsidRPr="009C1217" w:rsidRDefault="00152549" w:rsidP="009C1217">
            <w:pPr>
              <w:pStyle w:val="TableContent"/>
              <w:rPr>
                <w:sz w:val="24"/>
              </w:rPr>
            </w:pPr>
          </w:p>
        </w:tc>
        <w:tc>
          <w:tcPr>
            <w:tcW w:w="3250" w:type="dxa"/>
            <w:tcBorders>
              <w:left w:val="nil"/>
              <w:bottom w:val="nil"/>
              <w:right w:val="nil"/>
            </w:tcBorders>
          </w:tcPr>
          <w:p w14:paraId="0B9D270C" w14:textId="1F167285" w:rsidR="00C945F6" w:rsidRDefault="00C945F6" w:rsidP="009C1217">
            <w:pPr>
              <w:pStyle w:val="TableContent"/>
              <w:rPr>
                <w:sz w:val="24"/>
              </w:rPr>
            </w:pPr>
            <w:r>
              <w:rPr>
                <w:b/>
                <w:bCs/>
                <w:noProof/>
              </w:rPr>
              <mc:AlternateContent>
                <mc:Choice Requires="wps">
                  <w:drawing>
                    <wp:anchor distT="0" distB="0" distL="114300" distR="114300" simplePos="0" relativeHeight="251658248" behindDoc="0" locked="0" layoutInCell="1" allowOverlap="1" wp14:anchorId="3E1A8E14" wp14:editId="5016F0E9">
                      <wp:simplePos x="0" y="0"/>
                      <wp:positionH relativeFrom="column">
                        <wp:posOffset>426720</wp:posOffset>
                      </wp:positionH>
                      <wp:positionV relativeFrom="paragraph">
                        <wp:posOffset>35560</wp:posOffset>
                      </wp:positionV>
                      <wp:extent cx="210185" cy="815975"/>
                      <wp:effectExtent l="0" t="150495" r="0" b="153670"/>
                      <wp:wrapNone/>
                      <wp:docPr id="929636500" name="Arrow: Down 1" descr="Arrow pointing left"/>
                      <wp:cNvGraphicFramePr/>
                      <a:graphic xmlns:a="http://schemas.openxmlformats.org/drawingml/2006/main">
                        <a:graphicData uri="http://schemas.microsoft.com/office/word/2010/wordprocessingShape">
                          <wps:wsp>
                            <wps:cNvSpPr/>
                            <wps:spPr>
                              <a:xfrm rot="3564595">
                                <a:off x="0" y="0"/>
                                <a:ext cx="210185" cy="815975"/>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01D6" id="Arrow: Down 1" o:spid="_x0000_s1026" type="#_x0000_t67" alt="Arrow pointing left" style="position:absolute;margin-left:33.6pt;margin-top:2.8pt;width:16.55pt;height:64.25pt;rotation:3893488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" adj="18818" fillcolor="#8782a8 [1951]" stroked="f"/>
                  </w:pict>
                </mc:Fallback>
              </mc:AlternateContent>
            </w:r>
            <w:r>
              <w:rPr>
                <w:b/>
                <w:bCs/>
                <w:noProof/>
              </w:rPr>
              <mc:AlternateContent>
                <mc:Choice Requires="wps">
                  <w:drawing>
                    <wp:anchor distT="0" distB="0" distL="114300" distR="114300" simplePos="0" relativeHeight="251658249" behindDoc="0" locked="0" layoutInCell="1" allowOverlap="1" wp14:anchorId="164B77ED" wp14:editId="73D829D0">
                      <wp:simplePos x="0" y="0"/>
                      <wp:positionH relativeFrom="column">
                        <wp:posOffset>1360328</wp:posOffset>
                      </wp:positionH>
                      <wp:positionV relativeFrom="paragraph">
                        <wp:posOffset>32674</wp:posOffset>
                      </wp:positionV>
                      <wp:extent cx="210185" cy="815975"/>
                      <wp:effectExtent l="0" t="150495" r="0" b="153670"/>
                      <wp:wrapNone/>
                      <wp:docPr id="1298479922" name="Arrow: Down 1" descr="Arrow pointing right"/>
                      <wp:cNvGraphicFramePr/>
                      <a:graphic xmlns:a="http://schemas.openxmlformats.org/drawingml/2006/main">
                        <a:graphicData uri="http://schemas.microsoft.com/office/word/2010/wordprocessingShape">
                          <wps:wsp>
                            <wps:cNvSpPr/>
                            <wps:spPr>
                              <a:xfrm rot="18035405" flipH="1">
                                <a:off x="0" y="0"/>
                                <a:ext cx="210185" cy="815975"/>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B43F" id="Arrow: Down 1" o:spid="_x0000_s1026" type="#_x0000_t67" alt="Arrow pointing right" style="position:absolute;margin-left:107.1pt;margin-top:2.55pt;width:16.55pt;height:64.25pt;rotation:3893488fd;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" adj="18818" fillcolor="#8782a8 [1951]" stroked="f"/>
                  </w:pict>
                </mc:Fallback>
              </mc:AlternateContent>
            </w:r>
          </w:p>
          <w:p w14:paraId="08EB0A55" w14:textId="71BE791D" w:rsidR="00C945F6" w:rsidRDefault="00C945F6" w:rsidP="009C1217">
            <w:pPr>
              <w:pStyle w:val="TableContent"/>
              <w:rPr>
                <w:sz w:val="24"/>
              </w:rPr>
            </w:pPr>
          </w:p>
          <w:p w14:paraId="6D5BF874" w14:textId="0E89567D" w:rsidR="00152549" w:rsidRPr="009C1217" w:rsidRDefault="00152549" w:rsidP="009C1217">
            <w:pPr>
              <w:pStyle w:val="TableContent"/>
              <w:rPr>
                <w:sz w:val="24"/>
              </w:rPr>
            </w:pPr>
          </w:p>
        </w:tc>
        <w:tc>
          <w:tcPr>
            <w:tcW w:w="3250" w:type="dxa"/>
            <w:tcBorders>
              <w:top w:val="nil"/>
              <w:left w:val="nil"/>
              <w:bottom w:val="single" w:sz="4" w:space="0" w:color="auto"/>
              <w:right w:val="nil"/>
            </w:tcBorders>
          </w:tcPr>
          <w:p w14:paraId="7C57789E" w14:textId="77777777" w:rsidR="00152549" w:rsidRPr="009C1217" w:rsidRDefault="00152549" w:rsidP="009C1217">
            <w:pPr>
              <w:pStyle w:val="TableContent"/>
              <w:rPr>
                <w:sz w:val="24"/>
              </w:rPr>
            </w:pPr>
          </w:p>
        </w:tc>
      </w:tr>
      <w:tr w:rsidR="00152549" w:rsidRPr="00D35E62" w14:paraId="3A1D25D4" w14:textId="77777777">
        <w:tc>
          <w:tcPr>
            <w:tcW w:w="3249" w:type="dxa"/>
            <w:tcBorders>
              <w:bottom w:val="single" w:sz="4" w:space="0" w:color="auto"/>
            </w:tcBorders>
          </w:tcPr>
          <w:p w14:paraId="232B108F" w14:textId="77777777" w:rsidR="00152549" w:rsidRPr="009C1217" w:rsidRDefault="00152549" w:rsidP="009C1217">
            <w:pPr>
              <w:pStyle w:val="TableContent"/>
              <w:rPr>
                <w:sz w:val="24"/>
              </w:rPr>
            </w:pPr>
            <w:r w:rsidRPr="009C1217">
              <w:rPr>
                <w:sz w:val="24"/>
              </w:rPr>
              <w:t>Year 2: market downturn</w:t>
            </w:r>
          </w:p>
        </w:tc>
        <w:tc>
          <w:tcPr>
            <w:tcW w:w="3250" w:type="dxa"/>
            <w:tcBorders>
              <w:top w:val="nil"/>
              <w:bottom w:val="nil"/>
            </w:tcBorders>
          </w:tcPr>
          <w:p w14:paraId="46270A87" w14:textId="77777777" w:rsidR="00152549" w:rsidRPr="009C1217" w:rsidRDefault="00152549" w:rsidP="009C1217">
            <w:pPr>
              <w:pStyle w:val="TableContent"/>
              <w:rPr>
                <w:sz w:val="24"/>
              </w:rPr>
            </w:pPr>
          </w:p>
        </w:tc>
        <w:tc>
          <w:tcPr>
            <w:tcW w:w="3250" w:type="dxa"/>
            <w:tcBorders>
              <w:bottom w:val="single" w:sz="4" w:space="0" w:color="auto"/>
            </w:tcBorders>
          </w:tcPr>
          <w:p w14:paraId="62CBA8F2" w14:textId="77777777" w:rsidR="00152549" w:rsidRPr="009C1217" w:rsidRDefault="00152549" w:rsidP="009C1217">
            <w:pPr>
              <w:pStyle w:val="TableContent"/>
              <w:rPr>
                <w:sz w:val="24"/>
              </w:rPr>
            </w:pPr>
            <w:r w:rsidRPr="009C1217">
              <w:rPr>
                <w:sz w:val="24"/>
              </w:rPr>
              <w:t>Year 4: cyclone damage</w:t>
            </w:r>
          </w:p>
        </w:tc>
      </w:tr>
      <w:tr w:rsidR="00152549" w:rsidRPr="00D35E62" w14:paraId="03919FA3" w14:textId="77777777">
        <w:tc>
          <w:tcPr>
            <w:tcW w:w="3249" w:type="dxa"/>
            <w:tcBorders>
              <w:left w:val="nil"/>
              <w:bottom w:val="single" w:sz="4" w:space="0" w:color="auto"/>
              <w:right w:val="nil"/>
            </w:tcBorders>
          </w:tcPr>
          <w:p w14:paraId="4580F2DB" w14:textId="7EBA5E81" w:rsidR="00C945F6" w:rsidRDefault="00C945F6" w:rsidP="009C1217">
            <w:pPr>
              <w:pStyle w:val="TableContent"/>
              <w:rPr>
                <w:sz w:val="24"/>
              </w:rPr>
            </w:pPr>
            <w:r>
              <w:rPr>
                <w:b/>
                <w:bCs/>
                <w:noProof/>
              </w:rPr>
              <mc:AlternateContent>
                <mc:Choice Requires="wps">
                  <w:drawing>
                    <wp:anchor distT="0" distB="0" distL="114300" distR="114300" simplePos="0" relativeHeight="251658251" behindDoc="0" locked="0" layoutInCell="1" allowOverlap="1" wp14:anchorId="4EC86F00" wp14:editId="26311371">
                      <wp:simplePos x="0" y="0"/>
                      <wp:positionH relativeFrom="column">
                        <wp:posOffset>851535</wp:posOffset>
                      </wp:positionH>
                      <wp:positionV relativeFrom="paragraph">
                        <wp:posOffset>78550</wp:posOffset>
                      </wp:positionV>
                      <wp:extent cx="260985" cy="379730"/>
                      <wp:effectExtent l="0" t="0" r="5715" b="1270"/>
                      <wp:wrapNone/>
                      <wp:docPr id="1808477243" name="Arrow: Down 1" descr="Arrow pointing down"/>
                      <wp:cNvGraphicFramePr/>
                      <a:graphic xmlns:a="http://schemas.openxmlformats.org/drawingml/2006/main">
                        <a:graphicData uri="http://schemas.microsoft.com/office/word/2010/wordprocessingShape">
                          <wps:wsp>
                            <wps:cNvSpPr/>
                            <wps:spPr>
                              <a:xfrm>
                                <a:off x="0" y="0"/>
                                <a:ext cx="260985" cy="379730"/>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E23B17" id="Arrow: Down 1" o:spid="_x0000_s1026" type="#_x0000_t67" alt="Arrow pointing down" style="position:absolute;margin-left:67.05pt;margin-top:6.2pt;width:20.55pt;height:29.9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" adj="14177" fillcolor="#8782a8 [1951]" stroked="f"/>
                  </w:pict>
                </mc:Fallback>
              </mc:AlternateContent>
            </w:r>
          </w:p>
          <w:p w14:paraId="0B410EA9" w14:textId="45C7B44E" w:rsidR="00152549" w:rsidRPr="009C1217" w:rsidRDefault="00152549" w:rsidP="009C1217">
            <w:pPr>
              <w:pStyle w:val="TableContent"/>
              <w:rPr>
                <w:sz w:val="24"/>
              </w:rPr>
            </w:pPr>
          </w:p>
        </w:tc>
        <w:tc>
          <w:tcPr>
            <w:tcW w:w="3250" w:type="dxa"/>
            <w:tcBorders>
              <w:top w:val="nil"/>
              <w:left w:val="nil"/>
              <w:bottom w:val="nil"/>
              <w:right w:val="nil"/>
            </w:tcBorders>
          </w:tcPr>
          <w:p w14:paraId="59DC184C" w14:textId="77777777" w:rsidR="00152549" w:rsidRPr="009C1217" w:rsidRDefault="00152549" w:rsidP="009C1217">
            <w:pPr>
              <w:pStyle w:val="TableContent"/>
              <w:rPr>
                <w:sz w:val="24"/>
              </w:rPr>
            </w:pPr>
          </w:p>
        </w:tc>
        <w:tc>
          <w:tcPr>
            <w:tcW w:w="3250" w:type="dxa"/>
            <w:tcBorders>
              <w:left w:val="nil"/>
              <w:bottom w:val="single" w:sz="4" w:space="0" w:color="auto"/>
              <w:right w:val="nil"/>
            </w:tcBorders>
          </w:tcPr>
          <w:p w14:paraId="6B9D1092" w14:textId="195CE556" w:rsidR="00152549" w:rsidRPr="009C1217" w:rsidRDefault="00C945F6" w:rsidP="009C1217">
            <w:pPr>
              <w:pStyle w:val="TableContent"/>
              <w:rPr>
                <w:sz w:val="24"/>
              </w:rPr>
            </w:pPr>
            <w:r>
              <w:rPr>
                <w:b/>
                <w:bCs/>
                <w:noProof/>
              </w:rPr>
              <mc:AlternateContent>
                <mc:Choice Requires="wps">
                  <w:drawing>
                    <wp:anchor distT="0" distB="0" distL="114300" distR="114300" simplePos="0" relativeHeight="251658252" behindDoc="0" locked="0" layoutInCell="1" allowOverlap="1" wp14:anchorId="5A91BA32" wp14:editId="45313026">
                      <wp:simplePos x="0" y="0"/>
                      <wp:positionH relativeFrom="column">
                        <wp:posOffset>865950</wp:posOffset>
                      </wp:positionH>
                      <wp:positionV relativeFrom="paragraph">
                        <wp:posOffset>80645</wp:posOffset>
                      </wp:positionV>
                      <wp:extent cx="260985" cy="379730"/>
                      <wp:effectExtent l="0" t="0" r="5715" b="1270"/>
                      <wp:wrapNone/>
                      <wp:docPr id="1106741116" name="Arrow: Down 1" descr="Arrow pointing down"/>
                      <wp:cNvGraphicFramePr/>
                      <a:graphic xmlns:a="http://schemas.openxmlformats.org/drawingml/2006/main">
                        <a:graphicData uri="http://schemas.microsoft.com/office/word/2010/wordprocessingShape">
                          <wps:wsp>
                            <wps:cNvSpPr/>
                            <wps:spPr>
                              <a:xfrm>
                                <a:off x="0" y="0"/>
                                <a:ext cx="260985" cy="379730"/>
                              </a:xfrm>
                              <a:prstGeom prst="downArrow">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5E2BE" id="Arrow: Down 1" o:spid="_x0000_s1026" type="#_x0000_t67" alt="Arrow pointing down" style="position:absolute;margin-left:68.2pt;margin-top:6.35pt;width:20.55pt;height:29.9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" adj="14177" fillcolor="#8782a8 [1951]" stroked="f"/>
                  </w:pict>
                </mc:Fallback>
              </mc:AlternateContent>
            </w:r>
          </w:p>
        </w:tc>
      </w:tr>
      <w:tr w:rsidR="00152549" w:rsidRPr="00D35E62" w14:paraId="65136627" w14:textId="77777777">
        <w:tc>
          <w:tcPr>
            <w:tcW w:w="3249" w:type="dxa"/>
          </w:tcPr>
          <w:p w14:paraId="04A5E797" w14:textId="77777777" w:rsidR="00152549" w:rsidRPr="009C1217" w:rsidRDefault="00152549" w:rsidP="009C1217">
            <w:pPr>
              <w:pStyle w:val="TableContent"/>
              <w:rPr>
                <w:sz w:val="24"/>
              </w:rPr>
            </w:pPr>
            <w:r w:rsidRPr="009C1217">
              <w:rPr>
                <w:sz w:val="24"/>
              </w:rPr>
              <w:t>This situation represents ‘an impairment indicator of a general decrease in asset values.’</w:t>
            </w:r>
          </w:p>
          <w:p w14:paraId="6BB2483F" w14:textId="77777777" w:rsidR="00152549" w:rsidRPr="009C1217" w:rsidRDefault="00152549" w:rsidP="009C1217">
            <w:pPr>
              <w:pStyle w:val="TableContent"/>
              <w:rPr>
                <w:b/>
                <w:bCs/>
                <w:sz w:val="24"/>
                <w:lang w:val="en-US"/>
              </w:rPr>
            </w:pPr>
            <w:r w:rsidRPr="009C1217">
              <w:rPr>
                <w:b/>
                <w:bCs/>
                <w:sz w:val="24"/>
                <w:lang w:val="en-US"/>
              </w:rPr>
              <w:t>Application:</w:t>
            </w:r>
          </w:p>
          <w:p w14:paraId="318A822A" w14:textId="77777777" w:rsidR="00152549" w:rsidRPr="009C1217" w:rsidRDefault="00152549" w:rsidP="009C1217">
            <w:pPr>
              <w:pStyle w:val="TableContent"/>
              <w:rPr>
                <w:b/>
                <w:bCs/>
                <w:sz w:val="24"/>
                <w:lang w:val="en-US"/>
              </w:rPr>
            </w:pPr>
            <w:r w:rsidRPr="009C1217">
              <w:rPr>
                <w:b/>
                <w:bCs/>
                <w:sz w:val="24"/>
                <w:lang w:val="en-US"/>
              </w:rPr>
              <w:t xml:space="preserve">Do not account for impairment. </w:t>
            </w:r>
          </w:p>
          <w:p w14:paraId="29B040AD" w14:textId="77777777" w:rsidR="00152549" w:rsidRPr="009C1217" w:rsidRDefault="00152549" w:rsidP="009C1217">
            <w:pPr>
              <w:pStyle w:val="TableContent"/>
              <w:rPr>
                <w:sz w:val="24"/>
                <w:lang w:val="en-US"/>
              </w:rPr>
            </w:pPr>
            <w:r w:rsidRPr="009C1217">
              <w:rPr>
                <w:sz w:val="24"/>
                <w:lang w:val="en-US"/>
              </w:rPr>
              <w:t xml:space="preserve">No impairment loss should be </w:t>
            </w:r>
            <w:proofErr w:type="spellStart"/>
            <w:r w:rsidRPr="009C1217">
              <w:rPr>
                <w:sz w:val="24"/>
                <w:lang w:val="en-US"/>
              </w:rPr>
              <w:t>recognised</w:t>
            </w:r>
            <w:proofErr w:type="spellEnd"/>
            <w:r w:rsidRPr="009C1217">
              <w:rPr>
                <w:sz w:val="24"/>
                <w:lang w:val="en-US"/>
              </w:rPr>
              <w:t>.</w:t>
            </w:r>
          </w:p>
          <w:p w14:paraId="69AE0842" w14:textId="77777777" w:rsidR="00152549" w:rsidRPr="009C1217" w:rsidRDefault="00152549" w:rsidP="009C1217">
            <w:pPr>
              <w:pStyle w:val="TableContent"/>
              <w:rPr>
                <w:sz w:val="24"/>
              </w:rPr>
            </w:pPr>
            <w:r w:rsidRPr="009C1217">
              <w:rPr>
                <w:sz w:val="24"/>
              </w:rPr>
              <w:t>[LG(FM) Regs, regulation 17A(4C)]</w:t>
            </w:r>
          </w:p>
          <w:p w14:paraId="547FBCE4" w14:textId="77777777" w:rsidR="00152549" w:rsidRPr="009C1217" w:rsidRDefault="00152549" w:rsidP="009C1217">
            <w:pPr>
              <w:pStyle w:val="TableContent"/>
              <w:rPr>
                <w:sz w:val="24"/>
              </w:rPr>
            </w:pPr>
          </w:p>
        </w:tc>
        <w:tc>
          <w:tcPr>
            <w:tcW w:w="3250" w:type="dxa"/>
            <w:tcBorders>
              <w:top w:val="nil"/>
              <w:bottom w:val="nil"/>
            </w:tcBorders>
          </w:tcPr>
          <w:p w14:paraId="437E6CC4" w14:textId="77777777" w:rsidR="00152549" w:rsidRPr="009C1217" w:rsidRDefault="00152549" w:rsidP="009C1217">
            <w:pPr>
              <w:pStyle w:val="TableContent"/>
              <w:rPr>
                <w:sz w:val="24"/>
              </w:rPr>
            </w:pPr>
          </w:p>
        </w:tc>
        <w:tc>
          <w:tcPr>
            <w:tcW w:w="3250" w:type="dxa"/>
          </w:tcPr>
          <w:p w14:paraId="641F714B" w14:textId="77777777" w:rsidR="00152549" w:rsidRPr="009C1217" w:rsidRDefault="00152549" w:rsidP="009C1217">
            <w:pPr>
              <w:pStyle w:val="TableContent"/>
              <w:rPr>
                <w:sz w:val="24"/>
              </w:rPr>
            </w:pPr>
            <w:r w:rsidRPr="009C1217">
              <w:rPr>
                <w:sz w:val="24"/>
              </w:rPr>
              <w:t xml:space="preserve">This situation represents ‘an impairment indicator’ </w:t>
            </w:r>
            <w:r w:rsidRPr="009C1217">
              <w:rPr>
                <w:b/>
                <w:bCs/>
                <w:sz w:val="24"/>
              </w:rPr>
              <w:t>other than</w:t>
            </w:r>
            <w:r w:rsidRPr="009C1217">
              <w:rPr>
                <w:sz w:val="24"/>
              </w:rPr>
              <w:t xml:space="preserve"> ‘a general decrease in asset values.’</w:t>
            </w:r>
          </w:p>
          <w:p w14:paraId="254A3F23" w14:textId="77777777" w:rsidR="00152549" w:rsidRPr="009C1217" w:rsidRDefault="00152549" w:rsidP="009C1217">
            <w:pPr>
              <w:pStyle w:val="TableContent"/>
              <w:rPr>
                <w:b/>
                <w:bCs/>
                <w:sz w:val="24"/>
              </w:rPr>
            </w:pPr>
            <w:r w:rsidRPr="009C1217">
              <w:rPr>
                <w:b/>
                <w:bCs/>
                <w:sz w:val="24"/>
              </w:rPr>
              <w:t xml:space="preserve">Application: </w:t>
            </w:r>
          </w:p>
          <w:p w14:paraId="2C64E2FB" w14:textId="77777777" w:rsidR="00152549" w:rsidRPr="009C1217" w:rsidRDefault="00152549" w:rsidP="009C1217">
            <w:pPr>
              <w:pStyle w:val="TableContent"/>
              <w:rPr>
                <w:sz w:val="24"/>
              </w:rPr>
            </w:pPr>
            <w:r w:rsidRPr="009C1217">
              <w:rPr>
                <w:b/>
                <w:bCs/>
                <w:sz w:val="24"/>
              </w:rPr>
              <w:t>Account for impairment.</w:t>
            </w:r>
          </w:p>
          <w:p w14:paraId="356472AD" w14:textId="77777777" w:rsidR="00152549" w:rsidRPr="009C1217" w:rsidRDefault="00152549" w:rsidP="009C1217">
            <w:pPr>
              <w:pStyle w:val="TableContent"/>
              <w:rPr>
                <w:sz w:val="24"/>
              </w:rPr>
            </w:pPr>
            <w:r w:rsidRPr="009C1217">
              <w:rPr>
                <w:sz w:val="24"/>
              </w:rPr>
              <w:t>Two steps must be followed:</w:t>
            </w:r>
          </w:p>
          <w:p w14:paraId="6990393A" w14:textId="77777777" w:rsidR="00152549" w:rsidRPr="009C1217" w:rsidRDefault="00152549" w:rsidP="009C1217">
            <w:pPr>
              <w:pStyle w:val="TableContent"/>
              <w:rPr>
                <w:color w:val="000000"/>
                <w:sz w:val="24"/>
              </w:rPr>
            </w:pPr>
            <w:r w:rsidRPr="009C1217">
              <w:rPr>
                <w:sz w:val="24"/>
              </w:rPr>
              <w:t xml:space="preserve">estimate the recoverable amount of the asset and </w:t>
            </w:r>
          </w:p>
          <w:p w14:paraId="5CF052DD" w14:textId="77777777" w:rsidR="00152549" w:rsidRPr="009C1217" w:rsidRDefault="00152549" w:rsidP="009C1217">
            <w:pPr>
              <w:pStyle w:val="TableContent"/>
              <w:rPr>
                <w:sz w:val="24"/>
              </w:rPr>
            </w:pPr>
            <w:r w:rsidRPr="009C1217">
              <w:rPr>
                <w:sz w:val="24"/>
              </w:rPr>
              <w:t>reduce the carrying amount of the asset to its recoverable amount. This reduction equals an impairment loss.</w:t>
            </w:r>
          </w:p>
          <w:p w14:paraId="0AA7DE9A" w14:textId="77777777" w:rsidR="00152549" w:rsidRPr="009C1217" w:rsidRDefault="00152549" w:rsidP="009C1217">
            <w:pPr>
              <w:pStyle w:val="TableContent"/>
              <w:rPr>
                <w:sz w:val="24"/>
              </w:rPr>
            </w:pPr>
            <w:r w:rsidRPr="009C1217">
              <w:rPr>
                <w:sz w:val="24"/>
              </w:rPr>
              <w:t>[LG(FM) Regs, regulation 17A(4C)]</w:t>
            </w:r>
          </w:p>
        </w:tc>
      </w:tr>
    </w:tbl>
    <w:p w14:paraId="00C41348" w14:textId="43BFDFE0" w:rsidR="00152549" w:rsidRPr="00D35E62" w:rsidRDefault="00152549" w:rsidP="00152549">
      <w:pPr>
        <w:spacing w:before="120"/>
        <w:rPr>
          <w:rFonts w:cs="Arial"/>
        </w:rPr>
      </w:pPr>
      <w:r w:rsidRPr="00D35E62">
        <w:rPr>
          <w:rFonts w:cs="Arial"/>
        </w:rPr>
        <w:t>The accounting treatment of impairment losses is disclosed in the ‘Example of calculating reportable value’</w:t>
      </w:r>
      <w:r w:rsidR="00BE25B7">
        <w:rPr>
          <w:rFonts w:cs="Arial"/>
        </w:rPr>
        <w:t xml:space="preserve"> </w:t>
      </w:r>
      <w:r w:rsidR="007A309D">
        <w:rPr>
          <w:rFonts w:cs="Arial"/>
        </w:rPr>
        <w:t xml:space="preserve">in these </w:t>
      </w:r>
      <w:r w:rsidRPr="00D35E62">
        <w:rPr>
          <w:rFonts w:cs="Arial"/>
        </w:rPr>
        <w:t>Guidelines.</w:t>
      </w:r>
    </w:p>
    <w:p w14:paraId="462D5717" w14:textId="77777777" w:rsidR="00CF7491" w:rsidRDefault="00CF7491">
      <w:pPr>
        <w:spacing w:after="0" w:line="240" w:lineRule="auto"/>
      </w:pPr>
      <w:bookmarkStart w:id="22" w:name="_Toc207722722"/>
      <w:r>
        <w:br w:type="page"/>
      </w:r>
    </w:p>
    <w:p w14:paraId="1A9F0D37" w14:textId="3F19EA37" w:rsidR="00B415BD" w:rsidRPr="00DC7CBA" w:rsidRDefault="009723F1" w:rsidP="00E8351C">
      <w:pPr>
        <w:pStyle w:val="Heading2"/>
      </w:pPr>
      <w:bookmarkStart w:id="23" w:name="_Toc223445057"/>
      <w:r w:rsidRPr="00DC7CBA">
        <w:lastRenderedPageBreak/>
        <w:t>A</w:t>
      </w:r>
      <w:r w:rsidR="00B415BD" w:rsidRPr="00DC7CBA">
        <w:t xml:space="preserve">ssets </w:t>
      </w:r>
      <w:r w:rsidRPr="00DC7CBA">
        <w:t xml:space="preserve">other </w:t>
      </w:r>
      <w:r w:rsidR="00B415BD" w:rsidRPr="00DC7CBA">
        <w:t>than 17A(2)(a) Assets</w:t>
      </w:r>
      <w:bookmarkEnd w:id="22"/>
      <w:bookmarkEnd w:id="23"/>
    </w:p>
    <w:p w14:paraId="62CAB2D9" w14:textId="77777777" w:rsidR="00B415BD" w:rsidRPr="00265708" w:rsidRDefault="00B415BD" w:rsidP="00DB0394">
      <w:pPr>
        <w:pStyle w:val="Heading4"/>
      </w:pPr>
      <w:bookmarkStart w:id="24" w:name="_Toc207722723"/>
      <w:r w:rsidRPr="00265708">
        <w:t>Identity of assets other than 17A(2)(a) Assets</w:t>
      </w:r>
      <w:bookmarkEnd w:id="24"/>
    </w:p>
    <w:p w14:paraId="153C0DB2" w14:textId="77777777" w:rsidR="00B415BD" w:rsidRPr="00D35E62" w:rsidRDefault="00B415BD" w:rsidP="00D70B5C">
      <w:pPr>
        <w:pStyle w:val="BodyText"/>
      </w:pPr>
      <w:r w:rsidRPr="00D35E62">
        <w:t>Assets other than 17A(2)(a) Assets are identified in the LG (FM) Regs:</w:t>
      </w:r>
    </w:p>
    <w:tbl>
      <w:tblPr>
        <w:tblStyle w:val="TableGrid"/>
        <w:tblW w:w="9639" w:type="dxa"/>
        <w:tblLook w:val="04A0" w:firstRow="1" w:lastRow="0" w:firstColumn="1" w:lastColumn="0" w:noHBand="0" w:noVBand="1"/>
      </w:tblPr>
      <w:tblGrid>
        <w:gridCol w:w="9639"/>
      </w:tblGrid>
      <w:tr w:rsidR="00B415BD" w:rsidRPr="00D35E62" w14:paraId="05200E99" w14:textId="77777777">
        <w:tc>
          <w:tcPr>
            <w:tcW w:w="9639" w:type="dxa"/>
            <w:shd w:val="clear" w:color="auto" w:fill="F2F2F2" w:themeFill="background1" w:themeFillShade="F2"/>
          </w:tcPr>
          <w:p w14:paraId="3BE6177E" w14:textId="77777777" w:rsidR="00B415BD" w:rsidRPr="009C1217" w:rsidRDefault="00B415BD" w:rsidP="009C1217">
            <w:pPr>
              <w:pStyle w:val="TableContent"/>
              <w:rPr>
                <w:b/>
                <w:bCs/>
                <w:i/>
                <w:iCs/>
                <w:sz w:val="24"/>
              </w:rPr>
            </w:pPr>
            <w:r w:rsidRPr="009C1217">
              <w:rPr>
                <w:b/>
                <w:bCs/>
                <w:sz w:val="24"/>
              </w:rPr>
              <w:t>LG (FM) Regs, regulation 17A(2)(b) and (c)</w:t>
            </w:r>
          </w:p>
        </w:tc>
      </w:tr>
      <w:tr w:rsidR="00B415BD" w:rsidRPr="00D35E62" w14:paraId="4D85EB64" w14:textId="77777777">
        <w:tc>
          <w:tcPr>
            <w:tcW w:w="9639" w:type="dxa"/>
          </w:tcPr>
          <w:p w14:paraId="39DCC48C" w14:textId="7C92B98E" w:rsidR="00B415BD" w:rsidRPr="009C1217" w:rsidRDefault="00B415BD" w:rsidP="009C1217">
            <w:pPr>
              <w:pStyle w:val="TableContent"/>
              <w:ind w:left="454" w:hanging="454"/>
              <w:rPr>
                <w:sz w:val="24"/>
              </w:rPr>
            </w:pPr>
            <w:r w:rsidRPr="009C1217">
              <w:rPr>
                <w:sz w:val="24"/>
              </w:rPr>
              <w:t xml:space="preserve">‘(2) A local government must show in each financial report for a financial year ending on or after 30 June 2020 — </w:t>
            </w:r>
          </w:p>
          <w:p w14:paraId="656CF4D7" w14:textId="542E5277" w:rsidR="00B415BD" w:rsidRPr="009C1217" w:rsidRDefault="00565314" w:rsidP="009C1217">
            <w:pPr>
              <w:pStyle w:val="TableContent"/>
              <w:ind w:left="851" w:hanging="397"/>
              <w:rPr>
                <w:sz w:val="24"/>
              </w:rPr>
            </w:pPr>
            <w:r w:rsidRPr="009C1217">
              <w:rPr>
                <w:sz w:val="24"/>
              </w:rPr>
              <w:t xml:space="preserve">   </w:t>
            </w:r>
            <w:r w:rsidR="00B415BD" w:rsidRPr="009C1217">
              <w:rPr>
                <w:sz w:val="24"/>
              </w:rPr>
              <w:t xml:space="preserve">(b) the carrying amount of </w:t>
            </w:r>
            <w:proofErr w:type="gramStart"/>
            <w:r w:rsidR="00B415BD" w:rsidRPr="009C1217">
              <w:rPr>
                <w:sz w:val="24"/>
              </w:rPr>
              <w:t>all of</w:t>
            </w:r>
            <w:proofErr w:type="gramEnd"/>
            <w:r w:rsidR="00B415BD" w:rsidRPr="009C1217">
              <w:rPr>
                <w:sz w:val="24"/>
              </w:rPr>
              <w:t xml:space="preserve"> the non-financial assets of the local government that are plant and equipment type assets measured using the cost model in accordance with the AAS; and </w:t>
            </w:r>
          </w:p>
          <w:p w14:paraId="1FF9CEF9" w14:textId="77777777" w:rsidR="00B415BD" w:rsidRPr="009C1217" w:rsidRDefault="00B415BD" w:rsidP="009C1217">
            <w:pPr>
              <w:pStyle w:val="TableContent"/>
              <w:ind w:left="851" w:hanging="397"/>
              <w:rPr>
                <w:sz w:val="24"/>
              </w:rPr>
            </w:pPr>
            <w:r w:rsidRPr="009C1217">
              <w:rPr>
                <w:sz w:val="24"/>
              </w:rPr>
              <w:t xml:space="preserve">(c) the carrying amount of </w:t>
            </w:r>
            <w:proofErr w:type="gramStart"/>
            <w:r w:rsidRPr="009C1217">
              <w:rPr>
                <w:sz w:val="24"/>
              </w:rPr>
              <w:t>all of</w:t>
            </w:r>
            <w:proofErr w:type="gramEnd"/>
            <w:r w:rsidRPr="009C1217">
              <w:rPr>
                <w:sz w:val="24"/>
              </w:rPr>
              <w:t xml:space="preserve"> the right-of-use assets of the local government (other than vested improvements referred to in paragraph (a)(iv) measured using the cost model in accordance with the AAS.’</w:t>
            </w:r>
          </w:p>
        </w:tc>
      </w:tr>
    </w:tbl>
    <w:p w14:paraId="25A4395D" w14:textId="77777777" w:rsidR="00B415BD" w:rsidRPr="00D35E62" w:rsidRDefault="00B415BD" w:rsidP="002B2331">
      <w:pPr>
        <w:pStyle w:val="Heading4"/>
      </w:pPr>
      <w:r w:rsidRPr="00D35E62">
        <w:t>Explanation of terms used</w:t>
      </w:r>
    </w:p>
    <w:p w14:paraId="28397D0D" w14:textId="44374CDA" w:rsidR="00B415BD" w:rsidRPr="00D35E62" w:rsidRDefault="00B415BD" w:rsidP="00B415BD">
      <w:pPr>
        <w:spacing w:before="120"/>
        <w:ind w:right="-318"/>
        <w:rPr>
          <w:rFonts w:cs="Arial"/>
        </w:rPr>
      </w:pPr>
      <w:r w:rsidRPr="00D35E62">
        <w:rPr>
          <w:rFonts w:cs="Arial"/>
        </w:rPr>
        <w:t xml:space="preserve">The LG (FM) Regs defines terms included in the table </w:t>
      </w:r>
      <w:r w:rsidR="00191174">
        <w:rPr>
          <w:rFonts w:cs="Arial"/>
        </w:rPr>
        <w:t xml:space="preserve">directly above </w:t>
      </w:r>
      <w:r w:rsidRPr="00D35E62">
        <w:rPr>
          <w:rFonts w:cs="Arial"/>
        </w:rPr>
        <w:t xml:space="preserve">as follows: </w:t>
      </w:r>
    </w:p>
    <w:tbl>
      <w:tblPr>
        <w:tblStyle w:val="TableGrid"/>
        <w:tblW w:w="9639" w:type="dxa"/>
        <w:tblLook w:val="04A0" w:firstRow="1" w:lastRow="0" w:firstColumn="1" w:lastColumn="0" w:noHBand="0" w:noVBand="1"/>
      </w:tblPr>
      <w:tblGrid>
        <w:gridCol w:w="9639"/>
      </w:tblGrid>
      <w:tr w:rsidR="00B415BD" w:rsidRPr="00D35E62" w14:paraId="6B0E68CB" w14:textId="77777777">
        <w:trPr>
          <w:tblHeader/>
        </w:trPr>
        <w:tc>
          <w:tcPr>
            <w:tcW w:w="9639" w:type="dxa"/>
            <w:shd w:val="clear" w:color="auto" w:fill="F2F2F2" w:themeFill="background1" w:themeFillShade="F2"/>
          </w:tcPr>
          <w:p w14:paraId="407F3483" w14:textId="77777777" w:rsidR="00B415BD" w:rsidRPr="00831489" w:rsidRDefault="00B415BD" w:rsidP="00831489">
            <w:pPr>
              <w:pStyle w:val="TableContent"/>
              <w:rPr>
                <w:b/>
                <w:bCs/>
                <w:sz w:val="24"/>
              </w:rPr>
            </w:pPr>
            <w:r w:rsidRPr="00831489">
              <w:rPr>
                <w:b/>
                <w:bCs/>
                <w:sz w:val="24"/>
              </w:rPr>
              <w:t>LG (FM) Regs, regulation 17A (1)</w:t>
            </w:r>
          </w:p>
        </w:tc>
      </w:tr>
      <w:tr w:rsidR="00B415BD" w:rsidRPr="00D35E62" w14:paraId="559EA5B9" w14:textId="77777777">
        <w:tc>
          <w:tcPr>
            <w:tcW w:w="9639" w:type="dxa"/>
          </w:tcPr>
          <w:p w14:paraId="22D72078" w14:textId="306FFE23" w:rsidR="00B415BD" w:rsidRPr="00831489" w:rsidRDefault="00B415BD" w:rsidP="00831489">
            <w:pPr>
              <w:pStyle w:val="TableContent"/>
              <w:rPr>
                <w:sz w:val="24"/>
              </w:rPr>
            </w:pPr>
            <w:r w:rsidRPr="00831489">
              <w:rPr>
                <w:sz w:val="24"/>
              </w:rPr>
              <w:t>‘(1) In this regulation —</w:t>
            </w:r>
          </w:p>
          <w:p w14:paraId="320564A6" w14:textId="77777777" w:rsidR="00B415BD" w:rsidRPr="00831489" w:rsidRDefault="00B415BD" w:rsidP="00D6595A">
            <w:pPr>
              <w:pStyle w:val="TableContent"/>
              <w:ind w:left="397"/>
              <w:rPr>
                <w:sz w:val="24"/>
              </w:rPr>
            </w:pPr>
            <w:r w:rsidRPr="00831489">
              <w:rPr>
                <w:i/>
                <w:iCs/>
                <w:sz w:val="24"/>
              </w:rPr>
              <w:t>carrying amount</w:t>
            </w:r>
            <w:r w:rsidRPr="00831489">
              <w:rPr>
                <w:sz w:val="24"/>
              </w:rPr>
              <w:t>, in relation to a non-financial asset, means the carrying amount of the non-financial asset determined in accordance with the AAS…</w:t>
            </w:r>
          </w:p>
          <w:p w14:paraId="13F311F8" w14:textId="77777777" w:rsidR="00B415BD" w:rsidRPr="00831489" w:rsidRDefault="00B415BD" w:rsidP="00D6595A">
            <w:pPr>
              <w:pStyle w:val="TableContent"/>
              <w:ind w:left="397"/>
              <w:rPr>
                <w:sz w:val="24"/>
              </w:rPr>
            </w:pPr>
            <w:r w:rsidRPr="00831489">
              <w:rPr>
                <w:i/>
                <w:iCs/>
                <w:sz w:val="24"/>
              </w:rPr>
              <w:t>…right-of-use asset</w:t>
            </w:r>
            <w:r w:rsidRPr="00831489">
              <w:rPr>
                <w:sz w:val="24"/>
              </w:rPr>
              <w:t>, of a local government, includes the local government’s right to use —</w:t>
            </w:r>
          </w:p>
          <w:p w14:paraId="6F050C84" w14:textId="77777777" w:rsidR="00B415BD" w:rsidRPr="00831489" w:rsidRDefault="00B415BD" w:rsidP="00D6595A">
            <w:pPr>
              <w:pStyle w:val="TableContent"/>
              <w:ind w:left="397"/>
              <w:rPr>
                <w:sz w:val="24"/>
              </w:rPr>
            </w:pPr>
            <w:r w:rsidRPr="00831489">
              <w:rPr>
                <w:sz w:val="24"/>
              </w:rPr>
              <w:t>(a) Crown land; or</w:t>
            </w:r>
          </w:p>
          <w:p w14:paraId="2FBE115A" w14:textId="77777777" w:rsidR="00B415BD" w:rsidRPr="00831489" w:rsidRDefault="00B415BD" w:rsidP="00D6595A">
            <w:pPr>
              <w:pStyle w:val="TableContent"/>
              <w:ind w:left="397"/>
              <w:rPr>
                <w:sz w:val="24"/>
              </w:rPr>
            </w:pPr>
            <w:r w:rsidRPr="00831489">
              <w:rPr>
                <w:sz w:val="24"/>
              </w:rPr>
              <w:t xml:space="preserve">(b) other land that is not owned by the local government, </w:t>
            </w:r>
          </w:p>
          <w:p w14:paraId="29AC64AA" w14:textId="77777777" w:rsidR="00B415BD" w:rsidRPr="00831489" w:rsidRDefault="00B415BD" w:rsidP="00D6595A">
            <w:pPr>
              <w:pStyle w:val="TableContent"/>
              <w:ind w:left="397"/>
              <w:rPr>
                <w:i/>
                <w:iCs/>
                <w:sz w:val="24"/>
              </w:rPr>
            </w:pPr>
            <w:r w:rsidRPr="00831489">
              <w:rPr>
                <w:sz w:val="24"/>
              </w:rPr>
              <w:t>that is vested in the local government at nil or nominal cost for an indefinite period for the purpose of roads or for any other purpose…’</w:t>
            </w:r>
          </w:p>
        </w:tc>
      </w:tr>
    </w:tbl>
    <w:p w14:paraId="7468C1BC" w14:textId="77777777" w:rsidR="00B415BD" w:rsidRPr="00D35E62" w:rsidRDefault="00B415BD" w:rsidP="00D70B5C">
      <w:pPr>
        <w:pStyle w:val="BodyText"/>
      </w:pPr>
      <w:r w:rsidRPr="00D35E62">
        <w:t xml:space="preserve">Impairment signifies that the asset's value has declined, and it may be worth less than what it's currently recorded for in accounting records. </w:t>
      </w:r>
    </w:p>
    <w:p w14:paraId="71DD3484" w14:textId="77777777" w:rsidR="00B415BD" w:rsidRPr="00D35E62" w:rsidRDefault="00B415BD" w:rsidP="00D70B5C">
      <w:pPr>
        <w:pStyle w:val="BodyText"/>
      </w:pPr>
      <w:r w:rsidRPr="00D35E62">
        <w:t>The term right-of-use asset signifies a lessee's right to use an asset under a lease agreement against the obligation to make payment to the lessor for the right to use the asset.</w:t>
      </w:r>
    </w:p>
    <w:p w14:paraId="34621C50" w14:textId="77777777" w:rsidR="00175183" w:rsidRDefault="00175183">
      <w:pPr>
        <w:spacing w:after="0" w:line="240" w:lineRule="auto"/>
        <w:rPr>
          <w:rFonts w:cs="Arial"/>
          <w:lang w:val="en-GB"/>
        </w:rPr>
      </w:pPr>
      <w:bookmarkStart w:id="25" w:name="_Toc207722724"/>
      <w:r>
        <w:br w:type="page"/>
      </w:r>
    </w:p>
    <w:p w14:paraId="4E34A975" w14:textId="6026323C" w:rsidR="00B415BD" w:rsidRPr="009261A8" w:rsidRDefault="00B415BD" w:rsidP="00E8351C">
      <w:pPr>
        <w:pStyle w:val="Heading4"/>
      </w:pPr>
      <w:r w:rsidRPr="009261A8">
        <w:lastRenderedPageBreak/>
        <w:t>Carrying amounts of assets other than 17A(2)(a) Assets</w:t>
      </w:r>
      <w:bookmarkEnd w:id="25"/>
    </w:p>
    <w:p w14:paraId="5555D0EF" w14:textId="77777777" w:rsidR="00B415BD" w:rsidRPr="00D35E62" w:rsidRDefault="00B415BD" w:rsidP="00D70B5C">
      <w:pPr>
        <w:pStyle w:val="BodyText"/>
      </w:pPr>
      <w:r w:rsidRPr="00D35E62">
        <w:t>AASB 116 Property, Plant and Equipment (2022), states regarding the term carrying amount:</w:t>
      </w:r>
    </w:p>
    <w:tbl>
      <w:tblPr>
        <w:tblStyle w:val="TableGrid"/>
        <w:tblW w:w="9639" w:type="dxa"/>
        <w:tblLook w:val="04A0" w:firstRow="1" w:lastRow="0" w:firstColumn="1" w:lastColumn="0" w:noHBand="0" w:noVBand="1"/>
      </w:tblPr>
      <w:tblGrid>
        <w:gridCol w:w="9639"/>
      </w:tblGrid>
      <w:tr w:rsidR="00B415BD" w:rsidRPr="00D35E62" w14:paraId="4036FAF9" w14:textId="77777777">
        <w:trPr>
          <w:tblHeader/>
        </w:trPr>
        <w:tc>
          <w:tcPr>
            <w:tcW w:w="9639" w:type="dxa"/>
            <w:shd w:val="clear" w:color="auto" w:fill="F2F2F2" w:themeFill="background1" w:themeFillShade="F2"/>
          </w:tcPr>
          <w:p w14:paraId="583D3C16" w14:textId="77777777" w:rsidR="00B415BD" w:rsidRPr="00F52CFE" w:rsidRDefault="00B415BD" w:rsidP="00377CF4">
            <w:pPr>
              <w:pStyle w:val="TableContent"/>
              <w:rPr>
                <w:b/>
                <w:bCs/>
                <w:sz w:val="24"/>
              </w:rPr>
            </w:pPr>
            <w:r w:rsidRPr="00F52CFE">
              <w:rPr>
                <w:b/>
                <w:bCs/>
                <w:sz w:val="24"/>
              </w:rPr>
              <w:t>(AASB 2022:6)</w:t>
            </w:r>
          </w:p>
        </w:tc>
      </w:tr>
      <w:tr w:rsidR="00B415BD" w:rsidRPr="00D35E62" w14:paraId="651B957F" w14:textId="77777777">
        <w:trPr>
          <w:tblHeader/>
        </w:trPr>
        <w:tc>
          <w:tcPr>
            <w:tcW w:w="9639" w:type="dxa"/>
          </w:tcPr>
          <w:p w14:paraId="1846FA47" w14:textId="175FD206" w:rsidR="00B415BD" w:rsidRPr="00036BB6" w:rsidRDefault="00B415BD" w:rsidP="00377CF4">
            <w:pPr>
              <w:pStyle w:val="TableContent"/>
              <w:rPr>
                <w:b/>
                <w:bCs/>
                <w:sz w:val="24"/>
              </w:rPr>
            </w:pPr>
            <w:r w:rsidRPr="00377CF4">
              <w:rPr>
                <w:i/>
                <w:iCs/>
                <w:sz w:val="24"/>
              </w:rPr>
              <w:t>‘</w:t>
            </w:r>
            <w:r w:rsidRPr="00036BB6">
              <w:rPr>
                <w:b/>
                <w:bCs/>
                <w:sz w:val="24"/>
              </w:rPr>
              <w:t xml:space="preserve">6 </w:t>
            </w:r>
            <w:r w:rsidR="00377CF4" w:rsidRPr="00036BB6">
              <w:rPr>
                <w:b/>
                <w:bCs/>
                <w:sz w:val="24"/>
              </w:rPr>
              <w:t>T</w:t>
            </w:r>
            <w:r w:rsidRPr="00036BB6">
              <w:rPr>
                <w:b/>
                <w:bCs/>
                <w:sz w:val="24"/>
              </w:rPr>
              <w:t>he following terms are used in this Standard with the meanings specified:</w:t>
            </w:r>
          </w:p>
          <w:p w14:paraId="75FC24C5" w14:textId="77777777" w:rsidR="00B415BD" w:rsidRPr="00377CF4" w:rsidRDefault="00B415BD" w:rsidP="00377CF4">
            <w:pPr>
              <w:pStyle w:val="TableContent"/>
              <w:ind w:left="681" w:hanging="397"/>
              <w:rPr>
                <w:i/>
                <w:iCs/>
                <w:sz w:val="24"/>
              </w:rPr>
            </w:pPr>
            <w:r w:rsidRPr="00036BB6">
              <w:rPr>
                <w:b/>
                <w:bCs/>
                <w:sz w:val="24"/>
              </w:rPr>
              <w:t xml:space="preserve">   </w:t>
            </w:r>
            <w:r w:rsidRPr="00036BB6">
              <w:rPr>
                <w:b/>
                <w:bCs/>
                <w:i/>
                <w:iCs/>
                <w:sz w:val="24"/>
              </w:rPr>
              <w:t>Carrying amount</w:t>
            </w:r>
            <w:r w:rsidRPr="00036BB6">
              <w:rPr>
                <w:b/>
                <w:bCs/>
                <w:sz w:val="24"/>
              </w:rPr>
              <w:t xml:space="preserve"> is the amount at which an asset is recognised after deducting any accumulated depreciation and accumulated impairment losses.’</w:t>
            </w:r>
          </w:p>
        </w:tc>
      </w:tr>
    </w:tbl>
    <w:p w14:paraId="6E4313C2" w14:textId="113B31CE" w:rsidR="00B415BD" w:rsidRPr="00D35E62" w:rsidRDefault="00B415BD" w:rsidP="00B415BD">
      <w:pPr>
        <w:spacing w:before="120"/>
        <w:rPr>
          <w:rFonts w:cs="Arial"/>
        </w:rPr>
      </w:pPr>
      <w:r w:rsidRPr="00D35E62">
        <w:rPr>
          <w:rFonts w:cs="Arial"/>
        </w:rPr>
        <w:t xml:space="preserve">The deduction of depreciation and impairment losses from the fair value of 17A(2)(A) Assets to calculate its reportable value is disclosed in the “Example of calculating reportable value” </w:t>
      </w:r>
      <w:r w:rsidR="00BB4399">
        <w:rPr>
          <w:rFonts w:cs="Arial"/>
        </w:rPr>
        <w:t xml:space="preserve">in </w:t>
      </w:r>
      <w:r w:rsidRPr="00D35E62">
        <w:rPr>
          <w:rFonts w:cs="Arial"/>
        </w:rPr>
        <w:t xml:space="preserve">these Guidelines. The methodology applied in that example is also applicable to determining the carrying amount of plant and equipment and right-of-use assets. </w:t>
      </w:r>
    </w:p>
    <w:p w14:paraId="1E59E587" w14:textId="77777777" w:rsidR="00B415BD" w:rsidRPr="00D35E62" w:rsidRDefault="00B415BD" w:rsidP="00175183">
      <w:pPr>
        <w:pStyle w:val="Heading2"/>
      </w:pPr>
      <w:bookmarkStart w:id="26" w:name="_Toc207722725"/>
      <w:bookmarkStart w:id="27" w:name="_Toc223445058"/>
      <w:r w:rsidRPr="00D35E62">
        <w:t>Excluded assets</w:t>
      </w:r>
      <w:bookmarkEnd w:id="26"/>
      <w:bookmarkEnd w:id="27"/>
    </w:p>
    <w:p w14:paraId="79C71CD1" w14:textId="77777777" w:rsidR="00B415BD" w:rsidRPr="00D35E62" w:rsidRDefault="00B415BD" w:rsidP="00D70B5C">
      <w:pPr>
        <w:pStyle w:val="BodyText"/>
      </w:pPr>
      <w:r w:rsidRPr="00D35E62">
        <w:t>Certain assets are excluded from recognition as assets, being:</w:t>
      </w:r>
    </w:p>
    <w:tbl>
      <w:tblPr>
        <w:tblStyle w:val="TableGrid"/>
        <w:tblW w:w="9639" w:type="dxa"/>
        <w:tblLook w:val="04A0" w:firstRow="1" w:lastRow="0" w:firstColumn="1" w:lastColumn="0" w:noHBand="0" w:noVBand="1"/>
      </w:tblPr>
      <w:tblGrid>
        <w:gridCol w:w="9639"/>
      </w:tblGrid>
      <w:tr w:rsidR="00B415BD" w:rsidRPr="00D35E62" w14:paraId="10C59964" w14:textId="77777777">
        <w:tc>
          <w:tcPr>
            <w:tcW w:w="6634" w:type="dxa"/>
            <w:shd w:val="clear" w:color="auto" w:fill="F2F2F2" w:themeFill="background1" w:themeFillShade="F2"/>
          </w:tcPr>
          <w:p w14:paraId="66A987A4" w14:textId="77777777" w:rsidR="00B415BD" w:rsidRPr="00F52CFE" w:rsidRDefault="00B415BD" w:rsidP="00F52CFE">
            <w:pPr>
              <w:pStyle w:val="TableContent"/>
              <w:rPr>
                <w:b/>
                <w:bCs/>
                <w:sz w:val="24"/>
              </w:rPr>
            </w:pPr>
            <w:r w:rsidRPr="00F52CFE">
              <w:rPr>
                <w:b/>
                <w:bCs/>
                <w:sz w:val="24"/>
              </w:rPr>
              <w:t>(LG (FM) Regs, regulation 17</w:t>
            </w:r>
            <w:proofErr w:type="gramStart"/>
            <w:r w:rsidRPr="00F52CFE">
              <w:rPr>
                <w:b/>
                <w:bCs/>
                <w:sz w:val="24"/>
              </w:rPr>
              <w:t>A(</w:t>
            </w:r>
            <w:proofErr w:type="gramEnd"/>
            <w:r w:rsidRPr="00F52CFE">
              <w:rPr>
                <w:b/>
                <w:bCs/>
                <w:sz w:val="24"/>
              </w:rPr>
              <w:t>5)</w:t>
            </w:r>
          </w:p>
        </w:tc>
      </w:tr>
      <w:tr w:rsidR="00B415BD" w:rsidRPr="00D35E62" w14:paraId="42A217C7" w14:textId="77777777">
        <w:tc>
          <w:tcPr>
            <w:tcW w:w="6634" w:type="dxa"/>
          </w:tcPr>
          <w:p w14:paraId="079A39A5" w14:textId="3355AA8D" w:rsidR="00B415BD" w:rsidRPr="00F52CFE" w:rsidRDefault="00B415BD" w:rsidP="00F52CFE">
            <w:pPr>
              <w:pStyle w:val="TableContent"/>
              <w:ind w:left="397" w:hanging="397"/>
              <w:rPr>
                <w:sz w:val="24"/>
              </w:rPr>
            </w:pPr>
            <w:r w:rsidRPr="00F52CFE">
              <w:rPr>
                <w:sz w:val="24"/>
              </w:rPr>
              <w:t>‘(5) A non-financial asset is to be excluded from the assets of a local government if the fair value of the asset as at the date of acquisition by the local government is under $5</w:t>
            </w:r>
            <w:r w:rsidR="00BE3E5D">
              <w:rPr>
                <w:sz w:val="24"/>
              </w:rPr>
              <w:t>,</w:t>
            </w:r>
            <w:r w:rsidRPr="00F52CFE">
              <w:rPr>
                <w:sz w:val="24"/>
              </w:rPr>
              <w:t>000.’</w:t>
            </w:r>
          </w:p>
        </w:tc>
      </w:tr>
    </w:tbl>
    <w:p w14:paraId="5F7706E8" w14:textId="77777777" w:rsidR="00B415BD" w:rsidRPr="00D35E62" w:rsidRDefault="00B415BD" w:rsidP="00D70B5C">
      <w:pPr>
        <w:pStyle w:val="BodyText"/>
      </w:pPr>
      <w:r w:rsidRPr="00D35E62">
        <w:t>Consequently, local governments should:</w:t>
      </w:r>
    </w:p>
    <w:p w14:paraId="7450D569" w14:textId="77777777" w:rsidR="00B415BD" w:rsidRPr="00D35E62" w:rsidRDefault="00B415BD" w:rsidP="00D70B5C">
      <w:pPr>
        <w:pStyle w:val="BodyText"/>
        <w:numPr>
          <w:ilvl w:val="0"/>
          <w:numId w:val="9"/>
        </w:numPr>
      </w:pPr>
      <w:r w:rsidRPr="00D35E62">
        <w:t xml:space="preserve">expense the cost of acquisition of such assets upon purchase; and </w:t>
      </w:r>
    </w:p>
    <w:p w14:paraId="5C1802E5" w14:textId="77777777" w:rsidR="00B415BD" w:rsidRPr="00D35E62" w:rsidRDefault="00B415BD" w:rsidP="00D70B5C">
      <w:pPr>
        <w:pStyle w:val="BodyText"/>
        <w:numPr>
          <w:ilvl w:val="0"/>
          <w:numId w:val="9"/>
        </w:numPr>
      </w:pPr>
      <w:r w:rsidRPr="00D35E62">
        <w:t>keep a record of such assets, especially attractive and portable assets (LG (FM) Regs, regulation 17B).</w:t>
      </w:r>
    </w:p>
    <w:p w14:paraId="5864BBEB" w14:textId="77777777" w:rsidR="004D07D2" w:rsidRDefault="004D07D2">
      <w:pPr>
        <w:spacing w:after="0" w:line="240" w:lineRule="auto"/>
        <w:rPr>
          <w:rFonts w:cs="Arial"/>
          <w:lang w:val="en-GB"/>
        </w:rPr>
      </w:pPr>
      <w:r>
        <w:br w:type="page"/>
      </w:r>
    </w:p>
    <w:p w14:paraId="04C3409E" w14:textId="77777777" w:rsidR="00D42912" w:rsidRDefault="00D42912" w:rsidP="005C1253">
      <w:pPr>
        <w:pStyle w:val="Heading2"/>
        <w:sectPr w:rsidR="00D42912" w:rsidSect="001B4CF9">
          <w:footerReference w:type="default" r:id="rId17"/>
          <w:pgSz w:w="11900" w:h="16840" w:code="9"/>
          <w:pgMar w:top="1985" w:right="1134" w:bottom="1134" w:left="1134" w:header="567" w:footer="145" w:gutter="0"/>
          <w:pgNumType w:start="1"/>
          <w:cols w:space="567"/>
          <w:docGrid w:linePitch="326"/>
        </w:sectPr>
      </w:pPr>
      <w:bookmarkStart w:id="31" w:name="_Toc207722726"/>
    </w:p>
    <w:p w14:paraId="4B8E4113" w14:textId="77777777" w:rsidR="005C1253" w:rsidRPr="00D35E62" w:rsidRDefault="005C1253" w:rsidP="005C1253">
      <w:pPr>
        <w:pStyle w:val="Heading2"/>
        <w:rPr>
          <w:b w:val="0"/>
          <w:bCs w:val="0"/>
        </w:rPr>
      </w:pPr>
      <w:bookmarkStart w:id="32" w:name="_Toc223445059"/>
      <w:r w:rsidRPr="00D35E62">
        <w:lastRenderedPageBreak/>
        <w:t>Summary of LG (FM) Regs, regulation 17A</w:t>
      </w:r>
      <w:bookmarkEnd w:id="31"/>
      <w:bookmarkEnd w:id="32"/>
    </w:p>
    <w:p w14:paraId="2B6359A2" w14:textId="77777777" w:rsidR="005C1253" w:rsidRPr="000049AB" w:rsidRDefault="005C1253" w:rsidP="00D70B5C">
      <w:pPr>
        <w:pStyle w:val="BodyText"/>
      </w:pPr>
      <w:r w:rsidRPr="000049AB">
        <w:t>A summary of the stipulations of the LG (FM) Regs, regulation 17A is as follows:</w:t>
      </w:r>
    </w:p>
    <w:tbl>
      <w:tblPr>
        <w:tblStyle w:val="TableGrid"/>
        <w:tblW w:w="13887" w:type="dxa"/>
        <w:tblLook w:val="04A0" w:firstRow="1" w:lastRow="0" w:firstColumn="1" w:lastColumn="0" w:noHBand="0" w:noVBand="1"/>
      </w:tblPr>
      <w:tblGrid>
        <w:gridCol w:w="4390"/>
        <w:gridCol w:w="9497"/>
      </w:tblGrid>
      <w:tr w:rsidR="005C1253" w:rsidRPr="000049AB" w14:paraId="1A5D9514" w14:textId="77777777" w:rsidTr="00611207">
        <w:trPr>
          <w:tblHeader/>
        </w:trPr>
        <w:tc>
          <w:tcPr>
            <w:tcW w:w="4390" w:type="dxa"/>
            <w:shd w:val="clear" w:color="auto" w:fill="F2F2F2" w:themeFill="background1" w:themeFillShade="F2"/>
          </w:tcPr>
          <w:p w14:paraId="1D726CA0" w14:textId="32083ADA" w:rsidR="005C1253" w:rsidRPr="00F52CFE" w:rsidRDefault="005C1253" w:rsidP="00F52CFE">
            <w:pPr>
              <w:pStyle w:val="TableContent"/>
              <w:rPr>
                <w:b/>
                <w:bCs/>
                <w:sz w:val="24"/>
              </w:rPr>
            </w:pPr>
            <w:r w:rsidRPr="00F52CFE">
              <w:rPr>
                <w:b/>
                <w:bCs/>
                <w:sz w:val="24"/>
              </w:rPr>
              <w:t xml:space="preserve">Three </w:t>
            </w:r>
            <w:r w:rsidR="00D71E5A">
              <w:rPr>
                <w:b/>
                <w:bCs/>
                <w:sz w:val="24"/>
              </w:rPr>
              <w:t>a</w:t>
            </w:r>
            <w:r w:rsidRPr="00F52CFE">
              <w:rPr>
                <w:b/>
                <w:bCs/>
                <w:sz w:val="24"/>
              </w:rPr>
              <w:t xml:space="preserve">sset </w:t>
            </w:r>
            <w:r w:rsidR="00D71E5A">
              <w:rPr>
                <w:b/>
                <w:bCs/>
                <w:sz w:val="24"/>
              </w:rPr>
              <w:t>c</w:t>
            </w:r>
            <w:r w:rsidRPr="00F52CFE">
              <w:rPr>
                <w:b/>
                <w:bCs/>
                <w:sz w:val="24"/>
              </w:rPr>
              <w:t>lasses</w:t>
            </w:r>
          </w:p>
        </w:tc>
        <w:tc>
          <w:tcPr>
            <w:tcW w:w="9497" w:type="dxa"/>
            <w:shd w:val="clear" w:color="auto" w:fill="F2F2F2" w:themeFill="background1" w:themeFillShade="F2"/>
          </w:tcPr>
          <w:p w14:paraId="49BE089F" w14:textId="77777777" w:rsidR="005C1253" w:rsidRPr="00F52CFE" w:rsidRDefault="005C1253" w:rsidP="00F52CFE">
            <w:pPr>
              <w:pStyle w:val="TableContent"/>
              <w:rPr>
                <w:b/>
                <w:bCs/>
                <w:sz w:val="24"/>
              </w:rPr>
            </w:pPr>
            <w:r w:rsidRPr="00F52CFE">
              <w:rPr>
                <w:b/>
                <w:bCs/>
                <w:sz w:val="24"/>
              </w:rPr>
              <w:t>LG (FM) Regs, regulation 17A</w:t>
            </w:r>
          </w:p>
        </w:tc>
      </w:tr>
      <w:tr w:rsidR="005C1253" w:rsidRPr="000049AB" w14:paraId="0EBF398C" w14:textId="77777777" w:rsidTr="00611207">
        <w:tc>
          <w:tcPr>
            <w:tcW w:w="4390" w:type="dxa"/>
            <w:vMerge w:val="restart"/>
          </w:tcPr>
          <w:p w14:paraId="132CE787" w14:textId="77777777" w:rsidR="005C1253" w:rsidRPr="00F52CFE" w:rsidRDefault="005C1253" w:rsidP="00F52CFE">
            <w:pPr>
              <w:pStyle w:val="TableContent"/>
              <w:rPr>
                <w:sz w:val="24"/>
              </w:rPr>
            </w:pPr>
            <w:r w:rsidRPr="00F52CFE">
              <w:rPr>
                <w:sz w:val="24"/>
              </w:rPr>
              <w:t>Land and buildings</w:t>
            </w:r>
          </w:p>
          <w:p w14:paraId="3CBACF8E" w14:textId="77777777" w:rsidR="005C1253" w:rsidRPr="00F52CFE" w:rsidRDefault="005C1253" w:rsidP="00F52CFE">
            <w:pPr>
              <w:pStyle w:val="TableContent"/>
              <w:rPr>
                <w:sz w:val="24"/>
              </w:rPr>
            </w:pPr>
            <w:r w:rsidRPr="00F52CFE">
              <w:rPr>
                <w:sz w:val="24"/>
              </w:rPr>
              <w:t xml:space="preserve">Infrastructure </w:t>
            </w:r>
          </w:p>
          <w:p w14:paraId="65B94630" w14:textId="77777777" w:rsidR="005C1253" w:rsidRPr="00F52CFE" w:rsidRDefault="005C1253" w:rsidP="00F52CFE">
            <w:pPr>
              <w:pStyle w:val="TableContent"/>
              <w:rPr>
                <w:sz w:val="24"/>
              </w:rPr>
            </w:pPr>
            <w:r w:rsidRPr="00F52CFE">
              <w:rPr>
                <w:sz w:val="24"/>
              </w:rPr>
              <w:t>Local government controlled vested improvements</w:t>
            </w:r>
          </w:p>
          <w:p w14:paraId="0FC683D8" w14:textId="77777777" w:rsidR="005C1253" w:rsidRPr="00F52CFE" w:rsidRDefault="005C1253" w:rsidP="00F52CFE">
            <w:pPr>
              <w:pStyle w:val="TableContent"/>
              <w:rPr>
                <w:sz w:val="24"/>
              </w:rPr>
            </w:pPr>
            <w:r w:rsidRPr="00F52CFE">
              <w:rPr>
                <w:sz w:val="24"/>
              </w:rPr>
              <w:t>Investment property</w:t>
            </w:r>
          </w:p>
          <w:p w14:paraId="4DBCB83B" w14:textId="77777777" w:rsidR="005C1253" w:rsidRPr="00F52CFE" w:rsidRDefault="005C1253" w:rsidP="00F52CFE">
            <w:pPr>
              <w:pStyle w:val="TableContent"/>
              <w:rPr>
                <w:sz w:val="24"/>
              </w:rPr>
            </w:pPr>
          </w:p>
          <w:p w14:paraId="5BF48334" w14:textId="77777777" w:rsidR="005C1253" w:rsidRPr="00F52CFE" w:rsidRDefault="005C1253" w:rsidP="00F52CFE">
            <w:pPr>
              <w:pStyle w:val="TableContent"/>
              <w:rPr>
                <w:sz w:val="24"/>
              </w:rPr>
            </w:pPr>
            <w:r w:rsidRPr="00F52CFE">
              <w:rPr>
                <w:sz w:val="24"/>
              </w:rPr>
              <w:t>(Collectively referred to as 17A(2)(</w:t>
            </w:r>
            <w:proofErr w:type="gramStart"/>
            <w:r w:rsidRPr="00F52CFE">
              <w:rPr>
                <w:sz w:val="24"/>
              </w:rPr>
              <w:t>a)Assets</w:t>
            </w:r>
            <w:proofErr w:type="gramEnd"/>
            <w:r w:rsidRPr="00F52CFE">
              <w:rPr>
                <w:sz w:val="24"/>
              </w:rPr>
              <w:t>)</w:t>
            </w:r>
          </w:p>
        </w:tc>
        <w:tc>
          <w:tcPr>
            <w:tcW w:w="9497" w:type="dxa"/>
          </w:tcPr>
          <w:p w14:paraId="4E5A3E94" w14:textId="77777777" w:rsidR="005C1253" w:rsidRPr="00F52CFE" w:rsidRDefault="005C1253" w:rsidP="00F52CFE">
            <w:pPr>
              <w:pStyle w:val="TableContent"/>
              <w:rPr>
                <w:sz w:val="24"/>
              </w:rPr>
            </w:pPr>
            <w:r w:rsidRPr="00F52CFE">
              <w:rPr>
                <w:sz w:val="24"/>
              </w:rPr>
              <w:t xml:space="preserve">Disclose ‘reportable value’ in the annual financial report. </w:t>
            </w:r>
          </w:p>
          <w:p w14:paraId="771F81B0" w14:textId="77777777" w:rsidR="005C1253" w:rsidRPr="00F52CFE" w:rsidRDefault="005C1253" w:rsidP="00F52CFE">
            <w:pPr>
              <w:pStyle w:val="TableContent"/>
              <w:rPr>
                <w:sz w:val="24"/>
              </w:rPr>
            </w:pPr>
            <w:r w:rsidRPr="00F52CFE">
              <w:rPr>
                <w:sz w:val="24"/>
              </w:rPr>
              <w:t>[Regulation 17A(2)(a)]</w:t>
            </w:r>
          </w:p>
        </w:tc>
      </w:tr>
      <w:tr w:rsidR="005C1253" w:rsidRPr="000049AB" w14:paraId="26637C55" w14:textId="77777777" w:rsidTr="00611207">
        <w:tc>
          <w:tcPr>
            <w:tcW w:w="4390" w:type="dxa"/>
            <w:vMerge/>
          </w:tcPr>
          <w:p w14:paraId="590F6608" w14:textId="77777777" w:rsidR="005C1253" w:rsidRPr="00F52CFE" w:rsidRDefault="005C1253" w:rsidP="00F52CFE">
            <w:pPr>
              <w:pStyle w:val="TableContent"/>
              <w:rPr>
                <w:sz w:val="24"/>
              </w:rPr>
            </w:pPr>
          </w:p>
        </w:tc>
        <w:tc>
          <w:tcPr>
            <w:tcW w:w="9497" w:type="dxa"/>
          </w:tcPr>
          <w:p w14:paraId="3ECA2742" w14:textId="77777777" w:rsidR="005C1253" w:rsidRPr="00F52CFE" w:rsidRDefault="005C1253" w:rsidP="00F52CFE">
            <w:pPr>
              <w:pStyle w:val="TableContent"/>
              <w:rPr>
                <w:sz w:val="24"/>
              </w:rPr>
            </w:pPr>
            <w:r w:rsidRPr="00F52CFE">
              <w:rPr>
                <w:sz w:val="24"/>
              </w:rPr>
              <w:t>‘Reportable value’ is the fair value of the asset at its last valuation date minus accumulated:</w:t>
            </w:r>
          </w:p>
          <w:p w14:paraId="6C50ED75" w14:textId="77777777" w:rsidR="005C1253" w:rsidRPr="00F52CFE" w:rsidRDefault="005C1253">
            <w:pPr>
              <w:pStyle w:val="TableContent"/>
              <w:numPr>
                <w:ilvl w:val="0"/>
                <w:numId w:val="24"/>
              </w:numPr>
              <w:rPr>
                <w:i/>
                <w:iCs/>
                <w:sz w:val="24"/>
              </w:rPr>
            </w:pPr>
            <w:r w:rsidRPr="00F52CFE">
              <w:rPr>
                <w:sz w:val="24"/>
              </w:rPr>
              <w:t xml:space="preserve">depreciation after the last valuation date; and </w:t>
            </w:r>
          </w:p>
          <w:p w14:paraId="77B2A394" w14:textId="77777777" w:rsidR="005C1253" w:rsidRPr="00F52CFE" w:rsidRDefault="005C1253">
            <w:pPr>
              <w:pStyle w:val="TableContent"/>
              <w:numPr>
                <w:ilvl w:val="0"/>
                <w:numId w:val="24"/>
              </w:numPr>
              <w:rPr>
                <w:i/>
                <w:iCs/>
                <w:sz w:val="24"/>
              </w:rPr>
            </w:pPr>
            <w:r w:rsidRPr="00F52CFE">
              <w:rPr>
                <w:sz w:val="24"/>
              </w:rPr>
              <w:t>impairment losses after the last valuation date.</w:t>
            </w:r>
          </w:p>
          <w:p w14:paraId="1B3A4B32" w14:textId="77777777" w:rsidR="005C1253" w:rsidRPr="00F52CFE" w:rsidRDefault="005C1253" w:rsidP="00F52CFE">
            <w:pPr>
              <w:pStyle w:val="TableContent"/>
              <w:rPr>
                <w:sz w:val="24"/>
              </w:rPr>
            </w:pPr>
            <w:r w:rsidRPr="00F52CFE">
              <w:rPr>
                <w:sz w:val="24"/>
              </w:rPr>
              <w:t>[Regulation 17</w:t>
            </w:r>
            <w:proofErr w:type="gramStart"/>
            <w:r w:rsidRPr="00F52CFE">
              <w:rPr>
                <w:sz w:val="24"/>
              </w:rPr>
              <w:t>A(</w:t>
            </w:r>
            <w:proofErr w:type="gramEnd"/>
            <w:r w:rsidRPr="00F52CFE">
              <w:rPr>
                <w:sz w:val="24"/>
              </w:rPr>
              <w:t>4)]</w:t>
            </w:r>
          </w:p>
        </w:tc>
      </w:tr>
      <w:tr w:rsidR="005C1253" w:rsidRPr="000049AB" w14:paraId="3FEC723D" w14:textId="77777777" w:rsidTr="00611207">
        <w:tc>
          <w:tcPr>
            <w:tcW w:w="4390" w:type="dxa"/>
            <w:vMerge/>
          </w:tcPr>
          <w:p w14:paraId="51A58113" w14:textId="77777777" w:rsidR="005C1253" w:rsidRPr="00F52CFE" w:rsidRDefault="005C1253" w:rsidP="00F52CFE">
            <w:pPr>
              <w:pStyle w:val="TableContent"/>
              <w:rPr>
                <w:sz w:val="24"/>
              </w:rPr>
            </w:pPr>
          </w:p>
        </w:tc>
        <w:tc>
          <w:tcPr>
            <w:tcW w:w="9497" w:type="dxa"/>
          </w:tcPr>
          <w:p w14:paraId="55559895" w14:textId="77777777" w:rsidR="005C1253" w:rsidRPr="00F52CFE" w:rsidRDefault="005C1253" w:rsidP="00F52CFE">
            <w:pPr>
              <w:pStyle w:val="TableContent"/>
              <w:rPr>
                <w:sz w:val="24"/>
              </w:rPr>
            </w:pPr>
            <w:r w:rsidRPr="00F52CFE">
              <w:rPr>
                <w:sz w:val="24"/>
              </w:rPr>
              <w:t>Revalue investment property whenever required under AASB 140 Investment Property (2022) and in any event once every 5 years.</w:t>
            </w:r>
          </w:p>
          <w:p w14:paraId="4FCB6E6F" w14:textId="77777777" w:rsidR="005C1253" w:rsidRPr="00F52CFE" w:rsidRDefault="005C1253" w:rsidP="00F52CFE">
            <w:pPr>
              <w:pStyle w:val="TableContent"/>
              <w:rPr>
                <w:sz w:val="24"/>
              </w:rPr>
            </w:pPr>
            <w:r w:rsidRPr="00F52CFE">
              <w:rPr>
                <w:sz w:val="24"/>
              </w:rPr>
              <w:t>Revalue other 17A(2)(a) Assets once every 5 years.</w:t>
            </w:r>
          </w:p>
          <w:p w14:paraId="4A587E27" w14:textId="77777777" w:rsidR="005C1253" w:rsidRPr="00F52CFE" w:rsidRDefault="005C1253" w:rsidP="00F52CFE">
            <w:pPr>
              <w:pStyle w:val="TableContent"/>
              <w:rPr>
                <w:sz w:val="24"/>
              </w:rPr>
            </w:pPr>
            <w:r w:rsidRPr="00F52CFE">
              <w:rPr>
                <w:sz w:val="24"/>
              </w:rPr>
              <w:t>[Regulation 17A(4A)]</w:t>
            </w:r>
          </w:p>
        </w:tc>
      </w:tr>
      <w:tr w:rsidR="005C1253" w:rsidRPr="000049AB" w14:paraId="278A4EEB" w14:textId="77777777" w:rsidTr="00611207">
        <w:tc>
          <w:tcPr>
            <w:tcW w:w="4390" w:type="dxa"/>
            <w:vMerge/>
          </w:tcPr>
          <w:p w14:paraId="6CE7605B" w14:textId="77777777" w:rsidR="005C1253" w:rsidRPr="00F52CFE" w:rsidRDefault="005C1253" w:rsidP="00F52CFE">
            <w:pPr>
              <w:pStyle w:val="TableContent"/>
              <w:rPr>
                <w:sz w:val="24"/>
              </w:rPr>
            </w:pPr>
          </w:p>
        </w:tc>
        <w:tc>
          <w:tcPr>
            <w:tcW w:w="9497" w:type="dxa"/>
          </w:tcPr>
          <w:p w14:paraId="036866DE" w14:textId="77777777" w:rsidR="005C1253" w:rsidRPr="00F52CFE" w:rsidRDefault="005C1253" w:rsidP="00F52CFE">
            <w:pPr>
              <w:pStyle w:val="TableContent"/>
              <w:rPr>
                <w:sz w:val="24"/>
              </w:rPr>
            </w:pPr>
            <w:r w:rsidRPr="00F52CFE">
              <w:rPr>
                <w:sz w:val="24"/>
              </w:rPr>
              <w:t xml:space="preserve">Revalue 17A(2(a) Assets more often if the local government chooses to do so. </w:t>
            </w:r>
          </w:p>
          <w:p w14:paraId="573F0406" w14:textId="77777777" w:rsidR="005C1253" w:rsidRPr="00F52CFE" w:rsidRDefault="005C1253" w:rsidP="00F52CFE">
            <w:pPr>
              <w:pStyle w:val="TableContent"/>
              <w:rPr>
                <w:sz w:val="24"/>
              </w:rPr>
            </w:pPr>
            <w:r w:rsidRPr="00F52CFE">
              <w:rPr>
                <w:sz w:val="24"/>
              </w:rPr>
              <w:t>[Regulation 17A(4B)]</w:t>
            </w:r>
          </w:p>
        </w:tc>
      </w:tr>
      <w:tr w:rsidR="005C1253" w:rsidRPr="000049AB" w14:paraId="49C4DD1C" w14:textId="77777777" w:rsidTr="00611207">
        <w:tc>
          <w:tcPr>
            <w:tcW w:w="4390" w:type="dxa"/>
            <w:vMerge/>
          </w:tcPr>
          <w:p w14:paraId="00026711" w14:textId="77777777" w:rsidR="005C1253" w:rsidRPr="00F52CFE" w:rsidRDefault="005C1253" w:rsidP="00F52CFE">
            <w:pPr>
              <w:pStyle w:val="TableContent"/>
              <w:rPr>
                <w:sz w:val="24"/>
                <w:highlight w:val="yellow"/>
              </w:rPr>
            </w:pPr>
          </w:p>
        </w:tc>
        <w:tc>
          <w:tcPr>
            <w:tcW w:w="9497" w:type="dxa"/>
          </w:tcPr>
          <w:p w14:paraId="7738948B" w14:textId="77777777" w:rsidR="005C1253" w:rsidRPr="00F52CFE" w:rsidRDefault="005C1253" w:rsidP="00F52CFE">
            <w:pPr>
              <w:pStyle w:val="TableContent"/>
              <w:rPr>
                <w:sz w:val="24"/>
              </w:rPr>
            </w:pPr>
            <w:r w:rsidRPr="00F52CFE">
              <w:rPr>
                <w:sz w:val="24"/>
              </w:rPr>
              <w:t>Only determine the recoverable amounts of 17A(2)(a) Assets</w:t>
            </w:r>
            <w:r w:rsidRPr="00F52CFE">
              <w:rPr>
                <w:i/>
                <w:iCs/>
                <w:sz w:val="24"/>
              </w:rPr>
              <w:t xml:space="preserve"> </w:t>
            </w:r>
            <w:r w:rsidRPr="00F52CFE">
              <w:rPr>
                <w:sz w:val="24"/>
              </w:rPr>
              <w:t>when</w:t>
            </w:r>
            <w:r w:rsidRPr="00F52CFE">
              <w:rPr>
                <w:i/>
                <w:iCs/>
                <w:sz w:val="24"/>
              </w:rPr>
              <w:t xml:space="preserve"> </w:t>
            </w:r>
            <w:r w:rsidRPr="00F52CFE">
              <w:rPr>
                <w:sz w:val="24"/>
              </w:rPr>
              <w:t>an impairment indicator other than ‘a general decrease in asset values’ exists.</w:t>
            </w:r>
          </w:p>
          <w:p w14:paraId="50A7A07E" w14:textId="77777777" w:rsidR="005C1253" w:rsidRPr="00F52CFE" w:rsidRDefault="005C1253" w:rsidP="00F52CFE">
            <w:pPr>
              <w:pStyle w:val="TableContent"/>
              <w:rPr>
                <w:sz w:val="24"/>
              </w:rPr>
            </w:pPr>
            <w:r w:rsidRPr="00F52CFE">
              <w:rPr>
                <w:sz w:val="24"/>
              </w:rPr>
              <w:t>[Regulation 17A(4C)]</w:t>
            </w:r>
          </w:p>
        </w:tc>
      </w:tr>
    </w:tbl>
    <w:p w14:paraId="68ED0774" w14:textId="77777777" w:rsidR="00D51F10" w:rsidRDefault="00D51F10">
      <w:r>
        <w:br w:type="page"/>
      </w:r>
    </w:p>
    <w:tbl>
      <w:tblPr>
        <w:tblStyle w:val="TableGrid"/>
        <w:tblW w:w="13887" w:type="dxa"/>
        <w:tblLook w:val="04A0" w:firstRow="1" w:lastRow="0" w:firstColumn="1" w:lastColumn="0" w:noHBand="0" w:noVBand="1"/>
      </w:tblPr>
      <w:tblGrid>
        <w:gridCol w:w="4390"/>
        <w:gridCol w:w="9497"/>
      </w:tblGrid>
      <w:tr w:rsidR="005C1253" w:rsidRPr="000049AB" w14:paraId="24AC0DAB" w14:textId="77777777" w:rsidTr="00611207">
        <w:tc>
          <w:tcPr>
            <w:tcW w:w="4390" w:type="dxa"/>
          </w:tcPr>
          <w:p w14:paraId="2063651F" w14:textId="3DE72E6E" w:rsidR="005C1253" w:rsidRPr="00F52CFE" w:rsidRDefault="005C1253" w:rsidP="00F52CFE">
            <w:pPr>
              <w:pStyle w:val="TableContent"/>
              <w:rPr>
                <w:sz w:val="24"/>
              </w:rPr>
            </w:pPr>
            <w:r w:rsidRPr="00F52CFE">
              <w:rPr>
                <w:sz w:val="24"/>
              </w:rPr>
              <w:lastRenderedPageBreak/>
              <w:t xml:space="preserve">Plant and equipment </w:t>
            </w:r>
          </w:p>
          <w:p w14:paraId="202B29F5" w14:textId="77777777" w:rsidR="005C1253" w:rsidRPr="00F52CFE" w:rsidRDefault="005C1253" w:rsidP="00F52CFE">
            <w:pPr>
              <w:pStyle w:val="TableContent"/>
              <w:rPr>
                <w:sz w:val="24"/>
              </w:rPr>
            </w:pPr>
          </w:p>
        </w:tc>
        <w:tc>
          <w:tcPr>
            <w:tcW w:w="9497" w:type="dxa"/>
          </w:tcPr>
          <w:p w14:paraId="32F571B9" w14:textId="77777777" w:rsidR="005C1253" w:rsidRPr="00F52CFE" w:rsidRDefault="005C1253" w:rsidP="00F52CFE">
            <w:pPr>
              <w:pStyle w:val="TableContent"/>
              <w:rPr>
                <w:sz w:val="24"/>
              </w:rPr>
            </w:pPr>
            <w:r w:rsidRPr="00F52CFE">
              <w:rPr>
                <w:sz w:val="24"/>
              </w:rPr>
              <w:t xml:space="preserve">Disclose the carrying amount of the asset measured using the cost model in accordance with AAS. </w:t>
            </w:r>
          </w:p>
          <w:p w14:paraId="0D189842" w14:textId="77777777" w:rsidR="005C1253" w:rsidRPr="00F52CFE" w:rsidRDefault="005C1253" w:rsidP="00F52CFE">
            <w:pPr>
              <w:pStyle w:val="TableContent"/>
              <w:rPr>
                <w:sz w:val="24"/>
              </w:rPr>
            </w:pPr>
            <w:r w:rsidRPr="00F52CFE">
              <w:rPr>
                <w:sz w:val="24"/>
              </w:rPr>
              <w:t xml:space="preserve">[Regulation 17A(2)(b)] </w:t>
            </w:r>
          </w:p>
          <w:p w14:paraId="0395CB7C" w14:textId="77777777" w:rsidR="005C1253" w:rsidRPr="00F52CFE" w:rsidRDefault="005C1253" w:rsidP="00F52CFE">
            <w:pPr>
              <w:pStyle w:val="TableContent"/>
              <w:rPr>
                <w:sz w:val="24"/>
              </w:rPr>
            </w:pPr>
            <w:r w:rsidRPr="00F52CFE">
              <w:rPr>
                <w:sz w:val="24"/>
              </w:rPr>
              <w:t>Regulations 17A(4</w:t>
            </w:r>
            <w:proofErr w:type="gramStart"/>
            <w:r w:rsidRPr="00F52CFE">
              <w:rPr>
                <w:sz w:val="24"/>
              </w:rPr>
              <w:t>),(</w:t>
            </w:r>
            <w:proofErr w:type="gramEnd"/>
            <w:r w:rsidRPr="00F52CFE">
              <w:rPr>
                <w:sz w:val="24"/>
              </w:rPr>
              <w:t>4A</w:t>
            </w:r>
            <w:proofErr w:type="gramStart"/>
            <w:r w:rsidRPr="00F52CFE">
              <w:rPr>
                <w:sz w:val="24"/>
              </w:rPr>
              <w:t>),(</w:t>
            </w:r>
            <w:proofErr w:type="gramEnd"/>
            <w:r w:rsidRPr="00F52CFE">
              <w:rPr>
                <w:sz w:val="24"/>
              </w:rPr>
              <w:t>4B) and (4C) do not apply to this asset category.</w:t>
            </w:r>
          </w:p>
        </w:tc>
      </w:tr>
      <w:tr w:rsidR="005C1253" w:rsidRPr="000049AB" w14:paraId="68412C6D" w14:textId="77777777" w:rsidTr="00611207">
        <w:tc>
          <w:tcPr>
            <w:tcW w:w="4390" w:type="dxa"/>
          </w:tcPr>
          <w:p w14:paraId="779526BE" w14:textId="77777777" w:rsidR="005C1253" w:rsidRPr="00F52CFE" w:rsidRDefault="005C1253" w:rsidP="00F52CFE">
            <w:pPr>
              <w:pStyle w:val="TableContent"/>
              <w:rPr>
                <w:sz w:val="24"/>
              </w:rPr>
            </w:pPr>
            <w:r w:rsidRPr="00F52CFE">
              <w:rPr>
                <w:sz w:val="24"/>
              </w:rPr>
              <w:t>Right of use assets (not vested improvements referred to above)</w:t>
            </w:r>
          </w:p>
        </w:tc>
        <w:tc>
          <w:tcPr>
            <w:tcW w:w="9497" w:type="dxa"/>
          </w:tcPr>
          <w:p w14:paraId="2FFC4E1F" w14:textId="77777777" w:rsidR="005C1253" w:rsidRPr="00F52CFE" w:rsidRDefault="005C1253" w:rsidP="00F52CFE">
            <w:pPr>
              <w:pStyle w:val="TableContent"/>
              <w:rPr>
                <w:sz w:val="24"/>
              </w:rPr>
            </w:pPr>
            <w:r w:rsidRPr="00F52CFE">
              <w:rPr>
                <w:sz w:val="24"/>
              </w:rPr>
              <w:t xml:space="preserve">Disclose the carrying amount of the asset measured using the cost model in accordance with AAS. </w:t>
            </w:r>
          </w:p>
          <w:p w14:paraId="7D4DC1EA" w14:textId="77777777" w:rsidR="005C1253" w:rsidRPr="00F52CFE" w:rsidRDefault="005C1253" w:rsidP="00F52CFE">
            <w:pPr>
              <w:pStyle w:val="TableContent"/>
              <w:rPr>
                <w:sz w:val="24"/>
              </w:rPr>
            </w:pPr>
            <w:r w:rsidRPr="00F52CFE">
              <w:rPr>
                <w:sz w:val="24"/>
              </w:rPr>
              <w:t>[Regulation 17A(2)(c)]</w:t>
            </w:r>
          </w:p>
          <w:p w14:paraId="2B15393A" w14:textId="78FB4F68" w:rsidR="00940115" w:rsidRPr="00F52CFE" w:rsidRDefault="005C1253" w:rsidP="00F52CFE">
            <w:pPr>
              <w:pStyle w:val="TableContent"/>
              <w:rPr>
                <w:sz w:val="24"/>
              </w:rPr>
            </w:pPr>
            <w:r w:rsidRPr="00F52CFE">
              <w:rPr>
                <w:sz w:val="24"/>
              </w:rPr>
              <w:t>Regulations 17A(4</w:t>
            </w:r>
            <w:proofErr w:type="gramStart"/>
            <w:r w:rsidRPr="00F52CFE">
              <w:rPr>
                <w:sz w:val="24"/>
              </w:rPr>
              <w:t>),(</w:t>
            </w:r>
            <w:proofErr w:type="gramEnd"/>
            <w:r w:rsidRPr="00F52CFE">
              <w:rPr>
                <w:sz w:val="24"/>
              </w:rPr>
              <w:t>4A</w:t>
            </w:r>
            <w:proofErr w:type="gramStart"/>
            <w:r w:rsidRPr="00F52CFE">
              <w:rPr>
                <w:sz w:val="24"/>
              </w:rPr>
              <w:t>),(</w:t>
            </w:r>
            <w:proofErr w:type="gramEnd"/>
            <w:r w:rsidRPr="00F52CFE">
              <w:rPr>
                <w:sz w:val="24"/>
              </w:rPr>
              <w:t>4B) and (4C) do not apply to this asset category.</w:t>
            </w:r>
          </w:p>
        </w:tc>
      </w:tr>
      <w:tr w:rsidR="005C1253" w:rsidRPr="000049AB" w14:paraId="5E354809" w14:textId="77777777" w:rsidTr="00611207">
        <w:tc>
          <w:tcPr>
            <w:tcW w:w="4390" w:type="dxa"/>
          </w:tcPr>
          <w:p w14:paraId="275240F1" w14:textId="77777777" w:rsidR="005C1253" w:rsidRPr="00F52CFE" w:rsidRDefault="005C1253" w:rsidP="00F52CFE">
            <w:pPr>
              <w:pStyle w:val="TableContent"/>
              <w:rPr>
                <w:sz w:val="24"/>
              </w:rPr>
            </w:pPr>
            <w:r w:rsidRPr="00F52CFE">
              <w:rPr>
                <w:sz w:val="24"/>
              </w:rPr>
              <w:t>Items of expenditure</w:t>
            </w:r>
          </w:p>
        </w:tc>
        <w:tc>
          <w:tcPr>
            <w:tcW w:w="9497" w:type="dxa"/>
          </w:tcPr>
          <w:p w14:paraId="1992343F" w14:textId="77777777" w:rsidR="005C1253" w:rsidRPr="00F52CFE" w:rsidRDefault="005C1253" w:rsidP="00F52CFE">
            <w:pPr>
              <w:pStyle w:val="TableContent"/>
              <w:rPr>
                <w:sz w:val="24"/>
              </w:rPr>
            </w:pPr>
            <w:r w:rsidRPr="00F52CFE">
              <w:rPr>
                <w:sz w:val="24"/>
              </w:rPr>
              <w:t>Non-financial assets under $5,000.</w:t>
            </w:r>
          </w:p>
          <w:p w14:paraId="18EB0E6F" w14:textId="77777777" w:rsidR="005C1253" w:rsidRPr="00F52CFE" w:rsidRDefault="005C1253" w:rsidP="00F52CFE">
            <w:pPr>
              <w:pStyle w:val="TableContent"/>
              <w:rPr>
                <w:sz w:val="24"/>
              </w:rPr>
            </w:pPr>
            <w:r w:rsidRPr="00F52CFE">
              <w:rPr>
                <w:sz w:val="24"/>
              </w:rPr>
              <w:t>Exclude from the assets of the local government if its fair value at the acquisition date was less than $5,000.</w:t>
            </w:r>
          </w:p>
          <w:p w14:paraId="0C957EFC" w14:textId="77777777" w:rsidR="005C1253" w:rsidRPr="00F52CFE" w:rsidRDefault="005C1253" w:rsidP="00F52CFE">
            <w:pPr>
              <w:pStyle w:val="TableContent"/>
              <w:rPr>
                <w:sz w:val="24"/>
              </w:rPr>
            </w:pPr>
            <w:r w:rsidRPr="00F52CFE">
              <w:rPr>
                <w:sz w:val="24"/>
              </w:rPr>
              <w:t>[Regulation 17</w:t>
            </w:r>
            <w:proofErr w:type="gramStart"/>
            <w:r w:rsidRPr="00F52CFE">
              <w:rPr>
                <w:sz w:val="24"/>
              </w:rPr>
              <w:t>A(</w:t>
            </w:r>
            <w:proofErr w:type="gramEnd"/>
            <w:r w:rsidRPr="00F52CFE">
              <w:rPr>
                <w:sz w:val="24"/>
              </w:rPr>
              <w:t>5)]</w:t>
            </w:r>
          </w:p>
        </w:tc>
      </w:tr>
    </w:tbl>
    <w:p w14:paraId="6A05B477" w14:textId="3479F07D" w:rsidR="004D07D2" w:rsidRDefault="004D07D2">
      <w:pPr>
        <w:spacing w:after="0" w:line="240" w:lineRule="auto"/>
        <w:rPr>
          <w:rFonts w:cs="Arial"/>
          <w:lang w:val="en-GB"/>
        </w:rPr>
      </w:pPr>
    </w:p>
    <w:p w14:paraId="07F3F288" w14:textId="77777777" w:rsidR="00D42912" w:rsidRDefault="00D42912">
      <w:pPr>
        <w:spacing w:after="0" w:line="240" w:lineRule="auto"/>
        <w:sectPr w:rsidR="00D42912" w:rsidSect="00BD7B55">
          <w:footerReference w:type="default" r:id="rId18"/>
          <w:pgSz w:w="16840" w:h="11900" w:orient="landscape" w:code="9"/>
          <w:pgMar w:top="1134" w:right="1985" w:bottom="1134" w:left="1134" w:header="567" w:footer="145" w:gutter="0"/>
          <w:cols w:space="567"/>
          <w:docGrid w:linePitch="326"/>
        </w:sectPr>
      </w:pPr>
    </w:p>
    <w:p w14:paraId="67021520" w14:textId="77777777" w:rsidR="00A05B58" w:rsidRPr="000049AB" w:rsidRDefault="00A05B58" w:rsidP="00A05B58">
      <w:pPr>
        <w:pStyle w:val="Heading2"/>
        <w:rPr>
          <w:b w:val="0"/>
          <w:bCs w:val="0"/>
        </w:rPr>
      </w:pPr>
      <w:bookmarkStart w:id="33" w:name="_Toc207722727"/>
      <w:bookmarkStart w:id="34" w:name="_Toc223445060"/>
      <w:r w:rsidRPr="000049AB">
        <w:lastRenderedPageBreak/>
        <w:t>Summary of fair value measurement for WA</w:t>
      </w:r>
      <w:bookmarkEnd w:id="33"/>
      <w:bookmarkEnd w:id="34"/>
    </w:p>
    <w:p w14:paraId="55F153A6" w14:textId="77777777" w:rsidR="00A05B58" w:rsidRPr="006A3036" w:rsidRDefault="00A05B58" w:rsidP="00D70B5C">
      <w:pPr>
        <w:pStyle w:val="BodyText"/>
        <w:rPr>
          <w:b/>
          <w:bCs/>
        </w:rPr>
      </w:pPr>
      <w:r w:rsidRPr="000049AB">
        <w:t xml:space="preserve">The practical application of AASB 13 Fair Value Measurement (2022) to the valuation of land is as follows: </w:t>
      </w:r>
    </w:p>
    <w:tbl>
      <w:tblPr>
        <w:tblStyle w:val="TableGrid"/>
        <w:tblW w:w="0" w:type="auto"/>
        <w:tblLook w:val="04A0" w:firstRow="1" w:lastRow="0" w:firstColumn="1" w:lastColumn="0" w:noHBand="0" w:noVBand="1"/>
      </w:tblPr>
      <w:tblGrid>
        <w:gridCol w:w="3428"/>
        <w:gridCol w:w="3426"/>
        <w:gridCol w:w="3428"/>
        <w:gridCol w:w="3429"/>
      </w:tblGrid>
      <w:tr w:rsidR="00A05B58" w:rsidRPr="006A3036" w14:paraId="7FA994C7" w14:textId="77777777">
        <w:tc>
          <w:tcPr>
            <w:tcW w:w="3487" w:type="dxa"/>
            <w:tcBorders>
              <w:bottom w:val="single" w:sz="4" w:space="0" w:color="auto"/>
            </w:tcBorders>
            <w:shd w:val="clear" w:color="auto" w:fill="F2F2F2" w:themeFill="background1" w:themeFillShade="F2"/>
          </w:tcPr>
          <w:p w14:paraId="2622FE25" w14:textId="77777777" w:rsidR="00A05B58" w:rsidRPr="006A3036" w:rsidRDefault="00A05B58" w:rsidP="00F67E71">
            <w:pPr>
              <w:pStyle w:val="TableContent"/>
              <w:jc w:val="both"/>
              <w:rPr>
                <w:b/>
                <w:bCs/>
                <w:sz w:val="24"/>
              </w:rPr>
            </w:pPr>
            <w:r w:rsidRPr="006A3036">
              <w:rPr>
                <w:b/>
                <w:bCs/>
                <w:sz w:val="24"/>
              </w:rPr>
              <w:t>Land</w:t>
            </w:r>
          </w:p>
        </w:tc>
        <w:tc>
          <w:tcPr>
            <w:tcW w:w="3487" w:type="dxa"/>
            <w:tcBorders>
              <w:bottom w:val="single" w:sz="4" w:space="0" w:color="auto"/>
            </w:tcBorders>
            <w:shd w:val="clear" w:color="auto" w:fill="F2F2F2" w:themeFill="background1" w:themeFillShade="F2"/>
          </w:tcPr>
          <w:p w14:paraId="277C8811" w14:textId="64626100" w:rsidR="00A05B58" w:rsidRPr="006A3036" w:rsidRDefault="00A05B58" w:rsidP="00F67E71">
            <w:pPr>
              <w:pStyle w:val="TableContent"/>
              <w:jc w:val="both"/>
              <w:rPr>
                <w:b/>
                <w:bCs/>
                <w:sz w:val="24"/>
              </w:rPr>
            </w:pPr>
            <w:r w:rsidRPr="006A3036">
              <w:rPr>
                <w:b/>
                <w:bCs/>
                <w:sz w:val="24"/>
              </w:rPr>
              <w:t xml:space="preserve">Fair </w:t>
            </w:r>
            <w:r w:rsidR="00545D59">
              <w:rPr>
                <w:b/>
                <w:bCs/>
                <w:sz w:val="24"/>
              </w:rPr>
              <w:t>v</w:t>
            </w:r>
            <w:r w:rsidRPr="006A3036">
              <w:rPr>
                <w:b/>
                <w:bCs/>
                <w:sz w:val="24"/>
              </w:rPr>
              <w:t xml:space="preserve">alue </w:t>
            </w:r>
            <w:r w:rsidR="00545D59">
              <w:rPr>
                <w:b/>
                <w:bCs/>
                <w:sz w:val="24"/>
              </w:rPr>
              <w:t>h</w:t>
            </w:r>
            <w:r w:rsidRPr="006A3036">
              <w:rPr>
                <w:b/>
                <w:bCs/>
                <w:sz w:val="24"/>
              </w:rPr>
              <w:t>ierarchy</w:t>
            </w:r>
          </w:p>
        </w:tc>
        <w:tc>
          <w:tcPr>
            <w:tcW w:w="3487" w:type="dxa"/>
            <w:tcBorders>
              <w:bottom w:val="single" w:sz="4" w:space="0" w:color="auto"/>
            </w:tcBorders>
            <w:shd w:val="clear" w:color="auto" w:fill="F2F2F2" w:themeFill="background1" w:themeFillShade="F2"/>
          </w:tcPr>
          <w:p w14:paraId="6F7CB79C" w14:textId="2D302706" w:rsidR="00A05B58" w:rsidRPr="006A3036" w:rsidRDefault="00A05B58" w:rsidP="00F67E71">
            <w:pPr>
              <w:pStyle w:val="TableContent"/>
              <w:jc w:val="both"/>
              <w:rPr>
                <w:b/>
                <w:bCs/>
                <w:sz w:val="24"/>
              </w:rPr>
            </w:pPr>
            <w:r w:rsidRPr="006A3036">
              <w:rPr>
                <w:b/>
                <w:bCs/>
                <w:sz w:val="24"/>
              </w:rPr>
              <w:t xml:space="preserve">Valuation </w:t>
            </w:r>
            <w:r w:rsidR="00545D59">
              <w:rPr>
                <w:b/>
                <w:bCs/>
                <w:sz w:val="24"/>
              </w:rPr>
              <w:t>t</w:t>
            </w:r>
            <w:r w:rsidRPr="006A3036">
              <w:rPr>
                <w:b/>
                <w:bCs/>
                <w:sz w:val="24"/>
              </w:rPr>
              <w:t>echnique</w:t>
            </w:r>
          </w:p>
        </w:tc>
        <w:tc>
          <w:tcPr>
            <w:tcW w:w="3487" w:type="dxa"/>
            <w:tcBorders>
              <w:bottom w:val="single" w:sz="4" w:space="0" w:color="auto"/>
            </w:tcBorders>
            <w:shd w:val="clear" w:color="auto" w:fill="F2F2F2" w:themeFill="background1" w:themeFillShade="F2"/>
          </w:tcPr>
          <w:p w14:paraId="1E9CC7CC" w14:textId="77777777" w:rsidR="00A05B58" w:rsidRPr="006A3036" w:rsidRDefault="00A05B58" w:rsidP="00F67E71">
            <w:pPr>
              <w:pStyle w:val="TableContent"/>
              <w:jc w:val="both"/>
              <w:rPr>
                <w:b/>
                <w:bCs/>
                <w:sz w:val="24"/>
              </w:rPr>
            </w:pPr>
            <w:r w:rsidRPr="006A3036">
              <w:rPr>
                <w:b/>
                <w:bCs/>
                <w:sz w:val="24"/>
              </w:rPr>
              <w:t>Inputs</w:t>
            </w:r>
          </w:p>
        </w:tc>
      </w:tr>
      <w:tr w:rsidR="00A05B58" w:rsidRPr="000049AB" w14:paraId="73B1AD37" w14:textId="77777777">
        <w:tc>
          <w:tcPr>
            <w:tcW w:w="3487" w:type="dxa"/>
          </w:tcPr>
          <w:p w14:paraId="27BD94EC" w14:textId="77777777" w:rsidR="00A05B58" w:rsidRPr="006A3036" w:rsidRDefault="00A05B58" w:rsidP="000D1E76">
            <w:pPr>
              <w:pStyle w:val="TableContent"/>
              <w:rPr>
                <w:rFonts w:eastAsia="Calibri"/>
                <w:sz w:val="24"/>
              </w:rPr>
            </w:pPr>
            <w:r w:rsidRPr="006A3036">
              <w:rPr>
                <w:rFonts w:eastAsia="Calibri"/>
                <w:sz w:val="24"/>
              </w:rPr>
              <w:t>Land</w:t>
            </w:r>
          </w:p>
          <w:p w14:paraId="2F06FAAD" w14:textId="77777777" w:rsidR="00A05B58" w:rsidRPr="006A3036" w:rsidRDefault="00A05B58" w:rsidP="000D1E76">
            <w:pPr>
              <w:pStyle w:val="TableContent"/>
              <w:rPr>
                <w:rFonts w:eastAsia="Calibri"/>
                <w:sz w:val="24"/>
              </w:rPr>
            </w:pPr>
          </w:p>
        </w:tc>
        <w:tc>
          <w:tcPr>
            <w:tcW w:w="3487" w:type="dxa"/>
          </w:tcPr>
          <w:p w14:paraId="39CB89A0" w14:textId="77777777" w:rsidR="00A05B58" w:rsidRPr="006A3036" w:rsidRDefault="00A05B58" w:rsidP="000D1E76">
            <w:pPr>
              <w:pStyle w:val="TableContent"/>
              <w:rPr>
                <w:sz w:val="24"/>
              </w:rPr>
            </w:pPr>
            <w:r w:rsidRPr="006A3036">
              <w:rPr>
                <w:sz w:val="24"/>
              </w:rPr>
              <w:t>2</w:t>
            </w:r>
          </w:p>
        </w:tc>
        <w:tc>
          <w:tcPr>
            <w:tcW w:w="3487" w:type="dxa"/>
          </w:tcPr>
          <w:p w14:paraId="506BA39A" w14:textId="26E444EC" w:rsidR="00A05B58" w:rsidRPr="006A3036" w:rsidRDefault="00A05B58" w:rsidP="000D1E76">
            <w:pPr>
              <w:pStyle w:val="TableContent"/>
              <w:rPr>
                <w:rFonts w:eastAsia="Calibri"/>
                <w:sz w:val="24"/>
              </w:rPr>
            </w:pPr>
            <w:r w:rsidRPr="006A3036">
              <w:rPr>
                <w:rFonts w:eastAsia="Calibri"/>
                <w:sz w:val="24"/>
              </w:rPr>
              <w:t>Market approach using recent observable market data for similar properties</w:t>
            </w:r>
            <w:r w:rsidR="000D1E76">
              <w:rPr>
                <w:rFonts w:eastAsia="Calibri"/>
                <w:sz w:val="24"/>
              </w:rPr>
              <w:t>.</w:t>
            </w:r>
          </w:p>
        </w:tc>
        <w:tc>
          <w:tcPr>
            <w:tcW w:w="3487" w:type="dxa"/>
          </w:tcPr>
          <w:p w14:paraId="4C703B0A" w14:textId="6F0D5A45" w:rsidR="00A05B58" w:rsidRPr="006A3036" w:rsidRDefault="00A05B58" w:rsidP="000D1E76">
            <w:pPr>
              <w:pStyle w:val="TableContent"/>
              <w:rPr>
                <w:sz w:val="24"/>
              </w:rPr>
            </w:pPr>
            <w:r w:rsidRPr="006A3036">
              <w:rPr>
                <w:sz w:val="24"/>
              </w:rPr>
              <w:t>Price per square metre</w:t>
            </w:r>
            <w:r w:rsidR="000D1E76">
              <w:rPr>
                <w:sz w:val="24"/>
              </w:rPr>
              <w:t>.</w:t>
            </w:r>
          </w:p>
          <w:p w14:paraId="0895BE49" w14:textId="77777777" w:rsidR="00A05B58" w:rsidRPr="006A3036" w:rsidRDefault="00A05B58" w:rsidP="000D1E76">
            <w:pPr>
              <w:pStyle w:val="TableContent"/>
              <w:rPr>
                <w:sz w:val="24"/>
              </w:rPr>
            </w:pPr>
          </w:p>
        </w:tc>
      </w:tr>
      <w:tr w:rsidR="00A05B58" w:rsidRPr="000049AB" w14:paraId="6BEB9F8E" w14:textId="77777777">
        <w:tc>
          <w:tcPr>
            <w:tcW w:w="3487" w:type="dxa"/>
          </w:tcPr>
          <w:p w14:paraId="024F07C0" w14:textId="77777777" w:rsidR="00A05B58" w:rsidRPr="006A3036" w:rsidRDefault="00A05B58" w:rsidP="000D1E76">
            <w:pPr>
              <w:pStyle w:val="TableContent"/>
              <w:rPr>
                <w:bCs/>
                <w:sz w:val="24"/>
              </w:rPr>
            </w:pPr>
            <w:r w:rsidRPr="006A3036">
              <w:rPr>
                <w:bCs/>
                <w:sz w:val="24"/>
              </w:rPr>
              <w:t>Land - subject to usage restrictions</w:t>
            </w:r>
          </w:p>
        </w:tc>
        <w:tc>
          <w:tcPr>
            <w:tcW w:w="3487" w:type="dxa"/>
          </w:tcPr>
          <w:p w14:paraId="2CE91277" w14:textId="77777777" w:rsidR="00A05B58" w:rsidRPr="006A3036" w:rsidRDefault="00A05B58" w:rsidP="000D1E76">
            <w:pPr>
              <w:pStyle w:val="TableContent"/>
              <w:rPr>
                <w:sz w:val="24"/>
              </w:rPr>
            </w:pPr>
            <w:r w:rsidRPr="006A3036">
              <w:rPr>
                <w:sz w:val="24"/>
              </w:rPr>
              <w:t>3</w:t>
            </w:r>
          </w:p>
        </w:tc>
        <w:tc>
          <w:tcPr>
            <w:tcW w:w="3487" w:type="dxa"/>
          </w:tcPr>
          <w:p w14:paraId="04761E2D" w14:textId="1E34EA4D" w:rsidR="00A05B58" w:rsidRPr="006A3036" w:rsidRDefault="00A05B58" w:rsidP="000D1E76">
            <w:pPr>
              <w:pStyle w:val="TableContent"/>
              <w:rPr>
                <w:sz w:val="24"/>
              </w:rPr>
            </w:pPr>
            <w:r w:rsidRPr="006A3036">
              <w:rPr>
                <w:sz w:val="24"/>
              </w:rPr>
              <w:t>Market approach using recent observable market data for similar properties</w:t>
            </w:r>
            <w:r w:rsidR="000D1E76">
              <w:rPr>
                <w:sz w:val="24"/>
              </w:rPr>
              <w:t>.</w:t>
            </w:r>
          </w:p>
        </w:tc>
        <w:tc>
          <w:tcPr>
            <w:tcW w:w="3487" w:type="dxa"/>
          </w:tcPr>
          <w:p w14:paraId="42705EA4" w14:textId="6E4D0226" w:rsidR="00A05B58" w:rsidRPr="006A3036" w:rsidRDefault="00A05B58" w:rsidP="000D1E76">
            <w:pPr>
              <w:pStyle w:val="TableContent"/>
              <w:rPr>
                <w:bCs/>
                <w:sz w:val="24"/>
              </w:rPr>
            </w:pPr>
            <w:r w:rsidRPr="006A3036">
              <w:rPr>
                <w:bCs/>
                <w:sz w:val="24"/>
              </w:rPr>
              <w:t>Price per square metre, discounted due to usage restrictions</w:t>
            </w:r>
            <w:r w:rsidR="000D1E76">
              <w:rPr>
                <w:bCs/>
                <w:sz w:val="24"/>
              </w:rPr>
              <w:t>.</w:t>
            </w:r>
          </w:p>
        </w:tc>
      </w:tr>
      <w:tr w:rsidR="00A05B58" w:rsidRPr="000049AB" w14:paraId="186E758A" w14:textId="77777777">
        <w:tc>
          <w:tcPr>
            <w:tcW w:w="3487" w:type="dxa"/>
          </w:tcPr>
          <w:p w14:paraId="4954EC98" w14:textId="77777777" w:rsidR="00A05B58" w:rsidRPr="006A3036" w:rsidRDefault="00A05B58" w:rsidP="000D1E76">
            <w:pPr>
              <w:pStyle w:val="TableContent"/>
              <w:rPr>
                <w:bCs/>
                <w:sz w:val="24"/>
              </w:rPr>
            </w:pPr>
            <w:r w:rsidRPr="006A3036">
              <w:rPr>
                <w:bCs/>
                <w:sz w:val="24"/>
              </w:rPr>
              <w:t>Crown land and leased land</w:t>
            </w:r>
          </w:p>
        </w:tc>
        <w:tc>
          <w:tcPr>
            <w:tcW w:w="10461" w:type="dxa"/>
            <w:gridSpan w:val="3"/>
          </w:tcPr>
          <w:p w14:paraId="5A054D2C" w14:textId="77777777" w:rsidR="00A05B58" w:rsidRPr="006A3036" w:rsidRDefault="00A05B58" w:rsidP="000D1E76">
            <w:pPr>
              <w:pStyle w:val="TableContent"/>
              <w:rPr>
                <w:color w:val="000000"/>
                <w:sz w:val="24"/>
              </w:rPr>
            </w:pPr>
            <w:r w:rsidRPr="006A3036">
              <w:rPr>
                <w:rFonts w:eastAsia="Calibri"/>
                <w:bCs/>
                <w:sz w:val="24"/>
              </w:rPr>
              <w:t>Crown land is considered a concessionary lease right-of-use asset measured under the cost model - at zero cost.</w:t>
            </w:r>
          </w:p>
        </w:tc>
      </w:tr>
      <w:tr w:rsidR="00A05B58" w:rsidRPr="000049AB" w14:paraId="5B53F6B7" w14:textId="77777777">
        <w:tc>
          <w:tcPr>
            <w:tcW w:w="3487" w:type="dxa"/>
          </w:tcPr>
          <w:p w14:paraId="609FFFD4" w14:textId="77777777" w:rsidR="00A05B58" w:rsidRPr="006A3036" w:rsidRDefault="00A05B58" w:rsidP="000D1E76">
            <w:pPr>
              <w:pStyle w:val="TableContent"/>
              <w:rPr>
                <w:sz w:val="24"/>
              </w:rPr>
            </w:pPr>
            <w:r w:rsidRPr="006A3036">
              <w:rPr>
                <w:bCs/>
                <w:sz w:val="24"/>
              </w:rPr>
              <w:t>Land under roads</w:t>
            </w:r>
          </w:p>
        </w:tc>
        <w:tc>
          <w:tcPr>
            <w:tcW w:w="10461" w:type="dxa"/>
            <w:gridSpan w:val="3"/>
          </w:tcPr>
          <w:p w14:paraId="752659E7" w14:textId="19D47650" w:rsidR="00A05B58" w:rsidRPr="006A3036" w:rsidRDefault="00A05B58" w:rsidP="000D1E76">
            <w:pPr>
              <w:pStyle w:val="TableContent"/>
              <w:rPr>
                <w:sz w:val="24"/>
              </w:rPr>
            </w:pPr>
            <w:r w:rsidRPr="006A3036">
              <w:rPr>
                <w:color w:val="000000"/>
                <w:sz w:val="24"/>
              </w:rPr>
              <w:t>Land under roads is treated as a right-of-use asset in terms of LG (FM) Regs, regulation 17A(2)(c)</w:t>
            </w:r>
            <w:r w:rsidR="002049F9">
              <w:rPr>
                <w:color w:val="000000"/>
                <w:sz w:val="24"/>
              </w:rPr>
              <w:t xml:space="preserve"> </w:t>
            </w:r>
            <w:r w:rsidRPr="006A3036">
              <w:rPr>
                <w:color w:val="000000"/>
                <w:sz w:val="24"/>
              </w:rPr>
              <w:t>and is measured at zero cost.</w:t>
            </w:r>
          </w:p>
        </w:tc>
      </w:tr>
    </w:tbl>
    <w:p w14:paraId="3F2CB7CD" w14:textId="5C2231FB" w:rsidR="00A05B58" w:rsidRPr="000049AB" w:rsidRDefault="000D1E76" w:rsidP="00A05B58">
      <w:pPr>
        <w:spacing w:before="120"/>
        <w:rPr>
          <w:rFonts w:cs="Arial"/>
        </w:rPr>
      </w:pPr>
      <w:r>
        <w:rPr>
          <w:rFonts w:cs="Arial"/>
        </w:rPr>
        <w:t>T</w:t>
      </w:r>
      <w:r w:rsidR="00A05B58" w:rsidRPr="000049AB">
        <w:rPr>
          <w:rFonts w:cs="Arial"/>
        </w:rPr>
        <w:t xml:space="preserve">he practical application of AASB 13 Fair Value Measurement (2022) to the valuation of buildings is as follows: </w:t>
      </w:r>
    </w:p>
    <w:tbl>
      <w:tblPr>
        <w:tblStyle w:val="TableGrid"/>
        <w:tblW w:w="0" w:type="auto"/>
        <w:tblLook w:val="04A0" w:firstRow="1" w:lastRow="0" w:firstColumn="1" w:lastColumn="0" w:noHBand="0" w:noVBand="1"/>
      </w:tblPr>
      <w:tblGrid>
        <w:gridCol w:w="3427"/>
        <w:gridCol w:w="3423"/>
        <w:gridCol w:w="3429"/>
        <w:gridCol w:w="3432"/>
      </w:tblGrid>
      <w:tr w:rsidR="00A05B58" w:rsidRPr="000049AB" w14:paraId="2BF44098" w14:textId="77777777" w:rsidTr="00F67E71">
        <w:trPr>
          <w:tblHeader/>
        </w:trPr>
        <w:tc>
          <w:tcPr>
            <w:tcW w:w="3487" w:type="dxa"/>
            <w:shd w:val="clear" w:color="auto" w:fill="F2F2F2" w:themeFill="background1" w:themeFillShade="F2"/>
          </w:tcPr>
          <w:p w14:paraId="31940DD6" w14:textId="77777777" w:rsidR="00A05B58" w:rsidRPr="00BF31A7" w:rsidRDefault="00A05B58" w:rsidP="00BF31A7">
            <w:pPr>
              <w:pStyle w:val="TableContent"/>
              <w:rPr>
                <w:b/>
                <w:bCs/>
                <w:sz w:val="24"/>
              </w:rPr>
            </w:pPr>
            <w:r w:rsidRPr="00BF31A7">
              <w:rPr>
                <w:b/>
                <w:bCs/>
                <w:sz w:val="24"/>
              </w:rPr>
              <w:t>Buildings</w:t>
            </w:r>
          </w:p>
        </w:tc>
        <w:tc>
          <w:tcPr>
            <w:tcW w:w="3487" w:type="dxa"/>
            <w:shd w:val="clear" w:color="auto" w:fill="F2F2F2" w:themeFill="background1" w:themeFillShade="F2"/>
          </w:tcPr>
          <w:p w14:paraId="17E3A6D5" w14:textId="1A458F11" w:rsidR="00A05B58" w:rsidRPr="00BF31A7" w:rsidRDefault="00A05B58" w:rsidP="00BF31A7">
            <w:pPr>
              <w:pStyle w:val="TableContent"/>
              <w:rPr>
                <w:b/>
                <w:bCs/>
                <w:sz w:val="24"/>
              </w:rPr>
            </w:pPr>
            <w:r w:rsidRPr="00BF31A7">
              <w:rPr>
                <w:b/>
                <w:bCs/>
                <w:sz w:val="24"/>
              </w:rPr>
              <w:t xml:space="preserve">Fair </w:t>
            </w:r>
            <w:r w:rsidR="00545D59">
              <w:rPr>
                <w:b/>
                <w:bCs/>
                <w:sz w:val="24"/>
              </w:rPr>
              <w:t>v</w:t>
            </w:r>
            <w:r w:rsidRPr="00BF31A7">
              <w:rPr>
                <w:b/>
                <w:bCs/>
                <w:sz w:val="24"/>
              </w:rPr>
              <w:t xml:space="preserve">alue </w:t>
            </w:r>
            <w:r w:rsidR="00545D59">
              <w:rPr>
                <w:b/>
                <w:bCs/>
                <w:sz w:val="24"/>
              </w:rPr>
              <w:t>h</w:t>
            </w:r>
            <w:r w:rsidRPr="00BF31A7">
              <w:rPr>
                <w:b/>
                <w:bCs/>
                <w:sz w:val="24"/>
              </w:rPr>
              <w:t>ierarchy</w:t>
            </w:r>
          </w:p>
        </w:tc>
        <w:tc>
          <w:tcPr>
            <w:tcW w:w="3487" w:type="dxa"/>
            <w:shd w:val="clear" w:color="auto" w:fill="F2F2F2" w:themeFill="background1" w:themeFillShade="F2"/>
          </w:tcPr>
          <w:p w14:paraId="1383F5ED" w14:textId="798E5198" w:rsidR="00A05B58" w:rsidRPr="00BF31A7" w:rsidRDefault="00A05B58" w:rsidP="00BF31A7">
            <w:pPr>
              <w:pStyle w:val="TableContent"/>
              <w:rPr>
                <w:b/>
                <w:bCs/>
                <w:sz w:val="24"/>
              </w:rPr>
            </w:pPr>
            <w:r w:rsidRPr="00BF31A7">
              <w:rPr>
                <w:b/>
                <w:bCs/>
                <w:sz w:val="24"/>
              </w:rPr>
              <w:t xml:space="preserve">Valuation </w:t>
            </w:r>
            <w:r w:rsidR="00545D59">
              <w:rPr>
                <w:b/>
                <w:bCs/>
                <w:sz w:val="24"/>
              </w:rPr>
              <w:t>t</w:t>
            </w:r>
            <w:r w:rsidRPr="00BF31A7">
              <w:rPr>
                <w:b/>
                <w:bCs/>
                <w:sz w:val="24"/>
              </w:rPr>
              <w:t>echnique</w:t>
            </w:r>
          </w:p>
        </w:tc>
        <w:tc>
          <w:tcPr>
            <w:tcW w:w="3487" w:type="dxa"/>
            <w:shd w:val="clear" w:color="auto" w:fill="F2F2F2" w:themeFill="background1" w:themeFillShade="F2"/>
          </w:tcPr>
          <w:p w14:paraId="487E2F95" w14:textId="77777777" w:rsidR="00A05B58" w:rsidRPr="00BF31A7" w:rsidRDefault="00A05B58" w:rsidP="00BF31A7">
            <w:pPr>
              <w:pStyle w:val="TableContent"/>
              <w:rPr>
                <w:b/>
                <w:bCs/>
                <w:sz w:val="24"/>
              </w:rPr>
            </w:pPr>
            <w:r w:rsidRPr="00BF31A7">
              <w:rPr>
                <w:b/>
                <w:bCs/>
                <w:sz w:val="24"/>
              </w:rPr>
              <w:t>Inputs</w:t>
            </w:r>
          </w:p>
        </w:tc>
      </w:tr>
      <w:tr w:rsidR="00A05B58" w:rsidRPr="000049AB" w14:paraId="5152DBB3" w14:textId="77777777" w:rsidTr="00F67E71">
        <w:tc>
          <w:tcPr>
            <w:tcW w:w="3487" w:type="dxa"/>
          </w:tcPr>
          <w:p w14:paraId="545EDC69" w14:textId="77777777" w:rsidR="00A05B58" w:rsidRPr="00BF31A7" w:rsidRDefault="00A05B58" w:rsidP="00BF31A7">
            <w:pPr>
              <w:pStyle w:val="TableContent"/>
              <w:rPr>
                <w:rFonts w:eastAsia="Calibri"/>
                <w:sz w:val="24"/>
              </w:rPr>
            </w:pPr>
            <w:r w:rsidRPr="00BF31A7">
              <w:rPr>
                <w:rFonts w:eastAsia="Calibri"/>
                <w:sz w:val="24"/>
              </w:rPr>
              <w:t>Non-specialised</w:t>
            </w:r>
          </w:p>
          <w:p w14:paraId="563A9623" w14:textId="77777777" w:rsidR="00A05B58" w:rsidRPr="00BF31A7" w:rsidRDefault="00A05B58" w:rsidP="00BF31A7">
            <w:pPr>
              <w:pStyle w:val="TableContent"/>
              <w:rPr>
                <w:rFonts w:eastAsia="Calibri"/>
                <w:sz w:val="24"/>
              </w:rPr>
            </w:pPr>
          </w:p>
        </w:tc>
        <w:tc>
          <w:tcPr>
            <w:tcW w:w="3487" w:type="dxa"/>
          </w:tcPr>
          <w:p w14:paraId="209EAF6F" w14:textId="77777777" w:rsidR="00A05B58" w:rsidRPr="00BF31A7" w:rsidRDefault="00A05B58" w:rsidP="00BF31A7">
            <w:pPr>
              <w:pStyle w:val="TableContent"/>
              <w:rPr>
                <w:sz w:val="24"/>
              </w:rPr>
            </w:pPr>
            <w:r w:rsidRPr="00BF31A7">
              <w:rPr>
                <w:rFonts w:eastAsia="Calibri"/>
                <w:sz w:val="24"/>
              </w:rPr>
              <w:t xml:space="preserve">2 </w:t>
            </w:r>
          </w:p>
        </w:tc>
        <w:tc>
          <w:tcPr>
            <w:tcW w:w="3487" w:type="dxa"/>
          </w:tcPr>
          <w:p w14:paraId="24C2EC11" w14:textId="1B585A07" w:rsidR="00A05B58" w:rsidRPr="00BF31A7" w:rsidRDefault="00A05B58" w:rsidP="00BF31A7">
            <w:pPr>
              <w:pStyle w:val="TableContent"/>
              <w:rPr>
                <w:sz w:val="24"/>
              </w:rPr>
            </w:pPr>
            <w:r w:rsidRPr="00BF31A7">
              <w:rPr>
                <w:sz w:val="24"/>
              </w:rPr>
              <w:t>Market approach using recent observable market data for similar properties</w:t>
            </w:r>
            <w:r w:rsidR="000D1E76">
              <w:rPr>
                <w:sz w:val="24"/>
              </w:rPr>
              <w:t>.</w:t>
            </w:r>
          </w:p>
        </w:tc>
        <w:tc>
          <w:tcPr>
            <w:tcW w:w="3487" w:type="dxa"/>
          </w:tcPr>
          <w:p w14:paraId="64E71FB1" w14:textId="27827983" w:rsidR="00A05B58" w:rsidRPr="00BF31A7" w:rsidRDefault="00A05B58" w:rsidP="00BF31A7">
            <w:pPr>
              <w:pStyle w:val="TableContent"/>
              <w:rPr>
                <w:sz w:val="24"/>
              </w:rPr>
            </w:pPr>
            <w:r w:rsidRPr="00BF31A7">
              <w:rPr>
                <w:sz w:val="24"/>
              </w:rPr>
              <w:t>Price per square metre</w:t>
            </w:r>
            <w:r w:rsidR="000D1E76">
              <w:rPr>
                <w:sz w:val="24"/>
              </w:rPr>
              <w:t>.</w:t>
            </w:r>
          </w:p>
          <w:p w14:paraId="11B7C024" w14:textId="77777777" w:rsidR="00A05B58" w:rsidRPr="00BF31A7" w:rsidRDefault="00A05B58" w:rsidP="00BF31A7">
            <w:pPr>
              <w:pStyle w:val="TableContent"/>
              <w:rPr>
                <w:sz w:val="24"/>
              </w:rPr>
            </w:pPr>
          </w:p>
        </w:tc>
      </w:tr>
      <w:tr w:rsidR="00A05B58" w:rsidRPr="000049AB" w14:paraId="0BA81C6E" w14:textId="77777777" w:rsidTr="00F67E71">
        <w:tc>
          <w:tcPr>
            <w:tcW w:w="3487" w:type="dxa"/>
          </w:tcPr>
          <w:p w14:paraId="72C34BD3" w14:textId="77777777" w:rsidR="00A05B58" w:rsidRPr="00BF31A7" w:rsidRDefault="00A05B58" w:rsidP="00BF31A7">
            <w:pPr>
              <w:pStyle w:val="TableContent"/>
              <w:rPr>
                <w:bCs/>
                <w:sz w:val="24"/>
              </w:rPr>
            </w:pPr>
            <w:r w:rsidRPr="00BF31A7">
              <w:rPr>
                <w:bCs/>
                <w:sz w:val="24"/>
              </w:rPr>
              <w:t xml:space="preserve">Specialised </w:t>
            </w:r>
          </w:p>
        </w:tc>
        <w:tc>
          <w:tcPr>
            <w:tcW w:w="3487" w:type="dxa"/>
          </w:tcPr>
          <w:p w14:paraId="4940C9C6" w14:textId="77777777" w:rsidR="00A05B58" w:rsidRPr="00BF31A7" w:rsidRDefault="00A05B58" w:rsidP="00BF31A7">
            <w:pPr>
              <w:pStyle w:val="TableContent"/>
              <w:rPr>
                <w:bCs/>
                <w:sz w:val="24"/>
              </w:rPr>
            </w:pPr>
            <w:r w:rsidRPr="00BF31A7">
              <w:rPr>
                <w:bCs/>
                <w:sz w:val="24"/>
              </w:rPr>
              <w:t>3</w:t>
            </w:r>
          </w:p>
        </w:tc>
        <w:tc>
          <w:tcPr>
            <w:tcW w:w="3487" w:type="dxa"/>
          </w:tcPr>
          <w:p w14:paraId="55898EF7" w14:textId="537C6E8E" w:rsidR="00A05B58" w:rsidRPr="00BF31A7" w:rsidRDefault="00A05B58" w:rsidP="00BF31A7">
            <w:pPr>
              <w:pStyle w:val="TableContent"/>
              <w:rPr>
                <w:sz w:val="24"/>
              </w:rPr>
            </w:pPr>
            <w:r w:rsidRPr="00BF31A7">
              <w:rPr>
                <w:sz w:val="24"/>
              </w:rPr>
              <w:t>Cost approach using current replacement cost</w:t>
            </w:r>
            <w:r w:rsidR="000D1E76">
              <w:rPr>
                <w:sz w:val="24"/>
              </w:rPr>
              <w:t>.</w:t>
            </w:r>
          </w:p>
        </w:tc>
        <w:tc>
          <w:tcPr>
            <w:tcW w:w="3487" w:type="dxa"/>
          </w:tcPr>
          <w:p w14:paraId="193E7200" w14:textId="67AA20DD" w:rsidR="00A05B58" w:rsidRPr="00BF31A7" w:rsidRDefault="00A05B58" w:rsidP="00BF31A7">
            <w:pPr>
              <w:pStyle w:val="TableContent"/>
              <w:rPr>
                <w:bCs/>
                <w:sz w:val="24"/>
              </w:rPr>
            </w:pPr>
            <w:r w:rsidRPr="00BF31A7">
              <w:rPr>
                <w:bCs/>
                <w:sz w:val="24"/>
              </w:rPr>
              <w:t>Construction costs and current condition, residual values and remaining useful life assessments inputs</w:t>
            </w:r>
            <w:r w:rsidR="000D1E76">
              <w:rPr>
                <w:bCs/>
                <w:sz w:val="24"/>
              </w:rPr>
              <w:t>.</w:t>
            </w:r>
          </w:p>
        </w:tc>
      </w:tr>
    </w:tbl>
    <w:p w14:paraId="620073FC" w14:textId="77777777" w:rsidR="00DD743C" w:rsidRPr="000049AB" w:rsidRDefault="00DD743C" w:rsidP="00D70B5C">
      <w:pPr>
        <w:pStyle w:val="BodyText"/>
      </w:pPr>
      <w:r w:rsidRPr="000049AB">
        <w:lastRenderedPageBreak/>
        <w:t xml:space="preserve">The practical application of AASB 13 Fair Value Measurement (2022) to the valuation of infrastructure is as follows: </w:t>
      </w:r>
    </w:p>
    <w:tbl>
      <w:tblPr>
        <w:tblStyle w:val="TableGrid"/>
        <w:tblW w:w="0" w:type="auto"/>
        <w:tblLook w:val="04A0" w:firstRow="1" w:lastRow="0" w:firstColumn="1" w:lastColumn="0" w:noHBand="0" w:noVBand="1"/>
      </w:tblPr>
      <w:tblGrid>
        <w:gridCol w:w="3434"/>
        <w:gridCol w:w="3421"/>
        <w:gridCol w:w="3427"/>
        <w:gridCol w:w="3429"/>
      </w:tblGrid>
      <w:tr w:rsidR="00DD743C" w:rsidRPr="000049AB" w14:paraId="15DDAC54" w14:textId="77777777">
        <w:tc>
          <w:tcPr>
            <w:tcW w:w="3487" w:type="dxa"/>
            <w:shd w:val="clear" w:color="auto" w:fill="F2F2F2" w:themeFill="background1" w:themeFillShade="F2"/>
          </w:tcPr>
          <w:p w14:paraId="466E8162" w14:textId="77777777" w:rsidR="00DD743C" w:rsidRPr="001449FA" w:rsidRDefault="00DD743C" w:rsidP="00BF31A7">
            <w:pPr>
              <w:pStyle w:val="TableContent"/>
              <w:rPr>
                <w:b/>
                <w:bCs/>
                <w:sz w:val="24"/>
              </w:rPr>
            </w:pPr>
            <w:r w:rsidRPr="001449FA">
              <w:rPr>
                <w:b/>
                <w:bCs/>
                <w:sz w:val="24"/>
              </w:rPr>
              <w:t>Infrastructure</w:t>
            </w:r>
          </w:p>
        </w:tc>
        <w:tc>
          <w:tcPr>
            <w:tcW w:w="3487" w:type="dxa"/>
            <w:shd w:val="clear" w:color="auto" w:fill="F2F2F2" w:themeFill="background1" w:themeFillShade="F2"/>
          </w:tcPr>
          <w:p w14:paraId="18666997" w14:textId="371171EA" w:rsidR="00DD743C" w:rsidRPr="001449FA" w:rsidRDefault="00DD743C" w:rsidP="00BF31A7">
            <w:pPr>
              <w:pStyle w:val="TableContent"/>
              <w:rPr>
                <w:b/>
                <w:bCs/>
                <w:sz w:val="24"/>
              </w:rPr>
            </w:pPr>
            <w:r w:rsidRPr="001449FA">
              <w:rPr>
                <w:b/>
                <w:bCs/>
                <w:sz w:val="24"/>
              </w:rPr>
              <w:t xml:space="preserve">Fair </w:t>
            </w:r>
            <w:r w:rsidR="00545D59">
              <w:rPr>
                <w:b/>
                <w:bCs/>
                <w:sz w:val="24"/>
              </w:rPr>
              <w:t>v</w:t>
            </w:r>
            <w:r w:rsidRPr="001449FA">
              <w:rPr>
                <w:b/>
                <w:bCs/>
                <w:sz w:val="24"/>
              </w:rPr>
              <w:t xml:space="preserve">alue </w:t>
            </w:r>
            <w:r w:rsidR="00545D59">
              <w:rPr>
                <w:b/>
                <w:bCs/>
                <w:sz w:val="24"/>
              </w:rPr>
              <w:t>h</w:t>
            </w:r>
            <w:r w:rsidRPr="001449FA">
              <w:rPr>
                <w:b/>
                <w:bCs/>
                <w:sz w:val="24"/>
              </w:rPr>
              <w:t>ierarchy</w:t>
            </w:r>
          </w:p>
        </w:tc>
        <w:tc>
          <w:tcPr>
            <w:tcW w:w="3487" w:type="dxa"/>
            <w:shd w:val="clear" w:color="auto" w:fill="F2F2F2" w:themeFill="background1" w:themeFillShade="F2"/>
          </w:tcPr>
          <w:p w14:paraId="2BED894B" w14:textId="334BF47A" w:rsidR="00DD743C" w:rsidRPr="001449FA" w:rsidRDefault="00DD743C" w:rsidP="00BF31A7">
            <w:pPr>
              <w:pStyle w:val="TableContent"/>
              <w:rPr>
                <w:b/>
                <w:bCs/>
                <w:sz w:val="24"/>
              </w:rPr>
            </w:pPr>
            <w:r w:rsidRPr="001449FA">
              <w:rPr>
                <w:b/>
                <w:bCs/>
                <w:sz w:val="24"/>
              </w:rPr>
              <w:t xml:space="preserve">Valuation </w:t>
            </w:r>
            <w:r w:rsidR="00545D59">
              <w:rPr>
                <w:b/>
                <w:bCs/>
                <w:sz w:val="24"/>
              </w:rPr>
              <w:t>t</w:t>
            </w:r>
            <w:r w:rsidRPr="001449FA">
              <w:rPr>
                <w:b/>
                <w:bCs/>
                <w:sz w:val="24"/>
              </w:rPr>
              <w:t>echnique</w:t>
            </w:r>
          </w:p>
        </w:tc>
        <w:tc>
          <w:tcPr>
            <w:tcW w:w="3487" w:type="dxa"/>
            <w:shd w:val="clear" w:color="auto" w:fill="F2F2F2" w:themeFill="background1" w:themeFillShade="F2"/>
          </w:tcPr>
          <w:p w14:paraId="52B8C801" w14:textId="77777777" w:rsidR="00DD743C" w:rsidRPr="001449FA" w:rsidRDefault="00DD743C" w:rsidP="00BF31A7">
            <w:pPr>
              <w:pStyle w:val="TableContent"/>
              <w:rPr>
                <w:b/>
                <w:bCs/>
                <w:sz w:val="24"/>
              </w:rPr>
            </w:pPr>
            <w:r w:rsidRPr="001449FA">
              <w:rPr>
                <w:b/>
                <w:bCs/>
                <w:sz w:val="24"/>
              </w:rPr>
              <w:t>Inputs</w:t>
            </w:r>
          </w:p>
        </w:tc>
      </w:tr>
      <w:tr w:rsidR="00DD743C" w:rsidRPr="000049AB" w14:paraId="321EC381" w14:textId="77777777">
        <w:tc>
          <w:tcPr>
            <w:tcW w:w="3487" w:type="dxa"/>
          </w:tcPr>
          <w:p w14:paraId="7428BD72" w14:textId="77777777" w:rsidR="00DD743C" w:rsidRPr="00BF31A7" w:rsidRDefault="00DD743C" w:rsidP="00BF31A7">
            <w:pPr>
              <w:pStyle w:val="TableContent"/>
              <w:rPr>
                <w:rFonts w:eastAsia="Calibri"/>
                <w:sz w:val="24"/>
              </w:rPr>
            </w:pPr>
            <w:r w:rsidRPr="00BF31A7">
              <w:rPr>
                <w:rFonts w:eastAsia="Calibri"/>
                <w:sz w:val="24"/>
              </w:rPr>
              <w:t>Roads</w:t>
            </w:r>
          </w:p>
          <w:p w14:paraId="59F8C1B0" w14:textId="77777777" w:rsidR="00DD743C" w:rsidRPr="00BF31A7" w:rsidRDefault="00DD743C" w:rsidP="00BF31A7">
            <w:pPr>
              <w:pStyle w:val="TableContent"/>
              <w:rPr>
                <w:rFonts w:eastAsia="Calibri"/>
                <w:sz w:val="24"/>
              </w:rPr>
            </w:pPr>
            <w:r w:rsidRPr="00BF31A7">
              <w:rPr>
                <w:rFonts w:eastAsia="Calibri"/>
                <w:sz w:val="24"/>
              </w:rPr>
              <w:t>Footpaths</w:t>
            </w:r>
          </w:p>
          <w:p w14:paraId="372B5FC5" w14:textId="77777777" w:rsidR="00DD743C" w:rsidRPr="00BF31A7" w:rsidRDefault="00DD743C" w:rsidP="00BF31A7">
            <w:pPr>
              <w:pStyle w:val="TableContent"/>
              <w:rPr>
                <w:rFonts w:eastAsia="Calibri"/>
                <w:sz w:val="24"/>
              </w:rPr>
            </w:pPr>
            <w:r w:rsidRPr="00BF31A7">
              <w:rPr>
                <w:rFonts w:eastAsia="Calibri"/>
                <w:sz w:val="24"/>
              </w:rPr>
              <w:t>Drainage</w:t>
            </w:r>
          </w:p>
          <w:p w14:paraId="1605D273" w14:textId="77777777" w:rsidR="00DD743C" w:rsidRPr="00BF31A7" w:rsidRDefault="00DD743C" w:rsidP="00BF31A7">
            <w:pPr>
              <w:pStyle w:val="TableContent"/>
              <w:rPr>
                <w:rFonts w:eastAsia="Calibri"/>
                <w:sz w:val="24"/>
              </w:rPr>
            </w:pPr>
            <w:r w:rsidRPr="00BF31A7">
              <w:rPr>
                <w:rFonts w:eastAsia="Calibri"/>
                <w:sz w:val="24"/>
              </w:rPr>
              <w:t>Parks and ovals</w:t>
            </w:r>
          </w:p>
          <w:p w14:paraId="78673CFF" w14:textId="77777777" w:rsidR="00DD743C" w:rsidRPr="00BF31A7" w:rsidRDefault="00DD743C" w:rsidP="00BF31A7">
            <w:pPr>
              <w:pStyle w:val="TableContent"/>
              <w:rPr>
                <w:rFonts w:eastAsia="Calibri"/>
                <w:sz w:val="24"/>
              </w:rPr>
            </w:pPr>
            <w:r w:rsidRPr="00BF31A7">
              <w:rPr>
                <w:rFonts w:eastAsia="Calibri"/>
                <w:sz w:val="24"/>
              </w:rPr>
              <w:t>Other</w:t>
            </w:r>
          </w:p>
          <w:p w14:paraId="2B9BFDD2" w14:textId="77777777" w:rsidR="00DD743C" w:rsidRPr="00BF31A7" w:rsidRDefault="00DD743C" w:rsidP="00BF31A7">
            <w:pPr>
              <w:pStyle w:val="TableContent"/>
              <w:rPr>
                <w:rFonts w:eastAsia="Calibri"/>
                <w:sz w:val="24"/>
              </w:rPr>
            </w:pPr>
            <w:r w:rsidRPr="00BF31A7">
              <w:rPr>
                <w:rFonts w:eastAsia="Calibri"/>
                <w:sz w:val="24"/>
              </w:rPr>
              <w:t>Landfill assets</w:t>
            </w:r>
          </w:p>
        </w:tc>
        <w:tc>
          <w:tcPr>
            <w:tcW w:w="3487" w:type="dxa"/>
          </w:tcPr>
          <w:p w14:paraId="1A652C72" w14:textId="77777777" w:rsidR="00DD743C" w:rsidRPr="00BF31A7" w:rsidRDefault="00DD743C" w:rsidP="00BF31A7">
            <w:pPr>
              <w:pStyle w:val="TableContent"/>
              <w:rPr>
                <w:rFonts w:eastAsia="Calibri"/>
                <w:sz w:val="24"/>
              </w:rPr>
            </w:pPr>
            <w:r w:rsidRPr="00BF31A7">
              <w:rPr>
                <w:rFonts w:eastAsia="Calibri"/>
                <w:sz w:val="24"/>
              </w:rPr>
              <w:t>3</w:t>
            </w:r>
          </w:p>
        </w:tc>
        <w:tc>
          <w:tcPr>
            <w:tcW w:w="3487" w:type="dxa"/>
          </w:tcPr>
          <w:p w14:paraId="3666CC02" w14:textId="04BBB1FA" w:rsidR="00DD743C" w:rsidRPr="00BF31A7" w:rsidRDefault="00DD743C" w:rsidP="00BF31A7">
            <w:pPr>
              <w:pStyle w:val="TableContent"/>
              <w:rPr>
                <w:sz w:val="24"/>
              </w:rPr>
            </w:pPr>
            <w:r w:rsidRPr="00BF31A7">
              <w:rPr>
                <w:sz w:val="24"/>
              </w:rPr>
              <w:t>Cost approach using current replacement cost</w:t>
            </w:r>
            <w:r w:rsidR="000D1E76">
              <w:rPr>
                <w:sz w:val="24"/>
              </w:rPr>
              <w:t>.</w:t>
            </w:r>
          </w:p>
        </w:tc>
        <w:tc>
          <w:tcPr>
            <w:tcW w:w="3487" w:type="dxa"/>
          </w:tcPr>
          <w:p w14:paraId="20AD4437" w14:textId="77777777" w:rsidR="00DD743C" w:rsidRPr="00BF31A7" w:rsidRDefault="00DD743C" w:rsidP="00BF31A7">
            <w:pPr>
              <w:pStyle w:val="TableContent"/>
              <w:rPr>
                <w:sz w:val="24"/>
              </w:rPr>
            </w:pPr>
            <w:r w:rsidRPr="00BF31A7">
              <w:rPr>
                <w:sz w:val="24"/>
              </w:rPr>
              <w:t>Construction costs and current condition, residual values and remaining useful life assessments inputs.</w:t>
            </w:r>
          </w:p>
        </w:tc>
      </w:tr>
    </w:tbl>
    <w:p w14:paraId="613EF750" w14:textId="26D69D83" w:rsidR="00DD743C" w:rsidRPr="000049AB" w:rsidRDefault="00C21206" w:rsidP="00D70B5C">
      <w:pPr>
        <w:pStyle w:val="BodyText"/>
      </w:pPr>
      <w:r>
        <w:t>T</w:t>
      </w:r>
      <w:r w:rsidR="00DD743C" w:rsidRPr="000049AB">
        <w:t xml:space="preserve">he practical application of AASB 13 Fair Value Measurement (2022) to the valuation of investment property is as follows: </w:t>
      </w:r>
    </w:p>
    <w:tbl>
      <w:tblPr>
        <w:tblStyle w:val="TableGrid"/>
        <w:tblW w:w="0" w:type="auto"/>
        <w:tblLook w:val="04A0" w:firstRow="1" w:lastRow="0" w:firstColumn="1" w:lastColumn="0" w:noHBand="0" w:noVBand="1"/>
      </w:tblPr>
      <w:tblGrid>
        <w:gridCol w:w="3430"/>
        <w:gridCol w:w="3424"/>
        <w:gridCol w:w="3425"/>
        <w:gridCol w:w="3432"/>
      </w:tblGrid>
      <w:tr w:rsidR="00DD743C" w:rsidRPr="000049AB" w14:paraId="748A3E9B" w14:textId="77777777">
        <w:tc>
          <w:tcPr>
            <w:tcW w:w="3487" w:type="dxa"/>
            <w:shd w:val="clear" w:color="auto" w:fill="F2F2F2" w:themeFill="background1" w:themeFillShade="F2"/>
          </w:tcPr>
          <w:p w14:paraId="47A2B4E5" w14:textId="03EEB754" w:rsidR="00DD743C" w:rsidRPr="001449FA" w:rsidRDefault="00DD743C" w:rsidP="001449FA">
            <w:pPr>
              <w:pStyle w:val="TableContent"/>
              <w:rPr>
                <w:b/>
                <w:bCs/>
                <w:sz w:val="24"/>
              </w:rPr>
            </w:pPr>
            <w:r w:rsidRPr="001449FA">
              <w:rPr>
                <w:b/>
                <w:bCs/>
                <w:sz w:val="24"/>
              </w:rPr>
              <w:t xml:space="preserve">Investment </w:t>
            </w:r>
            <w:r w:rsidR="00545D59">
              <w:rPr>
                <w:b/>
                <w:bCs/>
                <w:sz w:val="24"/>
              </w:rPr>
              <w:t>p</w:t>
            </w:r>
            <w:r w:rsidRPr="001449FA">
              <w:rPr>
                <w:b/>
                <w:bCs/>
                <w:sz w:val="24"/>
              </w:rPr>
              <w:t>roperty</w:t>
            </w:r>
          </w:p>
        </w:tc>
        <w:tc>
          <w:tcPr>
            <w:tcW w:w="3487" w:type="dxa"/>
            <w:shd w:val="clear" w:color="auto" w:fill="F2F2F2" w:themeFill="background1" w:themeFillShade="F2"/>
          </w:tcPr>
          <w:p w14:paraId="48028032" w14:textId="0FBB81B8" w:rsidR="00DD743C" w:rsidRPr="001449FA" w:rsidRDefault="00DD743C" w:rsidP="001449FA">
            <w:pPr>
              <w:pStyle w:val="TableContent"/>
              <w:rPr>
                <w:b/>
                <w:bCs/>
                <w:sz w:val="24"/>
              </w:rPr>
            </w:pPr>
            <w:r w:rsidRPr="001449FA">
              <w:rPr>
                <w:b/>
                <w:bCs/>
                <w:sz w:val="24"/>
              </w:rPr>
              <w:t xml:space="preserve">Fair </w:t>
            </w:r>
            <w:r w:rsidR="00545D59">
              <w:rPr>
                <w:b/>
                <w:bCs/>
                <w:sz w:val="24"/>
              </w:rPr>
              <w:t>v</w:t>
            </w:r>
            <w:r w:rsidRPr="001449FA">
              <w:rPr>
                <w:b/>
                <w:bCs/>
                <w:sz w:val="24"/>
              </w:rPr>
              <w:t xml:space="preserve">alue </w:t>
            </w:r>
            <w:r w:rsidR="00545D59">
              <w:rPr>
                <w:b/>
                <w:bCs/>
                <w:sz w:val="24"/>
              </w:rPr>
              <w:t>h</w:t>
            </w:r>
            <w:r w:rsidRPr="001449FA">
              <w:rPr>
                <w:b/>
                <w:bCs/>
                <w:sz w:val="24"/>
              </w:rPr>
              <w:t>ierarchy</w:t>
            </w:r>
          </w:p>
        </w:tc>
        <w:tc>
          <w:tcPr>
            <w:tcW w:w="3487" w:type="dxa"/>
            <w:shd w:val="clear" w:color="auto" w:fill="F2F2F2" w:themeFill="background1" w:themeFillShade="F2"/>
          </w:tcPr>
          <w:p w14:paraId="22FCD130" w14:textId="276C1A54" w:rsidR="00DD743C" w:rsidRPr="001449FA" w:rsidRDefault="00DD743C" w:rsidP="001449FA">
            <w:pPr>
              <w:pStyle w:val="TableContent"/>
              <w:rPr>
                <w:b/>
                <w:bCs/>
                <w:sz w:val="24"/>
              </w:rPr>
            </w:pPr>
            <w:r w:rsidRPr="001449FA">
              <w:rPr>
                <w:b/>
                <w:bCs/>
                <w:sz w:val="24"/>
              </w:rPr>
              <w:t xml:space="preserve">Valuation </w:t>
            </w:r>
            <w:r w:rsidR="00545D59">
              <w:rPr>
                <w:b/>
                <w:bCs/>
                <w:sz w:val="24"/>
              </w:rPr>
              <w:t>t</w:t>
            </w:r>
            <w:r w:rsidRPr="001449FA">
              <w:rPr>
                <w:b/>
                <w:bCs/>
                <w:sz w:val="24"/>
              </w:rPr>
              <w:t>echnique</w:t>
            </w:r>
          </w:p>
        </w:tc>
        <w:tc>
          <w:tcPr>
            <w:tcW w:w="3487" w:type="dxa"/>
            <w:shd w:val="clear" w:color="auto" w:fill="F2F2F2" w:themeFill="background1" w:themeFillShade="F2"/>
          </w:tcPr>
          <w:p w14:paraId="57F1DBCD" w14:textId="77777777" w:rsidR="00DD743C" w:rsidRPr="001449FA" w:rsidRDefault="00DD743C" w:rsidP="001449FA">
            <w:pPr>
              <w:pStyle w:val="TableContent"/>
              <w:rPr>
                <w:b/>
                <w:bCs/>
                <w:sz w:val="24"/>
              </w:rPr>
            </w:pPr>
            <w:r w:rsidRPr="001449FA">
              <w:rPr>
                <w:b/>
                <w:bCs/>
                <w:sz w:val="24"/>
              </w:rPr>
              <w:t>Inputs</w:t>
            </w:r>
          </w:p>
        </w:tc>
      </w:tr>
      <w:tr w:rsidR="00DD743C" w:rsidRPr="000049AB" w14:paraId="2BD67695" w14:textId="77777777">
        <w:tc>
          <w:tcPr>
            <w:tcW w:w="3487" w:type="dxa"/>
          </w:tcPr>
          <w:p w14:paraId="7690B92A" w14:textId="793AE1FA" w:rsidR="00DD743C" w:rsidRPr="001449FA" w:rsidRDefault="00DD743C" w:rsidP="001449FA">
            <w:pPr>
              <w:pStyle w:val="TableContent"/>
              <w:rPr>
                <w:rFonts w:eastAsia="Calibri"/>
                <w:sz w:val="24"/>
              </w:rPr>
            </w:pPr>
            <w:r w:rsidRPr="001449FA">
              <w:rPr>
                <w:rFonts w:eastAsia="Calibri"/>
                <w:sz w:val="24"/>
              </w:rPr>
              <w:t xml:space="preserve">Investment </w:t>
            </w:r>
            <w:r w:rsidR="00545D59">
              <w:rPr>
                <w:rFonts w:eastAsia="Calibri"/>
                <w:sz w:val="24"/>
              </w:rPr>
              <w:t>p</w:t>
            </w:r>
            <w:r w:rsidRPr="001449FA">
              <w:rPr>
                <w:rFonts w:eastAsia="Calibri"/>
                <w:sz w:val="24"/>
              </w:rPr>
              <w:t>roperty</w:t>
            </w:r>
          </w:p>
        </w:tc>
        <w:tc>
          <w:tcPr>
            <w:tcW w:w="3487" w:type="dxa"/>
          </w:tcPr>
          <w:p w14:paraId="291C8003" w14:textId="77777777" w:rsidR="00DD743C" w:rsidRPr="001449FA" w:rsidRDefault="00DD743C" w:rsidP="001449FA">
            <w:pPr>
              <w:pStyle w:val="TableContent"/>
              <w:rPr>
                <w:rFonts w:eastAsia="Calibri"/>
                <w:sz w:val="24"/>
              </w:rPr>
            </w:pPr>
            <w:r w:rsidRPr="001449FA">
              <w:rPr>
                <w:rFonts w:eastAsia="Calibri"/>
                <w:sz w:val="24"/>
              </w:rPr>
              <w:t>3</w:t>
            </w:r>
          </w:p>
        </w:tc>
        <w:tc>
          <w:tcPr>
            <w:tcW w:w="3487" w:type="dxa"/>
          </w:tcPr>
          <w:p w14:paraId="4567C164" w14:textId="2FA788AE" w:rsidR="00DD743C" w:rsidRPr="001449FA" w:rsidRDefault="00DD743C" w:rsidP="001449FA">
            <w:pPr>
              <w:pStyle w:val="TableContent"/>
              <w:rPr>
                <w:sz w:val="24"/>
              </w:rPr>
            </w:pPr>
            <w:r w:rsidRPr="001449FA">
              <w:rPr>
                <w:sz w:val="24"/>
              </w:rPr>
              <w:t>Market approach or income approach</w:t>
            </w:r>
            <w:r w:rsidR="000D1E76">
              <w:rPr>
                <w:sz w:val="24"/>
              </w:rPr>
              <w:t>.</w:t>
            </w:r>
          </w:p>
        </w:tc>
        <w:tc>
          <w:tcPr>
            <w:tcW w:w="3487" w:type="dxa"/>
          </w:tcPr>
          <w:p w14:paraId="3872EC0D" w14:textId="77777777" w:rsidR="00DD743C" w:rsidRPr="001449FA" w:rsidRDefault="00DD743C" w:rsidP="001449FA">
            <w:pPr>
              <w:pStyle w:val="TableContent"/>
              <w:rPr>
                <w:sz w:val="24"/>
              </w:rPr>
            </w:pPr>
            <w:r w:rsidRPr="001449FA">
              <w:rPr>
                <w:sz w:val="24"/>
              </w:rPr>
              <w:t xml:space="preserve">Discount rates, yields, expected vacancy rates and rental growth rates estimated by management based on comparable transactions and industry data. </w:t>
            </w:r>
          </w:p>
        </w:tc>
      </w:tr>
    </w:tbl>
    <w:p w14:paraId="28601F3E" w14:textId="5CE4727E" w:rsidR="00DD743C" w:rsidRDefault="00DD743C">
      <w:pPr>
        <w:spacing w:after="0" w:line="240" w:lineRule="auto"/>
        <w:rPr>
          <w:rFonts w:cs="Arial"/>
          <w:lang w:val="en-GB"/>
        </w:rPr>
      </w:pPr>
    </w:p>
    <w:p w14:paraId="1DE61038" w14:textId="77777777" w:rsidR="00C21206" w:rsidRDefault="00C21206">
      <w:pPr>
        <w:spacing w:after="0" w:line="240" w:lineRule="auto"/>
        <w:rPr>
          <w:rFonts w:cs="Arial"/>
          <w:lang w:val="en-GB"/>
        </w:rPr>
      </w:pPr>
      <w:r>
        <w:br w:type="page"/>
      </w:r>
    </w:p>
    <w:p w14:paraId="5D8FED05" w14:textId="7C13C7D4" w:rsidR="00DD743C" w:rsidRPr="000049AB" w:rsidRDefault="00DD743C" w:rsidP="00D70B5C">
      <w:pPr>
        <w:pStyle w:val="BodyText"/>
      </w:pPr>
      <w:r w:rsidRPr="000049AB">
        <w:lastRenderedPageBreak/>
        <w:t xml:space="preserve">The practical application of AASB 13 Fair Value Measurement (2022) to the valuation of other assets is as follows: </w:t>
      </w:r>
    </w:p>
    <w:tbl>
      <w:tblPr>
        <w:tblStyle w:val="TableGrid"/>
        <w:tblW w:w="0" w:type="auto"/>
        <w:tblLook w:val="04A0" w:firstRow="1" w:lastRow="0" w:firstColumn="1" w:lastColumn="0" w:noHBand="0" w:noVBand="1"/>
      </w:tblPr>
      <w:tblGrid>
        <w:gridCol w:w="3437"/>
        <w:gridCol w:w="3424"/>
        <w:gridCol w:w="3425"/>
        <w:gridCol w:w="3425"/>
      </w:tblGrid>
      <w:tr w:rsidR="00DD743C" w:rsidRPr="000049AB" w14:paraId="1217503F" w14:textId="77777777" w:rsidTr="004058EA">
        <w:tc>
          <w:tcPr>
            <w:tcW w:w="3437" w:type="dxa"/>
            <w:tcBorders>
              <w:bottom w:val="single" w:sz="4" w:space="0" w:color="auto"/>
            </w:tcBorders>
            <w:shd w:val="clear" w:color="auto" w:fill="F2F2F2" w:themeFill="background1" w:themeFillShade="F2"/>
          </w:tcPr>
          <w:p w14:paraId="7584D02D" w14:textId="62FC2F60" w:rsidR="00DD743C" w:rsidRPr="001449FA" w:rsidRDefault="00DD743C" w:rsidP="001449FA">
            <w:pPr>
              <w:pStyle w:val="TableContent"/>
              <w:rPr>
                <w:b/>
                <w:bCs/>
                <w:sz w:val="24"/>
              </w:rPr>
            </w:pPr>
            <w:r w:rsidRPr="001449FA">
              <w:rPr>
                <w:b/>
                <w:bCs/>
                <w:sz w:val="24"/>
              </w:rPr>
              <w:t xml:space="preserve">Asset </w:t>
            </w:r>
            <w:r w:rsidR="00545D59">
              <w:rPr>
                <w:b/>
                <w:bCs/>
                <w:sz w:val="24"/>
              </w:rPr>
              <w:t>c</w:t>
            </w:r>
            <w:r w:rsidRPr="001449FA">
              <w:rPr>
                <w:b/>
                <w:bCs/>
                <w:sz w:val="24"/>
              </w:rPr>
              <w:t>lass</w:t>
            </w:r>
          </w:p>
        </w:tc>
        <w:tc>
          <w:tcPr>
            <w:tcW w:w="3424" w:type="dxa"/>
            <w:tcBorders>
              <w:bottom w:val="single" w:sz="4" w:space="0" w:color="auto"/>
            </w:tcBorders>
            <w:shd w:val="clear" w:color="auto" w:fill="F2F2F2" w:themeFill="background1" w:themeFillShade="F2"/>
          </w:tcPr>
          <w:p w14:paraId="033335C1" w14:textId="79B10E3B" w:rsidR="00DD743C" w:rsidRPr="001449FA" w:rsidRDefault="00DD743C" w:rsidP="001449FA">
            <w:pPr>
              <w:pStyle w:val="TableContent"/>
              <w:rPr>
                <w:b/>
                <w:bCs/>
                <w:sz w:val="24"/>
              </w:rPr>
            </w:pPr>
            <w:r w:rsidRPr="001449FA">
              <w:rPr>
                <w:b/>
                <w:bCs/>
                <w:sz w:val="24"/>
              </w:rPr>
              <w:t xml:space="preserve">Fair </w:t>
            </w:r>
            <w:r w:rsidR="00545D59">
              <w:rPr>
                <w:b/>
                <w:bCs/>
                <w:sz w:val="24"/>
              </w:rPr>
              <w:t>v</w:t>
            </w:r>
            <w:r w:rsidRPr="001449FA">
              <w:rPr>
                <w:b/>
                <w:bCs/>
                <w:sz w:val="24"/>
              </w:rPr>
              <w:t xml:space="preserve">alue </w:t>
            </w:r>
            <w:r w:rsidR="00545D59">
              <w:rPr>
                <w:b/>
                <w:bCs/>
                <w:sz w:val="24"/>
              </w:rPr>
              <w:t>h</w:t>
            </w:r>
            <w:r w:rsidRPr="001449FA">
              <w:rPr>
                <w:b/>
                <w:bCs/>
                <w:sz w:val="24"/>
              </w:rPr>
              <w:t>ierarchy</w:t>
            </w:r>
          </w:p>
        </w:tc>
        <w:tc>
          <w:tcPr>
            <w:tcW w:w="3425" w:type="dxa"/>
            <w:tcBorders>
              <w:bottom w:val="single" w:sz="4" w:space="0" w:color="auto"/>
            </w:tcBorders>
            <w:shd w:val="clear" w:color="auto" w:fill="F2F2F2" w:themeFill="background1" w:themeFillShade="F2"/>
          </w:tcPr>
          <w:p w14:paraId="5EA1D3B3" w14:textId="187BED0A" w:rsidR="00DD743C" w:rsidRPr="001449FA" w:rsidRDefault="00DD743C" w:rsidP="001449FA">
            <w:pPr>
              <w:pStyle w:val="TableContent"/>
              <w:rPr>
                <w:b/>
                <w:bCs/>
                <w:sz w:val="24"/>
              </w:rPr>
            </w:pPr>
            <w:r w:rsidRPr="001449FA">
              <w:rPr>
                <w:b/>
                <w:bCs/>
                <w:sz w:val="24"/>
              </w:rPr>
              <w:t xml:space="preserve">Valuation </w:t>
            </w:r>
            <w:r w:rsidR="00545D59">
              <w:rPr>
                <w:b/>
                <w:bCs/>
                <w:sz w:val="24"/>
              </w:rPr>
              <w:t>t</w:t>
            </w:r>
            <w:r w:rsidRPr="001449FA">
              <w:rPr>
                <w:b/>
                <w:bCs/>
                <w:sz w:val="24"/>
              </w:rPr>
              <w:t>echnique</w:t>
            </w:r>
          </w:p>
        </w:tc>
        <w:tc>
          <w:tcPr>
            <w:tcW w:w="3425" w:type="dxa"/>
            <w:tcBorders>
              <w:bottom w:val="single" w:sz="4" w:space="0" w:color="auto"/>
            </w:tcBorders>
            <w:shd w:val="clear" w:color="auto" w:fill="F2F2F2" w:themeFill="background1" w:themeFillShade="F2"/>
          </w:tcPr>
          <w:p w14:paraId="014368C7" w14:textId="77777777" w:rsidR="00DD743C" w:rsidRPr="001449FA" w:rsidRDefault="00DD743C" w:rsidP="001449FA">
            <w:pPr>
              <w:pStyle w:val="TableContent"/>
              <w:rPr>
                <w:b/>
                <w:bCs/>
                <w:sz w:val="24"/>
              </w:rPr>
            </w:pPr>
            <w:r w:rsidRPr="001449FA">
              <w:rPr>
                <w:b/>
                <w:bCs/>
                <w:sz w:val="24"/>
              </w:rPr>
              <w:t>Inputs</w:t>
            </w:r>
          </w:p>
        </w:tc>
      </w:tr>
      <w:tr w:rsidR="004058EA" w:rsidRPr="000049AB" w14:paraId="29523B4A" w14:textId="77777777" w:rsidTr="004058EA">
        <w:tc>
          <w:tcPr>
            <w:tcW w:w="3437" w:type="dxa"/>
          </w:tcPr>
          <w:p w14:paraId="236E2BF9" w14:textId="77777777" w:rsidR="004058EA" w:rsidRPr="001449FA" w:rsidRDefault="004058EA" w:rsidP="004058EA">
            <w:pPr>
              <w:pStyle w:val="TableContent"/>
              <w:rPr>
                <w:rFonts w:eastAsia="Calibri"/>
                <w:sz w:val="24"/>
              </w:rPr>
            </w:pPr>
            <w:r w:rsidRPr="001449FA">
              <w:rPr>
                <w:rFonts w:eastAsia="Calibri"/>
                <w:sz w:val="24"/>
              </w:rPr>
              <w:t xml:space="preserve">Plant and equipment </w:t>
            </w:r>
          </w:p>
        </w:tc>
        <w:tc>
          <w:tcPr>
            <w:tcW w:w="3424" w:type="dxa"/>
          </w:tcPr>
          <w:p w14:paraId="480109F9" w14:textId="77777777" w:rsidR="004058EA" w:rsidRPr="001449FA" w:rsidRDefault="004058EA" w:rsidP="004058EA">
            <w:pPr>
              <w:pStyle w:val="TableContent"/>
            </w:pPr>
            <w:r w:rsidRPr="001449FA">
              <w:rPr>
                <w:rFonts w:eastAsia="Calibri"/>
                <w:sz w:val="24"/>
              </w:rPr>
              <w:t>Use the cost model in accordance with AAS.</w:t>
            </w:r>
          </w:p>
        </w:tc>
        <w:tc>
          <w:tcPr>
            <w:tcW w:w="3425" w:type="dxa"/>
          </w:tcPr>
          <w:p w14:paraId="6AE85DFC" w14:textId="1CAF2C4A" w:rsidR="004058EA" w:rsidRPr="001449FA" w:rsidRDefault="004058EA" w:rsidP="004058EA">
            <w:pPr>
              <w:pStyle w:val="TableContent"/>
            </w:pPr>
            <w:r w:rsidRPr="004D419F">
              <w:rPr>
                <w:rFonts w:eastAsia="Calibri"/>
                <w:sz w:val="24"/>
              </w:rPr>
              <w:t>Use the cost model in accordance with AAS.</w:t>
            </w:r>
          </w:p>
        </w:tc>
        <w:tc>
          <w:tcPr>
            <w:tcW w:w="3425" w:type="dxa"/>
          </w:tcPr>
          <w:p w14:paraId="5499BF71" w14:textId="0742C96F" w:rsidR="004058EA" w:rsidRPr="001449FA" w:rsidRDefault="004058EA" w:rsidP="004058EA">
            <w:pPr>
              <w:pStyle w:val="TableContent"/>
              <w:rPr>
                <w:sz w:val="24"/>
              </w:rPr>
            </w:pPr>
            <w:r w:rsidRPr="004D419F">
              <w:rPr>
                <w:rFonts w:eastAsia="Calibri"/>
                <w:sz w:val="24"/>
              </w:rPr>
              <w:t>Use the cost model in accordance with AAS.</w:t>
            </w:r>
          </w:p>
        </w:tc>
      </w:tr>
      <w:tr w:rsidR="004058EA" w:rsidRPr="000049AB" w14:paraId="4E55EA45" w14:textId="77777777" w:rsidTr="004058EA">
        <w:tc>
          <w:tcPr>
            <w:tcW w:w="3437" w:type="dxa"/>
          </w:tcPr>
          <w:p w14:paraId="52B950F6" w14:textId="77777777" w:rsidR="004058EA" w:rsidRPr="001449FA" w:rsidRDefault="004058EA" w:rsidP="004058EA">
            <w:pPr>
              <w:pStyle w:val="TableContent"/>
              <w:rPr>
                <w:bCs/>
                <w:sz w:val="24"/>
              </w:rPr>
            </w:pPr>
            <w:r w:rsidRPr="001449FA">
              <w:rPr>
                <w:bCs/>
                <w:sz w:val="24"/>
              </w:rPr>
              <w:t>Right-of-use-assets</w:t>
            </w:r>
          </w:p>
          <w:p w14:paraId="2A63C75C" w14:textId="77777777" w:rsidR="004058EA" w:rsidRPr="001449FA" w:rsidRDefault="004058EA" w:rsidP="004058EA">
            <w:pPr>
              <w:pStyle w:val="TableContent"/>
              <w:rPr>
                <w:rFonts w:eastAsia="Calibri"/>
                <w:sz w:val="24"/>
              </w:rPr>
            </w:pPr>
            <w:r w:rsidRPr="001449FA">
              <w:rPr>
                <w:bCs/>
                <w:sz w:val="24"/>
              </w:rPr>
              <w:t>(other than local government controlled vested improvements)</w:t>
            </w:r>
          </w:p>
        </w:tc>
        <w:tc>
          <w:tcPr>
            <w:tcW w:w="3424" w:type="dxa"/>
          </w:tcPr>
          <w:p w14:paraId="3EFE59B5" w14:textId="77777777" w:rsidR="004058EA" w:rsidRPr="001449FA" w:rsidRDefault="004058EA" w:rsidP="004058EA">
            <w:pPr>
              <w:pStyle w:val="TableContent"/>
            </w:pPr>
            <w:r w:rsidRPr="001449FA">
              <w:rPr>
                <w:rFonts w:eastAsia="Calibri"/>
                <w:sz w:val="24"/>
              </w:rPr>
              <w:t>Use the cost model in accordance with AAS.</w:t>
            </w:r>
          </w:p>
        </w:tc>
        <w:tc>
          <w:tcPr>
            <w:tcW w:w="3425" w:type="dxa"/>
          </w:tcPr>
          <w:p w14:paraId="3EC45C4E" w14:textId="563FBC18" w:rsidR="004058EA" w:rsidRPr="001449FA" w:rsidRDefault="004058EA" w:rsidP="004058EA">
            <w:pPr>
              <w:pStyle w:val="TableContent"/>
            </w:pPr>
            <w:r w:rsidRPr="007C094D">
              <w:rPr>
                <w:rFonts w:eastAsia="Calibri"/>
                <w:sz w:val="24"/>
              </w:rPr>
              <w:t>Use the cost model in accordance with AAS.</w:t>
            </w:r>
          </w:p>
        </w:tc>
        <w:tc>
          <w:tcPr>
            <w:tcW w:w="3425" w:type="dxa"/>
          </w:tcPr>
          <w:p w14:paraId="50E3CDAB" w14:textId="661FC573" w:rsidR="004058EA" w:rsidRPr="001449FA" w:rsidRDefault="004058EA" w:rsidP="004058EA">
            <w:pPr>
              <w:pStyle w:val="TableContent"/>
              <w:rPr>
                <w:sz w:val="24"/>
              </w:rPr>
            </w:pPr>
            <w:r w:rsidRPr="007C094D">
              <w:rPr>
                <w:rFonts w:eastAsia="Calibri"/>
                <w:sz w:val="24"/>
              </w:rPr>
              <w:t>Use the cost model in accordance with AAS.</w:t>
            </w:r>
          </w:p>
        </w:tc>
      </w:tr>
    </w:tbl>
    <w:p w14:paraId="16964F41" w14:textId="77777777" w:rsidR="00735ECA" w:rsidRDefault="00735ECA">
      <w:pPr>
        <w:spacing w:after="0" w:line="240" w:lineRule="auto"/>
      </w:pPr>
    </w:p>
    <w:p w14:paraId="6F28B76F" w14:textId="77777777" w:rsidR="00735ECA" w:rsidRDefault="00735ECA">
      <w:pPr>
        <w:spacing w:after="0" w:line="240" w:lineRule="auto"/>
      </w:pPr>
      <w:r>
        <w:br w:type="page"/>
      </w:r>
    </w:p>
    <w:p w14:paraId="0D6E6584" w14:textId="77777777" w:rsidR="00035514" w:rsidRDefault="00035514" w:rsidP="00035514">
      <w:pPr>
        <w:pStyle w:val="Heading2"/>
        <w:sectPr w:rsidR="00035514" w:rsidSect="002175DF">
          <w:pgSz w:w="16840" w:h="11900" w:orient="landscape" w:code="9"/>
          <w:pgMar w:top="1134" w:right="1985" w:bottom="1134" w:left="1134" w:header="567" w:footer="147" w:gutter="0"/>
          <w:cols w:space="567"/>
          <w:docGrid w:linePitch="326"/>
        </w:sectPr>
      </w:pPr>
      <w:bookmarkStart w:id="35" w:name="_Toc207722728"/>
    </w:p>
    <w:p w14:paraId="7FEF58AB" w14:textId="77777777" w:rsidR="00035514" w:rsidRPr="000049AB" w:rsidRDefault="00035514" w:rsidP="00035514">
      <w:pPr>
        <w:pStyle w:val="Heading2"/>
        <w:rPr>
          <w:b w:val="0"/>
          <w:bCs w:val="0"/>
        </w:rPr>
      </w:pPr>
      <w:bookmarkStart w:id="36" w:name="_Toc223445061"/>
      <w:r w:rsidRPr="000049AB">
        <w:lastRenderedPageBreak/>
        <w:t>Application of Guidelines sections to WA</w:t>
      </w:r>
      <w:bookmarkEnd w:id="35"/>
      <w:bookmarkEnd w:id="36"/>
    </w:p>
    <w:p w14:paraId="1C2991A8" w14:textId="77777777" w:rsidR="00035514" w:rsidRPr="000049AB" w:rsidRDefault="00035514" w:rsidP="00D70B5C">
      <w:pPr>
        <w:pStyle w:val="BodyText"/>
      </w:pPr>
      <w:r w:rsidRPr="000049AB">
        <w:t>The remainder of the Guidelines applies to WA local governments as follows:</w:t>
      </w:r>
    </w:p>
    <w:tbl>
      <w:tblPr>
        <w:tblStyle w:val="TableGrid"/>
        <w:tblW w:w="9639" w:type="dxa"/>
        <w:tblLook w:val="04A0" w:firstRow="1" w:lastRow="0" w:firstColumn="1" w:lastColumn="0" w:noHBand="0" w:noVBand="1"/>
      </w:tblPr>
      <w:tblGrid>
        <w:gridCol w:w="2109"/>
        <w:gridCol w:w="4818"/>
        <w:gridCol w:w="2712"/>
      </w:tblGrid>
      <w:tr w:rsidR="00035514" w:rsidRPr="000049AB" w14:paraId="0F20E708" w14:textId="77777777" w:rsidTr="009C12E1">
        <w:tc>
          <w:tcPr>
            <w:tcW w:w="2109" w:type="dxa"/>
            <w:shd w:val="clear" w:color="auto" w:fill="F2F2F2" w:themeFill="background1" w:themeFillShade="F2"/>
          </w:tcPr>
          <w:p w14:paraId="01C5A57D" w14:textId="77777777" w:rsidR="00035514" w:rsidRPr="009529C5" w:rsidRDefault="00035514" w:rsidP="009529C5">
            <w:pPr>
              <w:pStyle w:val="TableContent"/>
              <w:rPr>
                <w:b/>
                <w:bCs/>
                <w:sz w:val="24"/>
              </w:rPr>
            </w:pPr>
            <w:r w:rsidRPr="009529C5">
              <w:rPr>
                <w:b/>
                <w:bCs/>
                <w:sz w:val="24"/>
              </w:rPr>
              <w:t>Area</w:t>
            </w:r>
          </w:p>
        </w:tc>
        <w:tc>
          <w:tcPr>
            <w:tcW w:w="4818" w:type="dxa"/>
            <w:shd w:val="clear" w:color="auto" w:fill="F2F2F2" w:themeFill="background1" w:themeFillShade="F2"/>
          </w:tcPr>
          <w:p w14:paraId="166A5C84" w14:textId="77777777" w:rsidR="00035514" w:rsidRPr="009529C5" w:rsidRDefault="00035514" w:rsidP="009529C5">
            <w:pPr>
              <w:pStyle w:val="TableContent"/>
              <w:rPr>
                <w:b/>
                <w:bCs/>
                <w:sz w:val="24"/>
              </w:rPr>
            </w:pPr>
            <w:r w:rsidRPr="009529C5">
              <w:rPr>
                <w:b/>
                <w:bCs/>
                <w:sz w:val="24"/>
              </w:rPr>
              <w:t>Contents</w:t>
            </w:r>
          </w:p>
        </w:tc>
        <w:tc>
          <w:tcPr>
            <w:tcW w:w="2712" w:type="dxa"/>
            <w:shd w:val="clear" w:color="auto" w:fill="F2F2F2" w:themeFill="background1" w:themeFillShade="F2"/>
          </w:tcPr>
          <w:p w14:paraId="096BFEF6" w14:textId="77777777" w:rsidR="00035514" w:rsidRPr="009529C5" w:rsidRDefault="00035514" w:rsidP="009529C5">
            <w:pPr>
              <w:pStyle w:val="TableContent"/>
              <w:rPr>
                <w:b/>
                <w:bCs/>
                <w:sz w:val="24"/>
              </w:rPr>
            </w:pPr>
            <w:r w:rsidRPr="009529C5">
              <w:rPr>
                <w:b/>
                <w:bCs/>
                <w:sz w:val="24"/>
              </w:rPr>
              <w:t>Applicable to WA</w:t>
            </w:r>
          </w:p>
        </w:tc>
      </w:tr>
      <w:tr w:rsidR="003E07A3" w:rsidRPr="000049AB" w14:paraId="4F4D349D" w14:textId="77777777">
        <w:tc>
          <w:tcPr>
            <w:tcW w:w="2109" w:type="dxa"/>
          </w:tcPr>
          <w:p w14:paraId="7C4BD234" w14:textId="77777777" w:rsidR="003E07A3" w:rsidRPr="009529C5" w:rsidRDefault="003E07A3" w:rsidP="009529C5">
            <w:pPr>
              <w:pStyle w:val="TableContent"/>
              <w:rPr>
                <w:sz w:val="24"/>
              </w:rPr>
            </w:pPr>
            <w:r w:rsidRPr="009529C5">
              <w:rPr>
                <w:sz w:val="24"/>
              </w:rPr>
              <w:t>Part B</w:t>
            </w:r>
          </w:p>
        </w:tc>
        <w:tc>
          <w:tcPr>
            <w:tcW w:w="4818" w:type="dxa"/>
          </w:tcPr>
          <w:p w14:paraId="03CC0CDB" w14:textId="77777777" w:rsidR="003E07A3" w:rsidRPr="009529C5" w:rsidRDefault="003E07A3" w:rsidP="009529C5">
            <w:pPr>
              <w:pStyle w:val="TableContent"/>
              <w:rPr>
                <w:bCs/>
                <w:sz w:val="24"/>
              </w:rPr>
            </w:pPr>
            <w:r w:rsidRPr="009529C5">
              <w:rPr>
                <w:bCs/>
                <w:sz w:val="24"/>
              </w:rPr>
              <w:t>General guidance</w:t>
            </w:r>
          </w:p>
        </w:tc>
        <w:tc>
          <w:tcPr>
            <w:tcW w:w="2712" w:type="dxa"/>
          </w:tcPr>
          <w:p w14:paraId="4615D9B1" w14:textId="77777777" w:rsidR="003E07A3" w:rsidRPr="009529C5" w:rsidRDefault="003E07A3" w:rsidP="009529C5">
            <w:pPr>
              <w:pStyle w:val="TableContent"/>
              <w:rPr>
                <w:bCs/>
                <w:sz w:val="24"/>
              </w:rPr>
            </w:pPr>
            <w:r w:rsidRPr="009529C5">
              <w:rPr>
                <w:bCs/>
                <w:sz w:val="24"/>
              </w:rPr>
              <w:t>Yes, except as specifically excluded.</w:t>
            </w:r>
          </w:p>
        </w:tc>
      </w:tr>
      <w:tr w:rsidR="003E07A3" w:rsidRPr="000049AB" w14:paraId="56D84994" w14:textId="77777777">
        <w:tc>
          <w:tcPr>
            <w:tcW w:w="2109" w:type="dxa"/>
          </w:tcPr>
          <w:p w14:paraId="5FE858A7" w14:textId="77777777" w:rsidR="003E07A3" w:rsidRPr="009529C5" w:rsidRDefault="003E07A3" w:rsidP="009529C5">
            <w:pPr>
              <w:pStyle w:val="TableContent"/>
              <w:rPr>
                <w:sz w:val="24"/>
              </w:rPr>
            </w:pPr>
            <w:r w:rsidRPr="009529C5">
              <w:rPr>
                <w:sz w:val="24"/>
              </w:rPr>
              <w:t>Attachment A</w:t>
            </w:r>
          </w:p>
        </w:tc>
        <w:tc>
          <w:tcPr>
            <w:tcW w:w="4818" w:type="dxa"/>
          </w:tcPr>
          <w:p w14:paraId="6F9DF4E7" w14:textId="77777777" w:rsidR="003E07A3" w:rsidRPr="009529C5" w:rsidRDefault="003E07A3" w:rsidP="009529C5">
            <w:pPr>
              <w:pStyle w:val="TableContent"/>
              <w:rPr>
                <w:bCs/>
                <w:sz w:val="24"/>
              </w:rPr>
            </w:pPr>
            <w:r w:rsidRPr="009529C5">
              <w:rPr>
                <w:bCs/>
                <w:sz w:val="24"/>
              </w:rPr>
              <w:t>Valuation under the Accounting Standards</w:t>
            </w:r>
          </w:p>
        </w:tc>
        <w:tc>
          <w:tcPr>
            <w:tcW w:w="2712" w:type="dxa"/>
          </w:tcPr>
          <w:p w14:paraId="19C933E3" w14:textId="63A8C7B2" w:rsidR="003E07A3" w:rsidRPr="009529C5" w:rsidRDefault="003E07A3" w:rsidP="009529C5">
            <w:pPr>
              <w:pStyle w:val="TableContent"/>
              <w:rPr>
                <w:bCs/>
                <w:sz w:val="24"/>
              </w:rPr>
            </w:pPr>
            <w:r w:rsidRPr="009529C5">
              <w:rPr>
                <w:bCs/>
                <w:sz w:val="24"/>
              </w:rPr>
              <w:t>Yes, except as specifically excluded.</w:t>
            </w:r>
          </w:p>
        </w:tc>
      </w:tr>
      <w:tr w:rsidR="00035514" w:rsidRPr="000049AB" w14:paraId="240A1EDA" w14:textId="77777777">
        <w:tc>
          <w:tcPr>
            <w:tcW w:w="2109" w:type="dxa"/>
          </w:tcPr>
          <w:p w14:paraId="428BA2DC" w14:textId="77777777" w:rsidR="00035514" w:rsidRPr="009529C5" w:rsidRDefault="00035514" w:rsidP="009529C5">
            <w:pPr>
              <w:pStyle w:val="TableContent"/>
              <w:rPr>
                <w:sz w:val="24"/>
              </w:rPr>
            </w:pPr>
            <w:r w:rsidRPr="009529C5">
              <w:rPr>
                <w:sz w:val="24"/>
              </w:rPr>
              <w:t>Attachment C</w:t>
            </w:r>
          </w:p>
        </w:tc>
        <w:tc>
          <w:tcPr>
            <w:tcW w:w="4818" w:type="dxa"/>
          </w:tcPr>
          <w:p w14:paraId="01F3A193" w14:textId="77777777" w:rsidR="00035514" w:rsidRPr="009529C5" w:rsidRDefault="00035514" w:rsidP="009529C5">
            <w:pPr>
              <w:pStyle w:val="TableContent"/>
              <w:rPr>
                <w:bCs/>
                <w:sz w:val="24"/>
              </w:rPr>
            </w:pPr>
            <w:r w:rsidRPr="009529C5">
              <w:rPr>
                <w:bCs/>
                <w:sz w:val="24"/>
              </w:rPr>
              <w:t>Pro-forma RFQ specifications</w:t>
            </w:r>
          </w:p>
        </w:tc>
        <w:tc>
          <w:tcPr>
            <w:tcW w:w="2712" w:type="dxa"/>
          </w:tcPr>
          <w:p w14:paraId="7A8A3B19" w14:textId="77777777" w:rsidR="00035514" w:rsidRPr="009529C5" w:rsidRDefault="00035514" w:rsidP="009529C5">
            <w:pPr>
              <w:pStyle w:val="TableContent"/>
              <w:rPr>
                <w:bCs/>
                <w:sz w:val="24"/>
              </w:rPr>
            </w:pPr>
            <w:r w:rsidRPr="009529C5">
              <w:rPr>
                <w:bCs/>
                <w:sz w:val="24"/>
              </w:rPr>
              <w:t>Yes</w:t>
            </w:r>
          </w:p>
        </w:tc>
      </w:tr>
      <w:tr w:rsidR="00035514" w:rsidRPr="000049AB" w14:paraId="09FA5789" w14:textId="77777777">
        <w:tc>
          <w:tcPr>
            <w:tcW w:w="2109" w:type="dxa"/>
          </w:tcPr>
          <w:p w14:paraId="334E69D6" w14:textId="77777777" w:rsidR="00035514" w:rsidRPr="009529C5" w:rsidRDefault="00035514" w:rsidP="009529C5">
            <w:pPr>
              <w:pStyle w:val="TableContent"/>
              <w:rPr>
                <w:sz w:val="24"/>
              </w:rPr>
            </w:pPr>
            <w:r w:rsidRPr="009529C5">
              <w:rPr>
                <w:sz w:val="24"/>
              </w:rPr>
              <w:t>Attachment B</w:t>
            </w:r>
          </w:p>
        </w:tc>
        <w:tc>
          <w:tcPr>
            <w:tcW w:w="4818" w:type="dxa"/>
          </w:tcPr>
          <w:p w14:paraId="623F0C02" w14:textId="77777777" w:rsidR="00035514" w:rsidRPr="009529C5" w:rsidRDefault="00035514" w:rsidP="009529C5">
            <w:pPr>
              <w:pStyle w:val="TableContent"/>
              <w:rPr>
                <w:bCs/>
                <w:sz w:val="24"/>
              </w:rPr>
            </w:pPr>
            <w:r w:rsidRPr="009529C5">
              <w:rPr>
                <w:bCs/>
                <w:sz w:val="24"/>
              </w:rPr>
              <w:t>Guidance on specific asset types</w:t>
            </w:r>
          </w:p>
        </w:tc>
        <w:tc>
          <w:tcPr>
            <w:tcW w:w="2712" w:type="dxa"/>
          </w:tcPr>
          <w:p w14:paraId="27BC9DB1" w14:textId="77777777" w:rsidR="00035514" w:rsidRPr="009529C5" w:rsidRDefault="00035514" w:rsidP="009529C5">
            <w:pPr>
              <w:pStyle w:val="TableContent"/>
              <w:rPr>
                <w:sz w:val="24"/>
              </w:rPr>
            </w:pPr>
            <w:r w:rsidRPr="009529C5">
              <w:rPr>
                <w:sz w:val="24"/>
              </w:rPr>
              <w:t>No</w:t>
            </w:r>
          </w:p>
        </w:tc>
      </w:tr>
    </w:tbl>
    <w:p w14:paraId="5F3938B7" w14:textId="77777777" w:rsidR="00035514" w:rsidRDefault="00035514">
      <w:pPr>
        <w:spacing w:after="0" w:line="240" w:lineRule="auto"/>
        <w:sectPr w:rsidR="00035514" w:rsidSect="002175DF">
          <w:pgSz w:w="11900" w:h="16840" w:code="9"/>
          <w:pgMar w:top="1985" w:right="1134" w:bottom="1134" w:left="1134" w:header="567" w:footer="147" w:gutter="0"/>
          <w:cols w:space="567"/>
          <w:docGrid w:linePitch="326"/>
        </w:sectPr>
      </w:pPr>
    </w:p>
    <w:p w14:paraId="04C7B293" w14:textId="77777777" w:rsidR="009F5F4D" w:rsidRDefault="009F5F4D" w:rsidP="009F5F4D">
      <w:pPr>
        <w:pStyle w:val="Heading1"/>
        <w:rPr>
          <w:color w:val="auto"/>
          <w:szCs w:val="42"/>
        </w:rPr>
      </w:pPr>
      <w:bookmarkStart w:id="37" w:name="_Toc207722729"/>
      <w:bookmarkStart w:id="38" w:name="_Toc223445062"/>
      <w:r w:rsidRPr="000049AB">
        <w:rPr>
          <w:color w:val="auto"/>
          <w:szCs w:val="42"/>
        </w:rPr>
        <w:lastRenderedPageBreak/>
        <w:t>Part B</w:t>
      </w:r>
      <w:bookmarkEnd w:id="37"/>
      <w:bookmarkEnd w:id="38"/>
    </w:p>
    <w:p w14:paraId="0C7B1DEA" w14:textId="1FB7D77B" w:rsidR="00AF276F" w:rsidRDefault="00AF276F" w:rsidP="00EB57E0">
      <w:pPr>
        <w:pStyle w:val="BlockText"/>
      </w:pPr>
      <w:r>
        <w:t xml:space="preserve">Part B </w:t>
      </w:r>
      <w:r w:rsidRPr="00250189">
        <w:t>provides guidance regarding valuation practice</w:t>
      </w:r>
      <w:r w:rsidR="000B1D1A">
        <w:t>.</w:t>
      </w:r>
      <w:r>
        <w:t xml:space="preserve"> </w:t>
      </w:r>
    </w:p>
    <w:p w14:paraId="4DD71724" w14:textId="78631720" w:rsidR="00AF276F" w:rsidRDefault="00AF276F" w:rsidP="00EB57E0">
      <w:pPr>
        <w:pStyle w:val="BlockText"/>
      </w:pPr>
      <w:r>
        <w:t xml:space="preserve">Part </w:t>
      </w:r>
      <w:r w:rsidRPr="00250189">
        <w:t>B applies across all Australian jurisdictions. However, Part B does not consider jurisdictional legislation which may overrule the guidance it provides.</w:t>
      </w:r>
    </w:p>
    <w:p w14:paraId="067FB26E" w14:textId="1155DDCF" w:rsidR="00AF276F" w:rsidRDefault="006F109E" w:rsidP="00EB57E0">
      <w:pPr>
        <w:pStyle w:val="BlockText"/>
      </w:pPr>
      <w:r>
        <w:t>I</w:t>
      </w:r>
      <w:r w:rsidR="00AF276F" w:rsidRPr="00250189">
        <w:t>f a conflict arises between jurisdictional legislation and the guidance provided in Part B, the jurisdictional legislation may take precedence.</w:t>
      </w:r>
    </w:p>
    <w:p w14:paraId="32A7F80D" w14:textId="7B78EE43" w:rsidR="004D07D2" w:rsidRPr="009F5A5C" w:rsidRDefault="00AF276F" w:rsidP="009F5A5C">
      <w:pPr>
        <w:pStyle w:val="BlockText"/>
      </w:pPr>
      <w:r w:rsidRPr="00250189">
        <w:t xml:space="preserve">Part B is applicable to WA, except </w:t>
      </w:r>
      <w:r w:rsidR="006F109E">
        <w:t>where</w:t>
      </w:r>
      <w:r w:rsidRPr="00250189">
        <w:t xml:space="preserve"> specifically excluded.</w:t>
      </w:r>
    </w:p>
    <w:p w14:paraId="653E78E2" w14:textId="77777777" w:rsidR="000B1DA9" w:rsidRDefault="000B1DA9">
      <w:pPr>
        <w:spacing w:after="0" w:line="240" w:lineRule="auto"/>
        <w:rPr>
          <w:rFonts w:cs="Arial"/>
          <w:b/>
          <w:bCs/>
          <w:color w:val="38115E"/>
          <w:sz w:val="30"/>
          <w:lang w:val="en-GB"/>
        </w:rPr>
      </w:pPr>
      <w:bookmarkStart w:id="39" w:name="_Toc170118958"/>
      <w:bookmarkStart w:id="40" w:name="_Toc207722730"/>
      <w:r>
        <w:br w:type="page"/>
      </w:r>
    </w:p>
    <w:p w14:paraId="3DFC132A" w14:textId="22E5CEE2" w:rsidR="003200C6" w:rsidRPr="000049AB" w:rsidRDefault="003200C6" w:rsidP="003200C6">
      <w:pPr>
        <w:pStyle w:val="Heading2"/>
        <w:rPr>
          <w:b w:val="0"/>
          <w:bCs w:val="0"/>
        </w:rPr>
      </w:pPr>
      <w:bookmarkStart w:id="41" w:name="_Toc223445063"/>
      <w:r w:rsidRPr="000049AB">
        <w:lastRenderedPageBreak/>
        <w:t>Background</w:t>
      </w:r>
      <w:bookmarkEnd w:id="39"/>
      <w:bookmarkEnd w:id="40"/>
      <w:bookmarkEnd w:id="41"/>
    </w:p>
    <w:p w14:paraId="0A7800DC" w14:textId="49335247" w:rsidR="003200C6" w:rsidRPr="000049AB" w:rsidRDefault="003200C6" w:rsidP="00D70B5C">
      <w:pPr>
        <w:pStyle w:val="BodyText"/>
      </w:pPr>
      <w:r w:rsidRPr="000049AB">
        <w:t>For many years practitioner</w:t>
      </w:r>
      <w:r w:rsidR="000D1E76">
        <w:t>s</w:t>
      </w:r>
      <w:r w:rsidRPr="000049AB">
        <w:t xml:space="preserve">, auditors and regulators have highlighted the importance of clear guidance on the fair valuation of non-financial assets. The AASB recognised the inconsistency in valuation methodologies across jurisdictions and the potential for non-compliance with AAS. This led to </w:t>
      </w:r>
      <w:r w:rsidR="00EB16C0">
        <w:t xml:space="preserve">the </w:t>
      </w:r>
      <w:r w:rsidRPr="000049AB">
        <w:t>update</w:t>
      </w:r>
      <w:r w:rsidR="00EB16C0">
        <w:t>d</w:t>
      </w:r>
      <w:r w:rsidRPr="000049AB">
        <w:t xml:space="preserve"> AASB 13 Fair Value Measurement (2022).</w:t>
      </w:r>
    </w:p>
    <w:p w14:paraId="38C5C027" w14:textId="7542B627" w:rsidR="003200C6" w:rsidRPr="000049AB" w:rsidRDefault="003200C6" w:rsidP="00D70B5C">
      <w:pPr>
        <w:pStyle w:val="BodyText"/>
      </w:pPr>
      <w:r w:rsidRPr="000049AB">
        <w:t xml:space="preserve">However, recent reports from Auditors General of various </w:t>
      </w:r>
      <w:r w:rsidR="00BE2070">
        <w:t>s</w:t>
      </w:r>
      <w:r w:rsidRPr="000049AB">
        <w:t xml:space="preserve">tates and </w:t>
      </w:r>
      <w:r w:rsidR="00BE2070">
        <w:t>t</w:t>
      </w:r>
      <w:r w:rsidRPr="000049AB">
        <w:t>erritories have shown that local governments use inconsistent practices when valuing non-financial assets. Additionally, timeliness of valuations and the impact of delayed valuations on financial statement preparation is an area of concern.</w:t>
      </w:r>
    </w:p>
    <w:p w14:paraId="156975E8" w14:textId="77777777" w:rsidR="003200C6" w:rsidRPr="000049AB" w:rsidRDefault="003200C6" w:rsidP="00D70B5C">
      <w:pPr>
        <w:pStyle w:val="BodyText"/>
      </w:pPr>
      <w:r w:rsidRPr="000049AB">
        <w:t>Non-financial assets often make up more than 50% of the total asset value of a local government. Consequently, the fair value measurement of such assets is essential. Valuation relies on professional judgements and assumptions. Therefore, local governments must conduct thorough quality reviews.</w:t>
      </w:r>
    </w:p>
    <w:p w14:paraId="09DD01AD" w14:textId="77777777" w:rsidR="003200C6" w:rsidRPr="000049AB" w:rsidRDefault="003200C6" w:rsidP="00D70B5C">
      <w:pPr>
        <w:pStyle w:val="BodyText"/>
      </w:pPr>
      <w:r w:rsidRPr="000049AB">
        <w:t xml:space="preserve">A local government’s failure to comply with AAS regarding the valuation of assets which are accounted for under the revaluation model means a local government cannot state that the financial report: </w:t>
      </w:r>
    </w:p>
    <w:p w14:paraId="02A6CE65" w14:textId="77777777" w:rsidR="00263757" w:rsidRDefault="003200C6" w:rsidP="00D70B5C">
      <w:pPr>
        <w:pStyle w:val="BodyText"/>
        <w:numPr>
          <w:ilvl w:val="0"/>
          <w:numId w:val="10"/>
        </w:numPr>
      </w:pPr>
      <w:r w:rsidRPr="000049AB">
        <w:t xml:space="preserve">complies with AAS </w:t>
      </w:r>
      <w:r w:rsidRPr="00FC6AFF">
        <w:t>and</w:t>
      </w:r>
      <w:r>
        <w:t xml:space="preserve"> </w:t>
      </w:r>
    </w:p>
    <w:p w14:paraId="5D74502E" w14:textId="55784974" w:rsidR="003200C6" w:rsidRPr="000049AB" w:rsidRDefault="003200C6" w:rsidP="00D70B5C">
      <w:pPr>
        <w:pStyle w:val="BodyText"/>
        <w:numPr>
          <w:ilvl w:val="0"/>
          <w:numId w:val="10"/>
        </w:numPr>
      </w:pPr>
      <w:r w:rsidRPr="000049AB">
        <w:t xml:space="preserve">fairly presents the local government’s financial position, financial performance and cash flows. </w:t>
      </w:r>
    </w:p>
    <w:p w14:paraId="3C2A206A" w14:textId="654158FF" w:rsidR="001464A1" w:rsidRPr="000049AB" w:rsidRDefault="003200C6" w:rsidP="00D70B5C">
      <w:pPr>
        <w:pStyle w:val="BodyText"/>
      </w:pPr>
      <w:r w:rsidRPr="000049AB">
        <w:t>In addition, fair presentation of non-financial assets also require</w:t>
      </w:r>
      <w:r w:rsidR="00A84F64">
        <w:t>s</w:t>
      </w:r>
      <w:r w:rsidRPr="000049AB">
        <w:t xml:space="preserve"> compliance with appropriate jurisdictional legislation.</w:t>
      </w:r>
      <w:r w:rsidR="001464A1">
        <w:t xml:space="preserve"> </w:t>
      </w:r>
    </w:p>
    <w:p w14:paraId="53D58FFD" w14:textId="282695C3" w:rsidR="003200C6" w:rsidRPr="000049AB" w:rsidRDefault="003200C6" w:rsidP="00D70B5C">
      <w:pPr>
        <w:pStyle w:val="BodyText"/>
      </w:pPr>
      <w:r w:rsidRPr="000049AB">
        <w:t xml:space="preserve">The </w:t>
      </w:r>
      <w:r w:rsidR="001464A1">
        <w:t xml:space="preserve">table below outlines </w:t>
      </w:r>
      <w:r w:rsidRPr="000049AB">
        <w:t>key risk areas for valuations</w:t>
      </w:r>
      <w:r w:rsidR="001464A1">
        <w:t>.</w:t>
      </w:r>
      <w:r w:rsidRPr="000049AB">
        <w:t xml:space="preserve"> </w:t>
      </w:r>
    </w:p>
    <w:tbl>
      <w:tblPr>
        <w:tblStyle w:val="TableGrid"/>
        <w:tblW w:w="9639" w:type="dxa"/>
        <w:tblLook w:val="04A0" w:firstRow="1" w:lastRow="0" w:firstColumn="1" w:lastColumn="0" w:noHBand="0" w:noVBand="1"/>
      </w:tblPr>
      <w:tblGrid>
        <w:gridCol w:w="3091"/>
        <w:gridCol w:w="6548"/>
      </w:tblGrid>
      <w:tr w:rsidR="003200C6" w:rsidRPr="000049AB" w14:paraId="311DD52C" w14:textId="77777777" w:rsidTr="00734877">
        <w:trPr>
          <w:cantSplit/>
          <w:tblHeader/>
        </w:trPr>
        <w:tc>
          <w:tcPr>
            <w:tcW w:w="3091" w:type="dxa"/>
            <w:shd w:val="clear" w:color="auto" w:fill="F2F2F2" w:themeFill="background1" w:themeFillShade="F2"/>
          </w:tcPr>
          <w:p w14:paraId="4301D279" w14:textId="777D200D" w:rsidR="003200C6" w:rsidRPr="00E762C1" w:rsidRDefault="003200C6" w:rsidP="00E762C1">
            <w:pPr>
              <w:pStyle w:val="TableContent"/>
              <w:rPr>
                <w:b/>
                <w:bCs/>
                <w:sz w:val="24"/>
              </w:rPr>
            </w:pPr>
            <w:r w:rsidRPr="00E762C1">
              <w:rPr>
                <w:b/>
                <w:bCs/>
                <w:sz w:val="24"/>
              </w:rPr>
              <w:t xml:space="preserve">Key </w:t>
            </w:r>
            <w:r w:rsidR="00545D59">
              <w:rPr>
                <w:b/>
                <w:bCs/>
                <w:sz w:val="24"/>
              </w:rPr>
              <w:t>r</w:t>
            </w:r>
            <w:r w:rsidRPr="00E762C1">
              <w:rPr>
                <w:b/>
                <w:bCs/>
                <w:sz w:val="24"/>
              </w:rPr>
              <w:t xml:space="preserve">isk </w:t>
            </w:r>
            <w:r w:rsidR="00545D59">
              <w:rPr>
                <w:b/>
                <w:bCs/>
                <w:sz w:val="24"/>
              </w:rPr>
              <w:t>a</w:t>
            </w:r>
            <w:r w:rsidRPr="00E762C1">
              <w:rPr>
                <w:b/>
                <w:bCs/>
                <w:sz w:val="24"/>
              </w:rPr>
              <w:t>rea</w:t>
            </w:r>
          </w:p>
        </w:tc>
        <w:tc>
          <w:tcPr>
            <w:tcW w:w="6548" w:type="dxa"/>
            <w:shd w:val="clear" w:color="auto" w:fill="F2F2F2" w:themeFill="background1" w:themeFillShade="F2"/>
          </w:tcPr>
          <w:p w14:paraId="37F44592" w14:textId="16437B07" w:rsidR="003200C6" w:rsidRPr="00E762C1" w:rsidRDefault="003200C6" w:rsidP="00E762C1">
            <w:pPr>
              <w:pStyle w:val="TableContent"/>
              <w:rPr>
                <w:b/>
                <w:bCs/>
                <w:sz w:val="24"/>
              </w:rPr>
            </w:pPr>
            <w:r w:rsidRPr="00E762C1">
              <w:rPr>
                <w:b/>
                <w:bCs/>
                <w:sz w:val="24"/>
              </w:rPr>
              <w:t xml:space="preserve">Risk </w:t>
            </w:r>
            <w:r w:rsidR="00545D59">
              <w:rPr>
                <w:b/>
                <w:bCs/>
                <w:sz w:val="24"/>
              </w:rPr>
              <w:t>m</w:t>
            </w:r>
            <w:r w:rsidRPr="00E762C1">
              <w:rPr>
                <w:b/>
                <w:bCs/>
                <w:sz w:val="24"/>
              </w:rPr>
              <w:t xml:space="preserve">itigation </w:t>
            </w:r>
          </w:p>
        </w:tc>
      </w:tr>
      <w:tr w:rsidR="003200C6" w:rsidRPr="000049AB" w14:paraId="4273D823" w14:textId="77777777" w:rsidTr="00734877">
        <w:tc>
          <w:tcPr>
            <w:tcW w:w="3091" w:type="dxa"/>
          </w:tcPr>
          <w:p w14:paraId="6087B85F" w14:textId="77777777" w:rsidR="003200C6" w:rsidRPr="00E762C1" w:rsidRDefault="003200C6" w:rsidP="00E762C1">
            <w:pPr>
              <w:pStyle w:val="TableContent"/>
              <w:rPr>
                <w:sz w:val="24"/>
              </w:rPr>
            </w:pPr>
            <w:r w:rsidRPr="00E762C1">
              <w:rPr>
                <w:sz w:val="24"/>
              </w:rPr>
              <w:t>Valuer’s credentials</w:t>
            </w:r>
          </w:p>
        </w:tc>
        <w:tc>
          <w:tcPr>
            <w:tcW w:w="6548" w:type="dxa"/>
          </w:tcPr>
          <w:p w14:paraId="51B907FA" w14:textId="50E84A2E" w:rsidR="003200C6" w:rsidRPr="00E762C1" w:rsidRDefault="006C176E" w:rsidP="00E762C1">
            <w:pPr>
              <w:pStyle w:val="TableContent"/>
              <w:rPr>
                <w:sz w:val="24"/>
              </w:rPr>
            </w:pPr>
            <w:r>
              <w:rPr>
                <w:sz w:val="24"/>
              </w:rPr>
              <w:t xml:space="preserve">Internal and external </w:t>
            </w:r>
            <w:r w:rsidR="003200C6" w:rsidRPr="00E762C1">
              <w:rPr>
                <w:sz w:val="24"/>
              </w:rPr>
              <w:t>valu</w:t>
            </w:r>
            <w:r w:rsidR="006C3C30">
              <w:rPr>
                <w:sz w:val="24"/>
              </w:rPr>
              <w:t>ers</w:t>
            </w:r>
            <w:r w:rsidR="003200C6" w:rsidRPr="00E762C1">
              <w:rPr>
                <w:sz w:val="24"/>
              </w:rPr>
              <w:t xml:space="preserve"> possess the relevant qualifications, expertise and experience.</w:t>
            </w:r>
          </w:p>
        </w:tc>
      </w:tr>
      <w:tr w:rsidR="003200C6" w:rsidRPr="000049AB" w14:paraId="0354D486" w14:textId="77777777" w:rsidTr="00734877">
        <w:tc>
          <w:tcPr>
            <w:tcW w:w="3091" w:type="dxa"/>
          </w:tcPr>
          <w:p w14:paraId="71379A24" w14:textId="77777777" w:rsidR="003200C6" w:rsidRPr="00E762C1" w:rsidRDefault="003200C6" w:rsidP="00E762C1">
            <w:pPr>
              <w:pStyle w:val="TableContent"/>
              <w:rPr>
                <w:sz w:val="24"/>
              </w:rPr>
            </w:pPr>
            <w:r w:rsidRPr="00E762C1">
              <w:rPr>
                <w:sz w:val="24"/>
              </w:rPr>
              <w:t>Currency of valuation</w:t>
            </w:r>
          </w:p>
        </w:tc>
        <w:tc>
          <w:tcPr>
            <w:tcW w:w="6548" w:type="dxa"/>
          </w:tcPr>
          <w:p w14:paraId="7D2158B3" w14:textId="1BC583CF" w:rsidR="003200C6" w:rsidRPr="00E762C1" w:rsidRDefault="003200C6" w:rsidP="00E762C1">
            <w:pPr>
              <w:pStyle w:val="TableContent"/>
              <w:rPr>
                <w:sz w:val="24"/>
              </w:rPr>
            </w:pPr>
            <w:r w:rsidRPr="00E762C1">
              <w:rPr>
                <w:sz w:val="24"/>
              </w:rPr>
              <w:t xml:space="preserve">The valuation is </w:t>
            </w:r>
            <w:r w:rsidR="00BC6D79" w:rsidRPr="00E762C1">
              <w:rPr>
                <w:sz w:val="24"/>
              </w:rPr>
              <w:t>current</w:t>
            </w:r>
            <w:r w:rsidR="00BC6D79">
              <w:t xml:space="preserve"> </w:t>
            </w:r>
            <w:r w:rsidR="00BC6D79" w:rsidRPr="000D1E76">
              <w:rPr>
                <w:sz w:val="24"/>
                <w:szCs w:val="32"/>
              </w:rPr>
              <w:t>and</w:t>
            </w:r>
            <w:r w:rsidRPr="000D1E76">
              <w:rPr>
                <w:sz w:val="32"/>
                <w:szCs w:val="32"/>
              </w:rPr>
              <w:t xml:space="preserve"> </w:t>
            </w:r>
            <w:r w:rsidRPr="00E762C1">
              <w:rPr>
                <w:sz w:val="24"/>
              </w:rPr>
              <w:t>avoid</w:t>
            </w:r>
            <w:r w:rsidR="006C176E">
              <w:rPr>
                <w:sz w:val="24"/>
              </w:rPr>
              <w:t>s</w:t>
            </w:r>
            <w:r w:rsidRPr="00E762C1">
              <w:rPr>
                <w:sz w:val="24"/>
              </w:rPr>
              <w:t xml:space="preserve"> significant variance between the carrying amount and the fair value at the reporting date.</w:t>
            </w:r>
          </w:p>
        </w:tc>
      </w:tr>
      <w:tr w:rsidR="003200C6" w:rsidRPr="000049AB" w14:paraId="7279A5C9" w14:textId="77777777" w:rsidTr="00734877">
        <w:tc>
          <w:tcPr>
            <w:tcW w:w="3091" w:type="dxa"/>
          </w:tcPr>
          <w:p w14:paraId="6869D824" w14:textId="77777777" w:rsidR="003200C6" w:rsidRPr="00E762C1" w:rsidRDefault="003200C6" w:rsidP="00E762C1">
            <w:pPr>
              <w:pStyle w:val="TableContent"/>
              <w:rPr>
                <w:sz w:val="24"/>
              </w:rPr>
            </w:pPr>
            <w:r w:rsidRPr="00E762C1">
              <w:rPr>
                <w:sz w:val="24"/>
              </w:rPr>
              <w:t>Data accuracy</w:t>
            </w:r>
          </w:p>
        </w:tc>
        <w:tc>
          <w:tcPr>
            <w:tcW w:w="6548" w:type="dxa"/>
          </w:tcPr>
          <w:p w14:paraId="3F95D783" w14:textId="77777777" w:rsidR="003200C6" w:rsidRPr="00E762C1" w:rsidRDefault="003200C6" w:rsidP="00E762C1">
            <w:pPr>
              <w:pStyle w:val="TableContent"/>
              <w:rPr>
                <w:sz w:val="24"/>
              </w:rPr>
            </w:pPr>
            <w:r w:rsidRPr="00E762C1">
              <w:rPr>
                <w:sz w:val="24"/>
              </w:rPr>
              <w:t xml:space="preserve">Asset data is complete and accurate, and all data sources are reconciled prior to the valuation commencement. </w:t>
            </w:r>
          </w:p>
        </w:tc>
      </w:tr>
      <w:tr w:rsidR="003200C6" w:rsidRPr="000049AB" w14:paraId="58DC352F" w14:textId="77777777" w:rsidTr="00734877">
        <w:tc>
          <w:tcPr>
            <w:tcW w:w="3091" w:type="dxa"/>
          </w:tcPr>
          <w:p w14:paraId="3FDA111F" w14:textId="77777777" w:rsidR="003200C6" w:rsidRPr="00E762C1" w:rsidRDefault="003200C6" w:rsidP="00E762C1">
            <w:pPr>
              <w:pStyle w:val="TableContent"/>
              <w:rPr>
                <w:sz w:val="24"/>
              </w:rPr>
            </w:pPr>
            <w:r w:rsidRPr="00E762C1">
              <w:rPr>
                <w:sz w:val="24"/>
              </w:rPr>
              <w:t>Compliance with AAS</w:t>
            </w:r>
          </w:p>
        </w:tc>
        <w:tc>
          <w:tcPr>
            <w:tcW w:w="6548" w:type="dxa"/>
          </w:tcPr>
          <w:p w14:paraId="2BCFAAE7" w14:textId="77777777" w:rsidR="003200C6" w:rsidRPr="00E762C1" w:rsidRDefault="003200C6" w:rsidP="00E762C1">
            <w:pPr>
              <w:pStyle w:val="TableContent"/>
              <w:rPr>
                <w:sz w:val="24"/>
              </w:rPr>
            </w:pPr>
            <w:r w:rsidRPr="00E762C1">
              <w:rPr>
                <w:sz w:val="24"/>
              </w:rPr>
              <w:t xml:space="preserve">The valuation methodology complies with AAS. </w:t>
            </w:r>
          </w:p>
        </w:tc>
      </w:tr>
      <w:tr w:rsidR="003200C6" w:rsidRPr="000049AB" w14:paraId="0950D006" w14:textId="77777777" w:rsidTr="00734877">
        <w:tc>
          <w:tcPr>
            <w:tcW w:w="3091" w:type="dxa"/>
          </w:tcPr>
          <w:p w14:paraId="12F1410A" w14:textId="77777777" w:rsidR="003200C6" w:rsidRPr="00E762C1" w:rsidRDefault="003200C6" w:rsidP="00E762C1">
            <w:pPr>
              <w:pStyle w:val="TableContent"/>
              <w:rPr>
                <w:sz w:val="24"/>
              </w:rPr>
            </w:pPr>
            <w:r w:rsidRPr="00E762C1">
              <w:rPr>
                <w:sz w:val="24"/>
              </w:rPr>
              <w:t>Compliance with jurisdictional legislation</w:t>
            </w:r>
          </w:p>
        </w:tc>
        <w:tc>
          <w:tcPr>
            <w:tcW w:w="6548" w:type="dxa"/>
          </w:tcPr>
          <w:p w14:paraId="4C58E4DD" w14:textId="77777777" w:rsidR="003200C6" w:rsidRPr="00E762C1" w:rsidRDefault="003200C6" w:rsidP="00E762C1">
            <w:pPr>
              <w:pStyle w:val="TableContent"/>
              <w:rPr>
                <w:sz w:val="24"/>
              </w:rPr>
            </w:pPr>
            <w:r w:rsidRPr="00E762C1">
              <w:rPr>
                <w:sz w:val="24"/>
              </w:rPr>
              <w:t xml:space="preserve">The valuation methodology fully complies jurisdictional legislation which may override AAS. </w:t>
            </w:r>
          </w:p>
        </w:tc>
      </w:tr>
      <w:tr w:rsidR="003200C6" w:rsidRPr="000049AB" w14:paraId="0E1A82D9" w14:textId="77777777" w:rsidTr="00734877">
        <w:tc>
          <w:tcPr>
            <w:tcW w:w="3091" w:type="dxa"/>
          </w:tcPr>
          <w:p w14:paraId="7C493292" w14:textId="77777777" w:rsidR="003200C6" w:rsidRPr="00E762C1" w:rsidRDefault="003200C6" w:rsidP="00E762C1">
            <w:pPr>
              <w:pStyle w:val="TableContent"/>
              <w:rPr>
                <w:sz w:val="24"/>
              </w:rPr>
            </w:pPr>
            <w:r w:rsidRPr="00E762C1">
              <w:rPr>
                <w:sz w:val="24"/>
              </w:rPr>
              <w:t>Asset management practices</w:t>
            </w:r>
          </w:p>
        </w:tc>
        <w:tc>
          <w:tcPr>
            <w:tcW w:w="6548" w:type="dxa"/>
          </w:tcPr>
          <w:p w14:paraId="1F25F451" w14:textId="1A8D1D2F" w:rsidR="003200C6" w:rsidRPr="00E762C1" w:rsidRDefault="0068206C" w:rsidP="00E762C1">
            <w:pPr>
              <w:pStyle w:val="TableContent"/>
              <w:rPr>
                <w:sz w:val="24"/>
              </w:rPr>
            </w:pPr>
            <w:r>
              <w:rPr>
                <w:sz w:val="24"/>
              </w:rPr>
              <w:t>The v</w:t>
            </w:r>
            <w:r w:rsidR="003200C6" w:rsidRPr="00E762C1">
              <w:rPr>
                <w:sz w:val="24"/>
              </w:rPr>
              <w:t xml:space="preserve">aluer’s assumptions reflect local asset management practices and experiences. </w:t>
            </w:r>
          </w:p>
        </w:tc>
      </w:tr>
      <w:tr w:rsidR="003200C6" w:rsidRPr="000049AB" w14:paraId="4AB44F9B" w14:textId="77777777" w:rsidTr="00734877">
        <w:tc>
          <w:tcPr>
            <w:tcW w:w="3091" w:type="dxa"/>
          </w:tcPr>
          <w:p w14:paraId="2A1A73E2" w14:textId="77777777" w:rsidR="003200C6" w:rsidRPr="00E762C1" w:rsidRDefault="003200C6" w:rsidP="00E762C1">
            <w:pPr>
              <w:pStyle w:val="TableContent"/>
              <w:rPr>
                <w:sz w:val="24"/>
              </w:rPr>
            </w:pPr>
            <w:r w:rsidRPr="00E762C1">
              <w:rPr>
                <w:sz w:val="24"/>
              </w:rPr>
              <w:lastRenderedPageBreak/>
              <w:t>Valuation consistency</w:t>
            </w:r>
          </w:p>
        </w:tc>
        <w:tc>
          <w:tcPr>
            <w:tcW w:w="6548" w:type="dxa"/>
          </w:tcPr>
          <w:p w14:paraId="53DC6FA8" w14:textId="77777777" w:rsidR="003200C6" w:rsidRPr="00E762C1" w:rsidRDefault="003200C6" w:rsidP="00E762C1">
            <w:pPr>
              <w:pStyle w:val="TableContent"/>
              <w:rPr>
                <w:sz w:val="24"/>
              </w:rPr>
            </w:pPr>
            <w:r w:rsidRPr="00E762C1">
              <w:rPr>
                <w:sz w:val="24"/>
              </w:rPr>
              <w:t xml:space="preserve">Valuation methodology and assumptions are consistently applied across years to minimise the risk of large changes in valuations. </w:t>
            </w:r>
          </w:p>
        </w:tc>
      </w:tr>
      <w:tr w:rsidR="003200C6" w:rsidRPr="000049AB" w14:paraId="74DF492D" w14:textId="77777777" w:rsidTr="00734877">
        <w:tc>
          <w:tcPr>
            <w:tcW w:w="3091" w:type="dxa"/>
          </w:tcPr>
          <w:p w14:paraId="025EC368" w14:textId="77777777" w:rsidR="003200C6" w:rsidRPr="00E762C1" w:rsidRDefault="003200C6" w:rsidP="00E762C1">
            <w:pPr>
              <w:pStyle w:val="TableContent"/>
              <w:rPr>
                <w:sz w:val="24"/>
              </w:rPr>
            </w:pPr>
            <w:r w:rsidRPr="00E762C1">
              <w:rPr>
                <w:sz w:val="24"/>
              </w:rPr>
              <w:t>Documentation</w:t>
            </w:r>
          </w:p>
        </w:tc>
        <w:tc>
          <w:tcPr>
            <w:tcW w:w="6548" w:type="dxa"/>
          </w:tcPr>
          <w:p w14:paraId="087B14F2" w14:textId="77777777" w:rsidR="003200C6" w:rsidRPr="00E762C1" w:rsidRDefault="003200C6" w:rsidP="00E762C1">
            <w:pPr>
              <w:pStyle w:val="TableContent"/>
              <w:rPr>
                <w:sz w:val="24"/>
              </w:rPr>
            </w:pPr>
            <w:r w:rsidRPr="00E762C1">
              <w:rPr>
                <w:sz w:val="24"/>
              </w:rPr>
              <w:t xml:space="preserve">Proper records are kept of the valuation process including the quality review of the valuer’s work. </w:t>
            </w:r>
          </w:p>
        </w:tc>
      </w:tr>
    </w:tbl>
    <w:p w14:paraId="0CC83D45" w14:textId="77777777" w:rsidR="00734877" w:rsidRPr="000049AB" w:rsidRDefault="00734877" w:rsidP="00734877">
      <w:pPr>
        <w:pStyle w:val="Heading2"/>
        <w:rPr>
          <w:b w:val="0"/>
          <w:bCs w:val="0"/>
        </w:rPr>
      </w:pPr>
      <w:bookmarkStart w:id="42" w:name="_Toc207722731"/>
      <w:bookmarkStart w:id="43" w:name="_Toc223445064"/>
      <w:r w:rsidRPr="000049AB">
        <w:t>Accounting records for assets</w:t>
      </w:r>
      <w:bookmarkEnd w:id="42"/>
      <w:bookmarkEnd w:id="43"/>
    </w:p>
    <w:p w14:paraId="78E33F87" w14:textId="105E0813" w:rsidR="00734877" w:rsidRPr="000049AB" w:rsidRDefault="00734877" w:rsidP="00D70B5C">
      <w:pPr>
        <w:pStyle w:val="BodyText"/>
      </w:pPr>
      <w:r w:rsidRPr="000049AB">
        <w:t xml:space="preserve">Accounting records track a local government’s financial transactions. Asset transactions are recorded in accounting records (for example: purchase, valuation, disposal and depreciation of assets). Keeping proper accounting records </w:t>
      </w:r>
      <w:r w:rsidR="0068206C">
        <w:t>is</w:t>
      </w:r>
      <w:r w:rsidR="0068206C" w:rsidRPr="000049AB">
        <w:t xml:space="preserve"> </w:t>
      </w:r>
      <w:r w:rsidRPr="000049AB">
        <w:t xml:space="preserve">essential. </w:t>
      </w:r>
    </w:p>
    <w:p w14:paraId="4109187A" w14:textId="56040005" w:rsidR="00734877" w:rsidRPr="000049AB" w:rsidRDefault="00734877" w:rsidP="00D70B5C">
      <w:pPr>
        <w:pStyle w:val="BodyText"/>
      </w:pPr>
      <w:r w:rsidRPr="000049AB">
        <w:t xml:space="preserve">Accounting records must comply with AAS. The </w:t>
      </w:r>
      <w:r w:rsidR="007D0027">
        <w:t xml:space="preserve">Valuation under the Accounting Standards </w:t>
      </w:r>
      <w:r w:rsidRPr="000049AB">
        <w:t xml:space="preserve">Guidelines in Attachment A provide guidance regarding compliance with AAS when conducting valuations. </w:t>
      </w:r>
    </w:p>
    <w:p w14:paraId="14FCD2AB" w14:textId="461C6C01" w:rsidR="00734877" w:rsidRPr="000049AB" w:rsidRDefault="00734877" w:rsidP="00D70B5C">
      <w:pPr>
        <w:pStyle w:val="BodyText"/>
      </w:pPr>
      <w:r w:rsidRPr="000049AB">
        <w:t xml:space="preserve">Local governments </w:t>
      </w:r>
      <w:r w:rsidR="00432E8E">
        <w:t xml:space="preserve">should complete the following </w:t>
      </w:r>
      <w:r w:rsidRPr="000049AB">
        <w:rPr>
          <w:b/>
          <w:bCs/>
        </w:rPr>
        <w:t>accounting records for assets</w:t>
      </w:r>
      <w:r w:rsidRPr="000049AB">
        <w:t xml:space="preserve"> </w:t>
      </w:r>
      <w:r w:rsidR="008419A5">
        <w:t>tasks</w:t>
      </w:r>
      <w:r w:rsidRPr="000049AB">
        <w:t>:</w:t>
      </w:r>
    </w:p>
    <w:tbl>
      <w:tblPr>
        <w:tblStyle w:val="TableGrid"/>
        <w:tblW w:w="9639" w:type="dxa"/>
        <w:tblLook w:val="04A0" w:firstRow="1" w:lastRow="0" w:firstColumn="1" w:lastColumn="0" w:noHBand="0" w:noVBand="1"/>
      </w:tblPr>
      <w:tblGrid>
        <w:gridCol w:w="9639"/>
      </w:tblGrid>
      <w:tr w:rsidR="00734877" w:rsidRPr="000049AB" w14:paraId="7B81BEFF" w14:textId="77777777">
        <w:trPr>
          <w:tblHeader/>
        </w:trPr>
        <w:tc>
          <w:tcPr>
            <w:tcW w:w="9639" w:type="dxa"/>
            <w:shd w:val="clear" w:color="auto" w:fill="F2F2F2" w:themeFill="background1" w:themeFillShade="F2"/>
          </w:tcPr>
          <w:p w14:paraId="422AB580" w14:textId="0A70EED7" w:rsidR="00734877" w:rsidRPr="00F4456E" w:rsidRDefault="00734877" w:rsidP="00F4456E">
            <w:pPr>
              <w:pStyle w:val="TableContent"/>
              <w:rPr>
                <w:b/>
                <w:bCs/>
                <w:sz w:val="24"/>
              </w:rPr>
            </w:pPr>
            <w:r w:rsidRPr="00F4456E">
              <w:rPr>
                <w:b/>
                <w:bCs/>
                <w:sz w:val="24"/>
              </w:rPr>
              <w:t xml:space="preserve">Local </w:t>
            </w:r>
            <w:r w:rsidR="00545D59">
              <w:rPr>
                <w:b/>
                <w:bCs/>
                <w:sz w:val="24"/>
              </w:rPr>
              <w:t>g</w:t>
            </w:r>
            <w:r w:rsidRPr="00F4456E">
              <w:rPr>
                <w:b/>
                <w:bCs/>
                <w:sz w:val="24"/>
              </w:rPr>
              <w:t xml:space="preserve">overnment </w:t>
            </w:r>
            <w:r w:rsidR="00545D59">
              <w:rPr>
                <w:b/>
                <w:bCs/>
                <w:sz w:val="24"/>
              </w:rPr>
              <w:t>t</w:t>
            </w:r>
            <w:r w:rsidRPr="00F4456E">
              <w:rPr>
                <w:b/>
                <w:bCs/>
                <w:sz w:val="24"/>
              </w:rPr>
              <w:t xml:space="preserve">asks </w:t>
            </w:r>
          </w:p>
        </w:tc>
      </w:tr>
      <w:tr w:rsidR="00734877" w:rsidRPr="000049AB" w14:paraId="2CC4533B" w14:textId="77777777">
        <w:tc>
          <w:tcPr>
            <w:tcW w:w="9639" w:type="dxa"/>
          </w:tcPr>
          <w:p w14:paraId="3B893220" w14:textId="77777777" w:rsidR="00734877" w:rsidRPr="00F4456E" w:rsidRDefault="00734877" w:rsidP="00F4456E">
            <w:pPr>
              <w:pStyle w:val="TableContent"/>
              <w:rPr>
                <w:sz w:val="24"/>
              </w:rPr>
            </w:pPr>
            <w:r w:rsidRPr="00F4456E">
              <w:rPr>
                <w:sz w:val="24"/>
              </w:rPr>
              <w:t xml:space="preserve">Local governments should keep proper accounting records for all assets to help ensure such records are: </w:t>
            </w:r>
          </w:p>
          <w:p w14:paraId="1954C846" w14:textId="77777777" w:rsidR="00734877" w:rsidRPr="00F4456E" w:rsidRDefault="00734877">
            <w:pPr>
              <w:pStyle w:val="TableContent"/>
              <w:numPr>
                <w:ilvl w:val="0"/>
                <w:numId w:val="25"/>
              </w:numPr>
              <w:rPr>
                <w:sz w:val="24"/>
              </w:rPr>
            </w:pPr>
            <w:r w:rsidRPr="00F4456E">
              <w:rPr>
                <w:sz w:val="24"/>
              </w:rPr>
              <w:t xml:space="preserve">complete (records include </w:t>
            </w:r>
            <w:r w:rsidRPr="00F4456E">
              <w:rPr>
                <w:sz w:val="24"/>
                <w:u w:val="single"/>
              </w:rPr>
              <w:t>all</w:t>
            </w:r>
            <w:r w:rsidRPr="00F4456E">
              <w:rPr>
                <w:sz w:val="24"/>
              </w:rPr>
              <w:t xml:space="preserve"> items which meet the definition of an asset and the recognition criteria)</w:t>
            </w:r>
          </w:p>
          <w:p w14:paraId="6493E651" w14:textId="7A729F20" w:rsidR="00734877" w:rsidRPr="00F4456E" w:rsidRDefault="00734877">
            <w:pPr>
              <w:pStyle w:val="TableContent"/>
              <w:numPr>
                <w:ilvl w:val="0"/>
                <w:numId w:val="25"/>
              </w:numPr>
              <w:rPr>
                <w:sz w:val="24"/>
              </w:rPr>
            </w:pPr>
            <w:r w:rsidRPr="00F4456E">
              <w:rPr>
                <w:sz w:val="24"/>
              </w:rPr>
              <w:t>accurate</w:t>
            </w:r>
            <w:r w:rsidR="000D1E76">
              <w:rPr>
                <w:sz w:val="24"/>
              </w:rPr>
              <w:t>;</w:t>
            </w:r>
            <w:r w:rsidRPr="00F4456E">
              <w:rPr>
                <w:sz w:val="24"/>
              </w:rPr>
              <w:t xml:space="preserve"> and</w:t>
            </w:r>
          </w:p>
          <w:p w14:paraId="18F796CE" w14:textId="1A4F755B" w:rsidR="00734877" w:rsidRPr="00F4456E" w:rsidRDefault="00734877">
            <w:pPr>
              <w:pStyle w:val="TableContent"/>
              <w:numPr>
                <w:ilvl w:val="0"/>
                <w:numId w:val="25"/>
              </w:numPr>
              <w:rPr>
                <w:sz w:val="24"/>
              </w:rPr>
            </w:pPr>
            <w:r w:rsidRPr="00F4456E">
              <w:rPr>
                <w:sz w:val="24"/>
              </w:rPr>
              <w:t>lawful</w:t>
            </w:r>
            <w:r w:rsidR="000D1E76">
              <w:rPr>
                <w:sz w:val="24"/>
              </w:rPr>
              <w:t>,</w:t>
            </w:r>
            <w:r w:rsidRPr="00F4456E">
              <w:rPr>
                <w:sz w:val="24"/>
              </w:rPr>
              <w:t xml:space="preserve"> meaning such records comply with: </w:t>
            </w:r>
          </w:p>
          <w:p w14:paraId="6D612D75" w14:textId="77777777" w:rsidR="00734877" w:rsidRPr="00F4456E" w:rsidRDefault="00734877">
            <w:pPr>
              <w:pStyle w:val="TableContent"/>
              <w:numPr>
                <w:ilvl w:val="0"/>
                <w:numId w:val="26"/>
              </w:numPr>
              <w:ind w:left="1071" w:hanging="357"/>
              <w:rPr>
                <w:sz w:val="24"/>
              </w:rPr>
            </w:pPr>
            <w:r w:rsidRPr="00F4456E">
              <w:rPr>
                <w:sz w:val="24"/>
              </w:rPr>
              <w:t xml:space="preserve">jurisdictional legislation and </w:t>
            </w:r>
          </w:p>
          <w:p w14:paraId="4419CC6D" w14:textId="77777777" w:rsidR="00734877" w:rsidRPr="000049AB" w:rsidRDefault="00734877">
            <w:pPr>
              <w:pStyle w:val="TableContent"/>
              <w:numPr>
                <w:ilvl w:val="0"/>
                <w:numId w:val="26"/>
              </w:numPr>
              <w:ind w:left="1071" w:hanging="357"/>
            </w:pPr>
            <w:r w:rsidRPr="00F4456E">
              <w:rPr>
                <w:sz w:val="24"/>
              </w:rPr>
              <w:t>AAS.</w:t>
            </w:r>
            <w:r w:rsidRPr="000049AB">
              <w:t xml:space="preserve"> </w:t>
            </w:r>
          </w:p>
        </w:tc>
      </w:tr>
      <w:tr w:rsidR="00734877" w:rsidRPr="000049AB" w14:paraId="2CD07C71" w14:textId="77777777">
        <w:tc>
          <w:tcPr>
            <w:tcW w:w="9639" w:type="dxa"/>
          </w:tcPr>
          <w:p w14:paraId="02B9CBEA" w14:textId="01B648D4" w:rsidR="00734877" w:rsidRPr="002C3FA6" w:rsidRDefault="00734877" w:rsidP="002C3FA6">
            <w:pPr>
              <w:pStyle w:val="TableContent"/>
              <w:rPr>
                <w:sz w:val="24"/>
              </w:rPr>
            </w:pPr>
            <w:r w:rsidRPr="002C3FA6">
              <w:rPr>
                <w:sz w:val="24"/>
              </w:rPr>
              <w:t xml:space="preserve">Local governments should also keep records of </w:t>
            </w:r>
            <w:r w:rsidR="008419A5">
              <w:rPr>
                <w:sz w:val="24"/>
              </w:rPr>
              <w:t>their</w:t>
            </w:r>
            <w:r w:rsidRPr="002C3FA6">
              <w:rPr>
                <w:sz w:val="24"/>
              </w:rPr>
              <w:t xml:space="preserve"> review</w:t>
            </w:r>
            <w:r w:rsidR="008419A5">
              <w:rPr>
                <w:sz w:val="24"/>
              </w:rPr>
              <w:t>s</w:t>
            </w:r>
            <w:r w:rsidRPr="002C3FA6">
              <w:rPr>
                <w:sz w:val="24"/>
              </w:rPr>
              <w:t xml:space="preserve"> of accounting records for assets to confirm completeness, accuracy and legitimacy. </w:t>
            </w:r>
          </w:p>
        </w:tc>
      </w:tr>
    </w:tbl>
    <w:p w14:paraId="3340EDA7" w14:textId="3B5078B7" w:rsidR="00F15DAD" w:rsidRPr="00F15DAD" w:rsidRDefault="00F15DAD" w:rsidP="00F15DAD">
      <w:pPr>
        <w:spacing w:after="0" w:line="240" w:lineRule="auto"/>
        <w:rPr>
          <w:rFonts w:cs="Arial"/>
          <w:b/>
          <w:bCs/>
          <w:color w:val="38115E"/>
          <w:sz w:val="30"/>
          <w:lang w:val="en-GB"/>
        </w:rPr>
      </w:pPr>
      <w:bookmarkStart w:id="44" w:name="_Toc207722732"/>
      <w:r>
        <w:br w:type="page"/>
      </w:r>
    </w:p>
    <w:p w14:paraId="5542C9E0" w14:textId="13B21E4B" w:rsidR="00734877" w:rsidRPr="00BD6203" w:rsidRDefault="00734877" w:rsidP="00734877">
      <w:pPr>
        <w:pStyle w:val="Heading2"/>
        <w:rPr>
          <w:bCs w:val="0"/>
        </w:rPr>
      </w:pPr>
      <w:bookmarkStart w:id="45" w:name="_Toc223445065"/>
      <w:r w:rsidRPr="000049AB">
        <w:lastRenderedPageBreak/>
        <w:t>Asset</w:t>
      </w:r>
      <w:r w:rsidRPr="00BD6203">
        <w:t xml:space="preserve"> re</w:t>
      </w:r>
      <w:r>
        <w:t>gisters</w:t>
      </w:r>
      <w:bookmarkEnd w:id="44"/>
      <w:bookmarkEnd w:id="45"/>
    </w:p>
    <w:p w14:paraId="7E478A83" w14:textId="2987518C" w:rsidR="00734877" w:rsidRPr="000049AB" w:rsidRDefault="00734877" w:rsidP="00D70B5C">
      <w:pPr>
        <w:pStyle w:val="BodyText"/>
      </w:pPr>
      <w:r w:rsidRPr="000049AB">
        <w:t xml:space="preserve">Asset registers provide information </w:t>
      </w:r>
      <w:r w:rsidR="00E32C95">
        <w:t>about</w:t>
      </w:r>
      <w:r w:rsidR="00E32C95" w:rsidRPr="000049AB">
        <w:t xml:space="preserve"> </w:t>
      </w:r>
      <w:r w:rsidRPr="000049AB">
        <w:t>the value, condition and location of the local government’s assets</w:t>
      </w:r>
      <w:r w:rsidR="00E32C95">
        <w:t xml:space="preserve"> and</w:t>
      </w:r>
      <w:r w:rsidRPr="000049AB">
        <w:t xml:space="preserve"> provide important data to valuers. Keeping comprehensive asset records is essential. </w:t>
      </w:r>
    </w:p>
    <w:p w14:paraId="1999B243" w14:textId="7555D8BB" w:rsidR="00734877" w:rsidRPr="000049AB" w:rsidRDefault="00734877" w:rsidP="00D70B5C">
      <w:pPr>
        <w:pStyle w:val="BodyText"/>
      </w:pPr>
      <w:r w:rsidRPr="000049AB">
        <w:t xml:space="preserve">Local </w:t>
      </w:r>
      <w:r w:rsidR="00E32C95">
        <w:t xml:space="preserve">governments should complete the following </w:t>
      </w:r>
      <w:r w:rsidRPr="000049AB">
        <w:rPr>
          <w:b/>
          <w:bCs/>
        </w:rPr>
        <w:t>asset register</w:t>
      </w:r>
      <w:r w:rsidRPr="000049AB">
        <w:t xml:space="preserve"> </w:t>
      </w:r>
      <w:r w:rsidR="00FA5B30">
        <w:t>tasks</w:t>
      </w:r>
      <w:r w:rsidRPr="000049AB">
        <w:t>:</w:t>
      </w:r>
    </w:p>
    <w:tbl>
      <w:tblPr>
        <w:tblStyle w:val="TableGrid"/>
        <w:tblW w:w="9639" w:type="dxa"/>
        <w:tblLook w:val="04A0" w:firstRow="1" w:lastRow="0" w:firstColumn="1" w:lastColumn="0" w:noHBand="0" w:noVBand="1"/>
      </w:tblPr>
      <w:tblGrid>
        <w:gridCol w:w="9639"/>
      </w:tblGrid>
      <w:tr w:rsidR="00734877" w:rsidRPr="000049AB" w14:paraId="34373BB8" w14:textId="77777777">
        <w:tc>
          <w:tcPr>
            <w:tcW w:w="9639" w:type="dxa"/>
            <w:shd w:val="clear" w:color="auto" w:fill="F2F2F2" w:themeFill="background1" w:themeFillShade="F2"/>
          </w:tcPr>
          <w:p w14:paraId="385872C2" w14:textId="6C79A742" w:rsidR="00734877" w:rsidRPr="00783E48" w:rsidRDefault="00734877" w:rsidP="00783E48">
            <w:pPr>
              <w:pStyle w:val="TableContent"/>
              <w:rPr>
                <w:b/>
                <w:bCs/>
                <w:sz w:val="24"/>
              </w:rPr>
            </w:pPr>
            <w:r w:rsidRPr="00783E48">
              <w:rPr>
                <w:b/>
                <w:bCs/>
                <w:sz w:val="24"/>
              </w:rPr>
              <w:t xml:space="preserve">Local </w:t>
            </w:r>
            <w:r w:rsidR="00545D59">
              <w:rPr>
                <w:b/>
                <w:bCs/>
                <w:sz w:val="24"/>
              </w:rPr>
              <w:t>g</w:t>
            </w:r>
            <w:r w:rsidRPr="00783E48">
              <w:rPr>
                <w:b/>
                <w:bCs/>
                <w:sz w:val="24"/>
              </w:rPr>
              <w:t xml:space="preserve">overnment </w:t>
            </w:r>
            <w:r w:rsidR="00545D59">
              <w:rPr>
                <w:b/>
                <w:bCs/>
                <w:sz w:val="24"/>
              </w:rPr>
              <w:t>t</w:t>
            </w:r>
            <w:r w:rsidRPr="00783E48">
              <w:rPr>
                <w:b/>
                <w:bCs/>
                <w:sz w:val="24"/>
              </w:rPr>
              <w:t xml:space="preserve">asks </w:t>
            </w:r>
          </w:p>
        </w:tc>
      </w:tr>
      <w:tr w:rsidR="00734877" w:rsidRPr="000049AB" w14:paraId="7E02BB35" w14:textId="77777777">
        <w:tc>
          <w:tcPr>
            <w:tcW w:w="9639" w:type="dxa"/>
          </w:tcPr>
          <w:p w14:paraId="45FAC102" w14:textId="43F6A379" w:rsidR="00734877" w:rsidRPr="00783E48" w:rsidRDefault="00FA5B30" w:rsidP="00783E48">
            <w:pPr>
              <w:pStyle w:val="TableContent"/>
              <w:rPr>
                <w:sz w:val="24"/>
              </w:rPr>
            </w:pPr>
            <w:r>
              <w:rPr>
                <w:sz w:val="24"/>
              </w:rPr>
              <w:t>Before</w:t>
            </w:r>
            <w:r w:rsidR="00734877" w:rsidRPr="00783E48">
              <w:rPr>
                <w:sz w:val="24"/>
              </w:rPr>
              <w:t xml:space="preserve"> providing asset registers to valuers</w:t>
            </w:r>
            <w:r>
              <w:rPr>
                <w:sz w:val="24"/>
              </w:rPr>
              <w:t>, local governments should ensure</w:t>
            </w:r>
            <w:r w:rsidR="00734877" w:rsidRPr="00783E48">
              <w:rPr>
                <w:sz w:val="24"/>
              </w:rPr>
              <w:t xml:space="preserve"> th</w:t>
            </w:r>
            <w:r>
              <w:rPr>
                <w:sz w:val="24"/>
              </w:rPr>
              <w:t xml:space="preserve">ey </w:t>
            </w:r>
            <w:r w:rsidR="00734877" w:rsidRPr="00783E48">
              <w:rPr>
                <w:sz w:val="24"/>
              </w:rPr>
              <w:t>are</w:t>
            </w:r>
            <w:r>
              <w:rPr>
                <w:sz w:val="24"/>
              </w:rPr>
              <w:t>:</w:t>
            </w:r>
            <w:r w:rsidR="00734877" w:rsidRPr="00783E48">
              <w:rPr>
                <w:sz w:val="24"/>
              </w:rPr>
              <w:t xml:space="preserve"> </w:t>
            </w:r>
          </w:p>
          <w:p w14:paraId="3FCB4849" w14:textId="77777777" w:rsidR="00734877" w:rsidRPr="00783E48" w:rsidRDefault="00734877">
            <w:pPr>
              <w:pStyle w:val="TableContent"/>
              <w:numPr>
                <w:ilvl w:val="0"/>
                <w:numId w:val="27"/>
              </w:numPr>
              <w:rPr>
                <w:sz w:val="24"/>
              </w:rPr>
            </w:pPr>
            <w:r w:rsidRPr="00783E48">
              <w:rPr>
                <w:sz w:val="24"/>
              </w:rPr>
              <w:t>checked for completeness and accuracy</w:t>
            </w:r>
          </w:p>
          <w:p w14:paraId="74A0FB32" w14:textId="77777777" w:rsidR="00734877" w:rsidRPr="00783E48" w:rsidRDefault="00734877">
            <w:pPr>
              <w:pStyle w:val="TableContent"/>
              <w:numPr>
                <w:ilvl w:val="0"/>
                <w:numId w:val="27"/>
              </w:numPr>
              <w:rPr>
                <w:sz w:val="24"/>
              </w:rPr>
            </w:pPr>
            <w:r w:rsidRPr="00783E48">
              <w:rPr>
                <w:sz w:val="24"/>
              </w:rPr>
              <w:t>reconciled to the asset management system</w:t>
            </w:r>
          </w:p>
          <w:p w14:paraId="5ED1B5D5" w14:textId="015D0FBB" w:rsidR="00734877" w:rsidRPr="00783E48" w:rsidRDefault="00734877">
            <w:pPr>
              <w:pStyle w:val="TableContent"/>
              <w:numPr>
                <w:ilvl w:val="0"/>
                <w:numId w:val="27"/>
              </w:numPr>
              <w:rPr>
                <w:sz w:val="24"/>
              </w:rPr>
            </w:pPr>
            <w:r w:rsidRPr="00783E48">
              <w:rPr>
                <w:sz w:val="24"/>
              </w:rPr>
              <w:t>reconciled to the accounting records</w:t>
            </w:r>
          </w:p>
          <w:p w14:paraId="2E399235" w14:textId="77777777" w:rsidR="00734877" w:rsidRPr="00783E48" w:rsidRDefault="00734877">
            <w:pPr>
              <w:pStyle w:val="TableContent"/>
              <w:numPr>
                <w:ilvl w:val="0"/>
                <w:numId w:val="27"/>
              </w:numPr>
              <w:rPr>
                <w:sz w:val="24"/>
              </w:rPr>
            </w:pPr>
            <w:r w:rsidRPr="00783E48">
              <w:rPr>
                <w:sz w:val="24"/>
              </w:rPr>
              <w:t>independently reviewed/approved.</w:t>
            </w:r>
          </w:p>
          <w:p w14:paraId="71AACF52" w14:textId="511BCE2C" w:rsidR="00734877" w:rsidRPr="00783E48" w:rsidRDefault="00734877" w:rsidP="00783E48">
            <w:pPr>
              <w:pStyle w:val="TableContent"/>
              <w:rPr>
                <w:sz w:val="24"/>
              </w:rPr>
            </w:pPr>
            <w:r w:rsidRPr="00783E48">
              <w:rPr>
                <w:sz w:val="24"/>
              </w:rPr>
              <w:t xml:space="preserve">If asset listings are provided to valuers </w:t>
            </w:r>
            <w:r w:rsidR="004D04B2" w:rsidRPr="00783E48">
              <w:rPr>
                <w:sz w:val="24"/>
              </w:rPr>
              <w:t>instead of asset registers</w:t>
            </w:r>
            <w:r w:rsidR="004D04B2">
              <w:rPr>
                <w:sz w:val="24"/>
              </w:rPr>
              <w:t>,</w:t>
            </w:r>
            <w:r w:rsidR="004D04B2" w:rsidRPr="00783E48">
              <w:rPr>
                <w:sz w:val="24"/>
              </w:rPr>
              <w:t xml:space="preserve"> </w:t>
            </w:r>
            <w:r w:rsidRPr="00783E48">
              <w:rPr>
                <w:sz w:val="24"/>
              </w:rPr>
              <w:t>such listings should be agreed to asset registers prior to submission to the valuer.</w:t>
            </w:r>
          </w:p>
          <w:p w14:paraId="40E07559" w14:textId="77777777" w:rsidR="00734877" w:rsidRPr="00783E48" w:rsidRDefault="00734877" w:rsidP="00783E48">
            <w:pPr>
              <w:pStyle w:val="TableContent"/>
              <w:rPr>
                <w:sz w:val="24"/>
              </w:rPr>
            </w:pPr>
            <w:r w:rsidRPr="00783E48">
              <w:rPr>
                <w:sz w:val="24"/>
              </w:rPr>
              <w:t xml:space="preserve">Asset registers, asset management systems and accounting records should all be updated and reconciled after the valuation process. </w:t>
            </w:r>
          </w:p>
        </w:tc>
      </w:tr>
      <w:tr w:rsidR="00734877" w:rsidRPr="000049AB" w14:paraId="076E91C6" w14:textId="77777777">
        <w:tc>
          <w:tcPr>
            <w:tcW w:w="9639" w:type="dxa"/>
          </w:tcPr>
          <w:p w14:paraId="49D4E554" w14:textId="155E510D" w:rsidR="00734877" w:rsidRPr="00783E48" w:rsidRDefault="00734877" w:rsidP="00783E48">
            <w:pPr>
              <w:pStyle w:val="TableContent"/>
              <w:rPr>
                <w:sz w:val="24"/>
              </w:rPr>
            </w:pPr>
            <w:r w:rsidRPr="00783E48">
              <w:rPr>
                <w:sz w:val="24"/>
              </w:rPr>
              <w:t xml:space="preserve">The local government must keep records </w:t>
            </w:r>
            <w:r w:rsidR="004D04B2">
              <w:rPr>
                <w:sz w:val="24"/>
              </w:rPr>
              <w:t>of</w:t>
            </w:r>
            <w:r w:rsidR="004D04B2" w:rsidRPr="00783E48">
              <w:rPr>
                <w:sz w:val="24"/>
              </w:rPr>
              <w:t xml:space="preserve"> </w:t>
            </w:r>
            <w:r w:rsidRPr="00783E48">
              <w:rPr>
                <w:sz w:val="24"/>
              </w:rPr>
              <w:t>the reconciliation process of asset registers with other records</w:t>
            </w:r>
            <w:r w:rsidR="006B32A8">
              <w:rPr>
                <w:sz w:val="24"/>
              </w:rPr>
              <w:t>. T</w:t>
            </w:r>
            <w:r w:rsidRPr="00783E48">
              <w:rPr>
                <w:sz w:val="24"/>
              </w:rPr>
              <w:t xml:space="preserve">he preparer and reviewer should </w:t>
            </w:r>
            <w:r w:rsidR="006B32A8">
              <w:rPr>
                <w:sz w:val="24"/>
              </w:rPr>
              <w:t xml:space="preserve">both </w:t>
            </w:r>
            <w:r w:rsidRPr="00783E48">
              <w:rPr>
                <w:sz w:val="24"/>
              </w:rPr>
              <w:t>sign and date reconciliations as evidence of compliance with their responsibilities</w:t>
            </w:r>
            <w:r w:rsidR="006B32A8">
              <w:rPr>
                <w:sz w:val="24"/>
              </w:rPr>
              <w:t>.</w:t>
            </w:r>
          </w:p>
        </w:tc>
      </w:tr>
    </w:tbl>
    <w:p w14:paraId="51CDDB9A" w14:textId="77777777" w:rsidR="00482300" w:rsidRPr="000049AB" w:rsidRDefault="00482300" w:rsidP="00482300">
      <w:pPr>
        <w:pStyle w:val="Heading2"/>
        <w:rPr>
          <w:b w:val="0"/>
          <w:bCs w:val="0"/>
        </w:rPr>
      </w:pPr>
      <w:bookmarkStart w:id="46" w:name="_Toc207722733"/>
      <w:bookmarkStart w:id="47" w:name="_Toc223445066"/>
      <w:r w:rsidRPr="000049AB">
        <w:t>Operational controls for assets</w:t>
      </w:r>
      <w:bookmarkEnd w:id="46"/>
      <w:bookmarkEnd w:id="47"/>
    </w:p>
    <w:p w14:paraId="616E72AB" w14:textId="77777777" w:rsidR="00482300" w:rsidRPr="000049AB" w:rsidRDefault="00482300" w:rsidP="00D70B5C">
      <w:pPr>
        <w:pStyle w:val="BodyText"/>
      </w:pPr>
      <w:r w:rsidRPr="000049AB">
        <w:t xml:space="preserve">Operational controls help ensure the authenticity of asset data. Local government operational controls for assets help ensure the completeness, accuracy and legitimacy of both accounting records for assets and asset records. Key </w:t>
      </w:r>
      <w:r w:rsidRPr="000049AB">
        <w:rPr>
          <w:b/>
        </w:rPr>
        <w:t>operational controls for assets</w:t>
      </w:r>
      <w:r w:rsidRPr="000049AB">
        <w:t xml:space="preserve"> are as follows: </w:t>
      </w:r>
    </w:p>
    <w:tbl>
      <w:tblPr>
        <w:tblStyle w:val="TableGrid"/>
        <w:tblW w:w="9639" w:type="dxa"/>
        <w:tblLook w:val="04A0" w:firstRow="1" w:lastRow="0" w:firstColumn="1" w:lastColumn="0" w:noHBand="0" w:noVBand="1"/>
      </w:tblPr>
      <w:tblGrid>
        <w:gridCol w:w="9639"/>
      </w:tblGrid>
      <w:tr w:rsidR="00482300" w:rsidRPr="000049AB" w14:paraId="478A1473" w14:textId="77777777">
        <w:trPr>
          <w:tblHeader/>
        </w:trPr>
        <w:tc>
          <w:tcPr>
            <w:tcW w:w="9639" w:type="dxa"/>
            <w:shd w:val="clear" w:color="auto" w:fill="F2F2F2" w:themeFill="background1" w:themeFillShade="F2"/>
          </w:tcPr>
          <w:p w14:paraId="6531EE26" w14:textId="5E2A89B5" w:rsidR="00482300" w:rsidRPr="00700FD1" w:rsidRDefault="00482300" w:rsidP="00700FD1">
            <w:pPr>
              <w:pStyle w:val="TableContent"/>
              <w:rPr>
                <w:b/>
                <w:bCs/>
                <w:sz w:val="24"/>
              </w:rPr>
            </w:pPr>
            <w:r w:rsidRPr="00700FD1">
              <w:rPr>
                <w:b/>
                <w:bCs/>
                <w:sz w:val="24"/>
              </w:rPr>
              <w:t xml:space="preserve">Local </w:t>
            </w:r>
            <w:r w:rsidR="00545D59">
              <w:rPr>
                <w:b/>
                <w:bCs/>
                <w:sz w:val="24"/>
              </w:rPr>
              <w:t>g</w:t>
            </w:r>
            <w:r w:rsidRPr="00700FD1">
              <w:rPr>
                <w:b/>
                <w:bCs/>
                <w:sz w:val="24"/>
              </w:rPr>
              <w:t xml:space="preserve">overnment </w:t>
            </w:r>
            <w:r w:rsidR="00545D59">
              <w:rPr>
                <w:b/>
                <w:bCs/>
                <w:sz w:val="24"/>
              </w:rPr>
              <w:t>o</w:t>
            </w:r>
            <w:r w:rsidR="00AE595D">
              <w:rPr>
                <w:b/>
                <w:bCs/>
                <w:sz w:val="24"/>
              </w:rPr>
              <w:t xml:space="preserve">perational </w:t>
            </w:r>
            <w:r w:rsidR="00545D59">
              <w:rPr>
                <w:b/>
                <w:bCs/>
                <w:sz w:val="24"/>
              </w:rPr>
              <w:t>c</w:t>
            </w:r>
            <w:r w:rsidR="00AE595D">
              <w:rPr>
                <w:b/>
                <w:bCs/>
                <w:sz w:val="24"/>
              </w:rPr>
              <w:t>ontrols</w:t>
            </w:r>
          </w:p>
        </w:tc>
      </w:tr>
      <w:tr w:rsidR="00482300" w:rsidRPr="000049AB" w14:paraId="3A785C35" w14:textId="77777777">
        <w:tc>
          <w:tcPr>
            <w:tcW w:w="9639" w:type="dxa"/>
          </w:tcPr>
          <w:p w14:paraId="173F6828" w14:textId="021632CC" w:rsidR="00482300" w:rsidRPr="00700FD1" w:rsidRDefault="00482300" w:rsidP="00700FD1">
            <w:pPr>
              <w:pStyle w:val="TableContent"/>
              <w:rPr>
                <w:sz w:val="24"/>
              </w:rPr>
            </w:pPr>
            <w:r w:rsidRPr="00700FD1">
              <w:rPr>
                <w:sz w:val="24"/>
              </w:rPr>
              <w:t>Local government</w:t>
            </w:r>
            <w:r w:rsidR="00AE595D">
              <w:rPr>
                <w:sz w:val="24"/>
              </w:rPr>
              <w:t>s</w:t>
            </w:r>
            <w:r w:rsidRPr="00700FD1">
              <w:rPr>
                <w:sz w:val="24"/>
              </w:rPr>
              <w:t xml:space="preserve"> should apply the following key operational controls: </w:t>
            </w:r>
          </w:p>
          <w:p w14:paraId="768B7AFA" w14:textId="36658DC8" w:rsidR="00482300" w:rsidRPr="00700FD1" w:rsidRDefault="00784497">
            <w:pPr>
              <w:pStyle w:val="TableContent"/>
              <w:numPr>
                <w:ilvl w:val="0"/>
                <w:numId w:val="28"/>
              </w:numPr>
              <w:rPr>
                <w:sz w:val="24"/>
              </w:rPr>
            </w:pPr>
            <w:r>
              <w:rPr>
                <w:sz w:val="24"/>
              </w:rPr>
              <w:t>R</w:t>
            </w:r>
            <w:r w:rsidR="00482300" w:rsidRPr="00700FD1">
              <w:rPr>
                <w:sz w:val="24"/>
              </w:rPr>
              <w:t>estricted access to asset records</w:t>
            </w:r>
            <w:r>
              <w:rPr>
                <w:sz w:val="24"/>
              </w:rPr>
              <w:t>.</w:t>
            </w:r>
          </w:p>
          <w:p w14:paraId="5FF9CEB7" w14:textId="43E53EF8" w:rsidR="00482300" w:rsidRPr="00700FD1" w:rsidRDefault="00784497">
            <w:pPr>
              <w:pStyle w:val="TableContent"/>
              <w:numPr>
                <w:ilvl w:val="0"/>
                <w:numId w:val="28"/>
              </w:numPr>
              <w:rPr>
                <w:sz w:val="24"/>
              </w:rPr>
            </w:pPr>
            <w:r>
              <w:rPr>
                <w:sz w:val="24"/>
              </w:rPr>
              <w:t>S</w:t>
            </w:r>
            <w:r w:rsidR="00482300" w:rsidRPr="00700FD1">
              <w:rPr>
                <w:sz w:val="24"/>
              </w:rPr>
              <w:t>egregation of operational asset functions:</w:t>
            </w:r>
          </w:p>
          <w:p w14:paraId="0D7C331A" w14:textId="77777777" w:rsidR="00482300" w:rsidRPr="00700FD1" w:rsidRDefault="00482300">
            <w:pPr>
              <w:pStyle w:val="TableContent"/>
              <w:numPr>
                <w:ilvl w:val="0"/>
                <w:numId w:val="29"/>
              </w:numPr>
              <w:ind w:left="1071" w:hanging="357"/>
              <w:rPr>
                <w:sz w:val="24"/>
              </w:rPr>
            </w:pPr>
            <w:r w:rsidRPr="00700FD1">
              <w:rPr>
                <w:sz w:val="24"/>
              </w:rPr>
              <w:t>authorisation of asset acquisitions and disposals</w:t>
            </w:r>
          </w:p>
          <w:p w14:paraId="70C12025" w14:textId="77777777" w:rsidR="00482300" w:rsidRPr="00700FD1" w:rsidRDefault="00482300">
            <w:pPr>
              <w:pStyle w:val="TableContent"/>
              <w:numPr>
                <w:ilvl w:val="0"/>
                <w:numId w:val="29"/>
              </w:numPr>
              <w:ind w:left="1071" w:hanging="357"/>
              <w:rPr>
                <w:sz w:val="24"/>
              </w:rPr>
            </w:pPr>
            <w:r w:rsidRPr="00700FD1">
              <w:rPr>
                <w:sz w:val="24"/>
              </w:rPr>
              <w:t>asset record maintenance</w:t>
            </w:r>
          </w:p>
          <w:p w14:paraId="3BFB1205" w14:textId="77777777" w:rsidR="00482300" w:rsidRPr="00700FD1" w:rsidRDefault="00482300">
            <w:pPr>
              <w:pStyle w:val="TableContent"/>
              <w:numPr>
                <w:ilvl w:val="0"/>
                <w:numId w:val="29"/>
              </w:numPr>
              <w:ind w:left="1071" w:hanging="357"/>
              <w:rPr>
                <w:sz w:val="24"/>
              </w:rPr>
            </w:pPr>
            <w:r w:rsidRPr="00700FD1">
              <w:rPr>
                <w:sz w:val="24"/>
              </w:rPr>
              <w:t>asset custody</w:t>
            </w:r>
          </w:p>
          <w:p w14:paraId="29EF16EB" w14:textId="0A7E1FB0" w:rsidR="00482300" w:rsidRPr="006538F2" w:rsidRDefault="00482300">
            <w:pPr>
              <w:pStyle w:val="TableContent"/>
              <w:numPr>
                <w:ilvl w:val="0"/>
                <w:numId w:val="29"/>
              </w:numPr>
              <w:ind w:left="1071" w:hanging="357"/>
              <w:rPr>
                <w:sz w:val="24"/>
              </w:rPr>
            </w:pPr>
            <w:r w:rsidRPr="006538F2">
              <w:rPr>
                <w:sz w:val="24"/>
              </w:rPr>
              <w:t xml:space="preserve">asset stocktakes </w:t>
            </w:r>
          </w:p>
          <w:p w14:paraId="544F0BB0" w14:textId="77777777" w:rsidR="00482300" w:rsidRPr="00700FD1" w:rsidRDefault="00482300">
            <w:pPr>
              <w:pStyle w:val="TableContent"/>
              <w:numPr>
                <w:ilvl w:val="0"/>
                <w:numId w:val="29"/>
              </w:numPr>
              <w:ind w:left="1071" w:hanging="357"/>
              <w:rPr>
                <w:sz w:val="24"/>
              </w:rPr>
            </w:pPr>
            <w:r w:rsidRPr="00700FD1">
              <w:rPr>
                <w:sz w:val="24"/>
              </w:rPr>
              <w:t>accounting records maintenance.</w:t>
            </w:r>
          </w:p>
          <w:p w14:paraId="7780425D" w14:textId="777C43F0" w:rsidR="00482300" w:rsidRPr="00700FD1" w:rsidRDefault="00784497">
            <w:pPr>
              <w:pStyle w:val="TableContent"/>
              <w:numPr>
                <w:ilvl w:val="0"/>
                <w:numId w:val="30"/>
              </w:numPr>
              <w:rPr>
                <w:sz w:val="24"/>
              </w:rPr>
            </w:pPr>
            <w:r>
              <w:rPr>
                <w:sz w:val="24"/>
              </w:rPr>
              <w:t>S</w:t>
            </w:r>
            <w:r w:rsidR="00482300" w:rsidRPr="00700FD1">
              <w:rPr>
                <w:sz w:val="24"/>
              </w:rPr>
              <w:t>upervision of employees responsible for asset accounting</w:t>
            </w:r>
            <w:r>
              <w:rPr>
                <w:sz w:val="24"/>
              </w:rPr>
              <w:t>.</w:t>
            </w:r>
          </w:p>
          <w:p w14:paraId="0E7EEB6A" w14:textId="6E9C9D84" w:rsidR="00482300" w:rsidRPr="00700FD1" w:rsidRDefault="00784497">
            <w:pPr>
              <w:pStyle w:val="TableContent"/>
              <w:numPr>
                <w:ilvl w:val="0"/>
                <w:numId w:val="30"/>
              </w:numPr>
              <w:rPr>
                <w:sz w:val="24"/>
              </w:rPr>
            </w:pPr>
            <w:r>
              <w:rPr>
                <w:sz w:val="24"/>
              </w:rPr>
              <w:lastRenderedPageBreak/>
              <w:t>M</w:t>
            </w:r>
            <w:r w:rsidR="00482300" w:rsidRPr="00700FD1">
              <w:rPr>
                <w:sz w:val="24"/>
              </w:rPr>
              <w:t xml:space="preserve">aintenance of asset register(s) which includes: </w:t>
            </w:r>
          </w:p>
          <w:p w14:paraId="3619FE47" w14:textId="14648F25" w:rsidR="00482300" w:rsidRPr="00700FD1" w:rsidRDefault="00482300">
            <w:pPr>
              <w:pStyle w:val="TableContent"/>
              <w:numPr>
                <w:ilvl w:val="0"/>
                <w:numId w:val="31"/>
              </w:numPr>
              <w:ind w:left="1071" w:hanging="357"/>
              <w:rPr>
                <w:sz w:val="24"/>
              </w:rPr>
            </w:pPr>
            <w:r w:rsidRPr="00700FD1">
              <w:rPr>
                <w:sz w:val="24"/>
              </w:rPr>
              <w:t>records of land owned or under local government control</w:t>
            </w:r>
          </w:p>
          <w:p w14:paraId="1E3CA92F" w14:textId="77777777" w:rsidR="00482300" w:rsidRPr="00700FD1" w:rsidRDefault="00482300">
            <w:pPr>
              <w:pStyle w:val="TableContent"/>
              <w:numPr>
                <w:ilvl w:val="0"/>
                <w:numId w:val="31"/>
              </w:numPr>
              <w:ind w:left="1071" w:hanging="357"/>
              <w:rPr>
                <w:sz w:val="24"/>
              </w:rPr>
            </w:pPr>
            <w:r w:rsidRPr="00700FD1">
              <w:rPr>
                <w:sz w:val="24"/>
              </w:rPr>
              <w:t>records of leases or licences for land owned or under local government control.</w:t>
            </w:r>
          </w:p>
          <w:p w14:paraId="18333D2E" w14:textId="5512BFE1" w:rsidR="00482300" w:rsidRPr="00700FD1" w:rsidRDefault="00784497">
            <w:pPr>
              <w:pStyle w:val="TableContent"/>
              <w:numPr>
                <w:ilvl w:val="0"/>
                <w:numId w:val="32"/>
              </w:numPr>
              <w:rPr>
                <w:sz w:val="24"/>
              </w:rPr>
            </w:pPr>
            <w:r>
              <w:rPr>
                <w:sz w:val="24"/>
              </w:rPr>
              <w:t>M</w:t>
            </w:r>
            <w:r w:rsidR="00482300" w:rsidRPr="00700FD1">
              <w:rPr>
                <w:sz w:val="24"/>
              </w:rPr>
              <w:t>onthly reconciliation of the accounting records to underlying asset records</w:t>
            </w:r>
            <w:r>
              <w:rPr>
                <w:sz w:val="24"/>
              </w:rPr>
              <w:t>.</w:t>
            </w:r>
          </w:p>
          <w:p w14:paraId="00BEBDAB" w14:textId="76677F77" w:rsidR="00482300" w:rsidRPr="00700FD1" w:rsidRDefault="00784497">
            <w:pPr>
              <w:pStyle w:val="TableContent"/>
              <w:numPr>
                <w:ilvl w:val="0"/>
                <w:numId w:val="32"/>
              </w:numPr>
              <w:rPr>
                <w:sz w:val="24"/>
              </w:rPr>
            </w:pPr>
            <w:r>
              <w:rPr>
                <w:sz w:val="24"/>
              </w:rPr>
              <w:t>R</w:t>
            </w:r>
            <w:r w:rsidR="00482300" w:rsidRPr="00700FD1">
              <w:rPr>
                <w:sz w:val="24"/>
              </w:rPr>
              <w:t xml:space="preserve">egular stocktake of physical assets and reconciliation of stocktake results with asset registers including: </w:t>
            </w:r>
          </w:p>
          <w:p w14:paraId="307F0630" w14:textId="32D2D1D3" w:rsidR="00482300" w:rsidRPr="00700FD1" w:rsidRDefault="00482300">
            <w:pPr>
              <w:pStyle w:val="TableContent"/>
              <w:numPr>
                <w:ilvl w:val="0"/>
                <w:numId w:val="33"/>
              </w:numPr>
              <w:ind w:left="1071" w:hanging="357"/>
              <w:rPr>
                <w:sz w:val="24"/>
              </w:rPr>
            </w:pPr>
            <w:r w:rsidRPr="00700FD1">
              <w:rPr>
                <w:sz w:val="24"/>
              </w:rPr>
              <w:t>reporting significant stocktake differences to management and investigation thereof</w:t>
            </w:r>
          </w:p>
          <w:p w14:paraId="141D3AB4" w14:textId="77777777" w:rsidR="00482300" w:rsidRPr="00700FD1" w:rsidRDefault="00482300">
            <w:pPr>
              <w:pStyle w:val="TableContent"/>
              <w:numPr>
                <w:ilvl w:val="0"/>
                <w:numId w:val="33"/>
              </w:numPr>
              <w:ind w:left="1071" w:hanging="357"/>
              <w:rPr>
                <w:sz w:val="24"/>
              </w:rPr>
            </w:pPr>
            <w:r w:rsidRPr="00700FD1">
              <w:rPr>
                <w:sz w:val="24"/>
              </w:rPr>
              <w:t xml:space="preserve">management approval for writing off discrepancies. </w:t>
            </w:r>
          </w:p>
          <w:p w14:paraId="4061D382" w14:textId="5624570B" w:rsidR="00482300" w:rsidRPr="00700FD1" w:rsidRDefault="00784497">
            <w:pPr>
              <w:pStyle w:val="TableContent"/>
              <w:numPr>
                <w:ilvl w:val="0"/>
                <w:numId w:val="34"/>
              </w:numPr>
              <w:rPr>
                <w:sz w:val="24"/>
              </w:rPr>
            </w:pPr>
            <w:r>
              <w:rPr>
                <w:sz w:val="24"/>
              </w:rPr>
              <w:t>M</w:t>
            </w:r>
            <w:r w:rsidR="00482300" w:rsidRPr="00700FD1">
              <w:rPr>
                <w:sz w:val="24"/>
              </w:rPr>
              <w:t>anagement approval for asset acquisitions and disposals (in accordance with asset policies)</w:t>
            </w:r>
            <w:r>
              <w:rPr>
                <w:sz w:val="24"/>
              </w:rPr>
              <w:t>.</w:t>
            </w:r>
          </w:p>
          <w:p w14:paraId="03FC08B2" w14:textId="3FB0F873" w:rsidR="00482300" w:rsidRPr="00700FD1" w:rsidRDefault="00784497">
            <w:pPr>
              <w:pStyle w:val="TableContent"/>
              <w:numPr>
                <w:ilvl w:val="0"/>
                <w:numId w:val="34"/>
              </w:numPr>
              <w:rPr>
                <w:sz w:val="24"/>
              </w:rPr>
            </w:pPr>
            <w:r>
              <w:rPr>
                <w:sz w:val="24"/>
              </w:rPr>
              <w:t>A</w:t>
            </w:r>
            <w:r w:rsidR="00482300" w:rsidRPr="00700FD1">
              <w:rPr>
                <w:sz w:val="24"/>
              </w:rPr>
              <w:t>ttachment of prenumbered identification tags to assets on acquisition to facilitate accurate identification of assets and recording of details</w:t>
            </w:r>
            <w:r>
              <w:rPr>
                <w:sz w:val="24"/>
              </w:rPr>
              <w:t>.</w:t>
            </w:r>
          </w:p>
          <w:p w14:paraId="76E64404" w14:textId="30807906" w:rsidR="00482300" w:rsidRPr="00700FD1" w:rsidRDefault="00784497">
            <w:pPr>
              <w:pStyle w:val="TableContent"/>
              <w:numPr>
                <w:ilvl w:val="0"/>
                <w:numId w:val="34"/>
              </w:numPr>
              <w:rPr>
                <w:sz w:val="24"/>
              </w:rPr>
            </w:pPr>
            <w:r>
              <w:rPr>
                <w:sz w:val="24"/>
              </w:rPr>
              <w:t>M</w:t>
            </w:r>
            <w:r w:rsidR="00482300" w:rsidRPr="00700FD1">
              <w:rPr>
                <w:sz w:val="24"/>
              </w:rPr>
              <w:t xml:space="preserve">aintenance of an asset management plan which includes: </w:t>
            </w:r>
          </w:p>
          <w:p w14:paraId="7ACC45DC" w14:textId="77777777" w:rsidR="00482300" w:rsidRPr="00700FD1" w:rsidRDefault="00482300">
            <w:pPr>
              <w:pStyle w:val="TableContent"/>
              <w:numPr>
                <w:ilvl w:val="0"/>
                <w:numId w:val="35"/>
              </w:numPr>
              <w:ind w:left="1071" w:hanging="357"/>
              <w:rPr>
                <w:sz w:val="24"/>
              </w:rPr>
            </w:pPr>
            <w:r w:rsidRPr="00700FD1">
              <w:rPr>
                <w:sz w:val="24"/>
              </w:rPr>
              <w:t>an inventory of all assets within each class</w:t>
            </w:r>
          </w:p>
          <w:p w14:paraId="09A1053B" w14:textId="77777777" w:rsidR="00482300" w:rsidRPr="00700FD1" w:rsidRDefault="00482300">
            <w:pPr>
              <w:pStyle w:val="TableContent"/>
              <w:numPr>
                <w:ilvl w:val="0"/>
                <w:numId w:val="35"/>
              </w:numPr>
              <w:ind w:left="1071" w:hanging="357"/>
              <w:rPr>
                <w:sz w:val="24"/>
              </w:rPr>
            </w:pPr>
            <w:r w:rsidRPr="00700FD1">
              <w:rPr>
                <w:sz w:val="24"/>
              </w:rPr>
              <w:t>record of the current condition of assets including useful lives</w:t>
            </w:r>
          </w:p>
          <w:p w14:paraId="0152691A" w14:textId="606B1996" w:rsidR="00482300" w:rsidRPr="00700FD1" w:rsidRDefault="00482300">
            <w:pPr>
              <w:pStyle w:val="TableContent"/>
              <w:numPr>
                <w:ilvl w:val="0"/>
                <w:numId w:val="35"/>
              </w:numPr>
              <w:ind w:left="1071" w:hanging="357"/>
              <w:rPr>
                <w:sz w:val="24"/>
              </w:rPr>
            </w:pPr>
            <w:r w:rsidRPr="00700FD1">
              <w:rPr>
                <w:sz w:val="24"/>
              </w:rPr>
              <w:t xml:space="preserve">record of service status (technical and customer service levels) </w:t>
            </w:r>
            <w:r w:rsidRPr="00211123">
              <w:rPr>
                <w:sz w:val="24"/>
              </w:rPr>
              <w:t>and</w:t>
            </w:r>
          </w:p>
          <w:p w14:paraId="5196B48E" w14:textId="77777777" w:rsidR="00482300" w:rsidRPr="00700FD1" w:rsidRDefault="00482300">
            <w:pPr>
              <w:pStyle w:val="TableContent"/>
              <w:numPr>
                <w:ilvl w:val="0"/>
                <w:numId w:val="35"/>
              </w:numPr>
              <w:ind w:left="1071" w:hanging="357"/>
              <w:rPr>
                <w:sz w:val="24"/>
              </w:rPr>
            </w:pPr>
            <w:r w:rsidRPr="00700FD1">
              <w:rPr>
                <w:sz w:val="24"/>
              </w:rPr>
              <w:t>asset replacement program.</w:t>
            </w:r>
          </w:p>
          <w:p w14:paraId="1D998893" w14:textId="6F2115F1" w:rsidR="00482300" w:rsidRPr="00700FD1" w:rsidRDefault="00784497">
            <w:pPr>
              <w:pStyle w:val="TableContent"/>
              <w:numPr>
                <w:ilvl w:val="0"/>
                <w:numId w:val="36"/>
              </w:numPr>
              <w:rPr>
                <w:sz w:val="24"/>
              </w:rPr>
            </w:pPr>
            <w:r>
              <w:rPr>
                <w:sz w:val="24"/>
              </w:rPr>
              <w:t>E</w:t>
            </w:r>
            <w:r w:rsidR="00482300" w:rsidRPr="00700FD1">
              <w:rPr>
                <w:sz w:val="24"/>
              </w:rPr>
              <w:t xml:space="preserve">xistence of asset data collection systems including: </w:t>
            </w:r>
          </w:p>
          <w:p w14:paraId="26193E4E" w14:textId="7968725E" w:rsidR="00482300" w:rsidRPr="00700FD1" w:rsidRDefault="00482300">
            <w:pPr>
              <w:pStyle w:val="TableContent"/>
              <w:numPr>
                <w:ilvl w:val="0"/>
                <w:numId w:val="37"/>
              </w:numPr>
              <w:ind w:left="1071" w:hanging="357"/>
              <w:rPr>
                <w:sz w:val="24"/>
              </w:rPr>
            </w:pPr>
            <w:r w:rsidRPr="00700FD1">
              <w:rPr>
                <w:sz w:val="24"/>
              </w:rPr>
              <w:t>methods for carrying out regular asset condition surveys</w:t>
            </w:r>
            <w:r w:rsidR="000D1E76">
              <w:rPr>
                <w:sz w:val="24"/>
              </w:rPr>
              <w:t>;</w:t>
            </w:r>
            <w:r w:rsidRPr="00700FD1">
              <w:rPr>
                <w:sz w:val="24"/>
              </w:rPr>
              <w:t xml:space="preserve"> and</w:t>
            </w:r>
          </w:p>
          <w:p w14:paraId="3177F414" w14:textId="77777777" w:rsidR="00482300" w:rsidRPr="00700FD1" w:rsidRDefault="00482300">
            <w:pPr>
              <w:pStyle w:val="TableContent"/>
              <w:numPr>
                <w:ilvl w:val="0"/>
                <w:numId w:val="37"/>
              </w:numPr>
              <w:ind w:left="1071" w:hanging="357"/>
              <w:rPr>
                <w:sz w:val="24"/>
              </w:rPr>
            </w:pPr>
            <w:r w:rsidRPr="00700FD1">
              <w:rPr>
                <w:sz w:val="24"/>
              </w:rPr>
              <w:t>maintenance and renewal programs and associated cash flow forecasts for asset maintenance.</w:t>
            </w:r>
          </w:p>
          <w:p w14:paraId="61DB7084" w14:textId="55021BDE" w:rsidR="00482300" w:rsidRPr="00700FD1" w:rsidRDefault="00784497">
            <w:pPr>
              <w:pStyle w:val="TableContent"/>
              <w:numPr>
                <w:ilvl w:val="0"/>
                <w:numId w:val="36"/>
              </w:numPr>
              <w:rPr>
                <w:sz w:val="24"/>
              </w:rPr>
            </w:pPr>
            <w:r>
              <w:rPr>
                <w:sz w:val="24"/>
              </w:rPr>
              <w:t>M</w:t>
            </w:r>
            <w:r w:rsidR="00482300" w:rsidRPr="00700FD1">
              <w:rPr>
                <w:sz w:val="24"/>
              </w:rPr>
              <w:t>aintenance of vehicle logs which list the dates, times, mileage or odometer readings, trip purpose and name of the employee using the vehicle.</w:t>
            </w:r>
          </w:p>
        </w:tc>
      </w:tr>
      <w:tr w:rsidR="00482300" w:rsidRPr="000049AB" w14:paraId="7060230F" w14:textId="77777777">
        <w:tc>
          <w:tcPr>
            <w:tcW w:w="9639" w:type="dxa"/>
          </w:tcPr>
          <w:p w14:paraId="36763871" w14:textId="437E46EC" w:rsidR="00482300" w:rsidRPr="00700FD1" w:rsidRDefault="00482300" w:rsidP="00700FD1">
            <w:pPr>
              <w:pStyle w:val="TableContent"/>
              <w:rPr>
                <w:sz w:val="24"/>
              </w:rPr>
            </w:pPr>
            <w:r w:rsidRPr="00700FD1">
              <w:rPr>
                <w:sz w:val="24"/>
              </w:rPr>
              <w:t>The local government must keep proper records regarding implementation of, and compliance with</w:t>
            </w:r>
            <w:r w:rsidR="00784497">
              <w:rPr>
                <w:sz w:val="24"/>
              </w:rPr>
              <w:t>,</w:t>
            </w:r>
            <w:r w:rsidRPr="00700FD1">
              <w:rPr>
                <w:sz w:val="24"/>
              </w:rPr>
              <w:t xml:space="preserve"> these key operational controls.</w:t>
            </w:r>
          </w:p>
        </w:tc>
      </w:tr>
    </w:tbl>
    <w:p w14:paraId="4E198E53" w14:textId="77777777" w:rsidR="001C2843" w:rsidRPr="009907B8" w:rsidRDefault="001C2843" w:rsidP="001C2843">
      <w:pPr>
        <w:pStyle w:val="Heading2"/>
        <w:rPr>
          <w:b w:val="0"/>
          <w:bCs w:val="0"/>
        </w:rPr>
      </w:pPr>
      <w:bookmarkStart w:id="48" w:name="_Toc154063104"/>
      <w:bookmarkStart w:id="49" w:name="_Toc162356089"/>
      <w:bookmarkStart w:id="50" w:name="_Toc170118963"/>
      <w:bookmarkStart w:id="51" w:name="_Toc207722734"/>
      <w:bookmarkStart w:id="52" w:name="_Toc223445067"/>
      <w:r w:rsidRPr="009907B8">
        <w:t xml:space="preserve">Scheduling </w:t>
      </w:r>
      <w:bookmarkEnd w:id="48"/>
      <w:bookmarkEnd w:id="49"/>
      <w:bookmarkEnd w:id="50"/>
      <w:r w:rsidRPr="009907B8">
        <w:t>of valuations</w:t>
      </w:r>
      <w:bookmarkEnd w:id="51"/>
      <w:bookmarkEnd w:id="52"/>
    </w:p>
    <w:p w14:paraId="4575E888" w14:textId="23AA94B1" w:rsidR="001C2843" w:rsidRPr="009907B8" w:rsidRDefault="001C2843" w:rsidP="00D70B5C">
      <w:pPr>
        <w:pStyle w:val="BodyText"/>
      </w:pPr>
      <w:bookmarkStart w:id="53" w:name="_Hlk161654562"/>
      <w:r w:rsidRPr="009907B8">
        <w:t xml:space="preserve">The proper scheduling of valuation activities is crucial to help ensure valuations do not delay financial statement preparation and annual financial audits. Asset valuations take time and include: </w:t>
      </w:r>
    </w:p>
    <w:p w14:paraId="57669633" w14:textId="77777777" w:rsidR="001C2843" w:rsidRPr="009907B8" w:rsidRDefault="001C2843" w:rsidP="00D70B5C">
      <w:pPr>
        <w:pStyle w:val="BodyText"/>
        <w:numPr>
          <w:ilvl w:val="0"/>
          <w:numId w:val="13"/>
        </w:numPr>
      </w:pPr>
      <w:r w:rsidRPr="009907B8">
        <w:t>examination of asset records</w:t>
      </w:r>
    </w:p>
    <w:p w14:paraId="159D18D8" w14:textId="77777777" w:rsidR="001C2843" w:rsidRPr="009907B8" w:rsidRDefault="001C2843" w:rsidP="00D70B5C">
      <w:pPr>
        <w:pStyle w:val="BodyText"/>
        <w:numPr>
          <w:ilvl w:val="0"/>
          <w:numId w:val="13"/>
        </w:numPr>
      </w:pPr>
      <w:r w:rsidRPr="009907B8">
        <w:t>inspections of assets</w:t>
      </w:r>
    </w:p>
    <w:p w14:paraId="46CEC2AD" w14:textId="77777777" w:rsidR="001C2843" w:rsidRPr="009907B8" w:rsidRDefault="001C2843" w:rsidP="00D70B5C">
      <w:pPr>
        <w:pStyle w:val="BodyText"/>
        <w:numPr>
          <w:ilvl w:val="0"/>
          <w:numId w:val="13"/>
        </w:numPr>
      </w:pPr>
      <w:r w:rsidRPr="009907B8">
        <w:t xml:space="preserve">actual valuation of assets </w:t>
      </w:r>
    </w:p>
    <w:p w14:paraId="050F4722" w14:textId="3A7C3044" w:rsidR="001C2843" w:rsidRPr="009907B8" w:rsidRDefault="001C2843" w:rsidP="00D70B5C">
      <w:pPr>
        <w:pStyle w:val="BodyText"/>
        <w:numPr>
          <w:ilvl w:val="0"/>
          <w:numId w:val="13"/>
        </w:numPr>
      </w:pPr>
      <w:r w:rsidRPr="009907B8">
        <w:lastRenderedPageBreak/>
        <w:t>review of valuations by the local government</w:t>
      </w:r>
    </w:p>
    <w:p w14:paraId="3628A67D" w14:textId="77777777" w:rsidR="001C2843" w:rsidRPr="009907B8" w:rsidRDefault="001C2843" w:rsidP="00D70B5C">
      <w:pPr>
        <w:pStyle w:val="BodyText"/>
        <w:numPr>
          <w:ilvl w:val="0"/>
          <w:numId w:val="13"/>
        </w:numPr>
      </w:pPr>
      <w:r w:rsidRPr="009907B8">
        <w:t>finalisation of valuations.</w:t>
      </w:r>
    </w:p>
    <w:p w14:paraId="5087D9A8" w14:textId="77777777" w:rsidR="001C2843" w:rsidRPr="009907B8" w:rsidRDefault="001C2843" w:rsidP="00D70B5C">
      <w:pPr>
        <w:pStyle w:val="BodyText"/>
      </w:pPr>
      <w:r w:rsidRPr="009907B8">
        <w:t>The proper scheduling of all these activities helps ensure valuations do not delay financial statement preparation and annual financial audits.</w:t>
      </w:r>
    </w:p>
    <w:p w14:paraId="06B5F07B" w14:textId="24AB75BB" w:rsidR="001C2843" w:rsidRPr="009907B8" w:rsidRDefault="001C2843" w:rsidP="00D70B5C">
      <w:pPr>
        <w:pStyle w:val="BodyText"/>
      </w:pPr>
      <w:r w:rsidRPr="009907B8">
        <w:t xml:space="preserve">Local governments are responsible </w:t>
      </w:r>
      <w:r w:rsidR="00E80322">
        <w:t>for</w:t>
      </w:r>
      <w:r w:rsidRPr="009907B8">
        <w:t xml:space="preserve"> specify</w:t>
      </w:r>
      <w:r w:rsidR="00E80322">
        <w:t>ing</w:t>
      </w:r>
      <w:r w:rsidRPr="009907B8">
        <w:t xml:space="preserve"> the effective date for a valuation. There are </w:t>
      </w:r>
      <w:r w:rsidR="00407105">
        <w:t>two</w:t>
      </w:r>
      <w:r w:rsidRPr="009907B8">
        <w:t xml:space="preserve"> important </w:t>
      </w:r>
      <w:r w:rsidR="00567C06">
        <w:t xml:space="preserve">valuation </w:t>
      </w:r>
      <w:r w:rsidRPr="009907B8">
        <w:t>dates that should be considered</w:t>
      </w:r>
      <w:r w:rsidR="00567C06">
        <w:t>:</w:t>
      </w:r>
    </w:p>
    <w:p w14:paraId="0CD7481F" w14:textId="5D821FB6" w:rsidR="001C2843" w:rsidRPr="009907B8" w:rsidRDefault="001C2843" w:rsidP="00D70B5C">
      <w:pPr>
        <w:pStyle w:val="BodyText"/>
        <w:numPr>
          <w:ilvl w:val="0"/>
          <w:numId w:val="14"/>
        </w:numPr>
      </w:pPr>
      <w:r w:rsidRPr="009907B8">
        <w:t>effective date for the valuation</w:t>
      </w:r>
    </w:p>
    <w:p w14:paraId="39F691E6" w14:textId="77777777" w:rsidR="001C2843" w:rsidRPr="009907B8" w:rsidRDefault="001C2843" w:rsidP="00D70B5C">
      <w:pPr>
        <w:pStyle w:val="BodyText"/>
        <w:numPr>
          <w:ilvl w:val="0"/>
          <w:numId w:val="14"/>
        </w:numPr>
      </w:pPr>
      <w:r w:rsidRPr="009907B8">
        <w:t>reporting date for the local government.</w:t>
      </w:r>
    </w:p>
    <w:p w14:paraId="4347E6B7" w14:textId="52E64257" w:rsidR="001C2843" w:rsidRPr="009907B8" w:rsidRDefault="001C2843" w:rsidP="00D70B5C">
      <w:pPr>
        <w:pStyle w:val="BodyText"/>
      </w:pPr>
      <w:r w:rsidRPr="009907B8">
        <w:t xml:space="preserve">These </w:t>
      </w:r>
      <w:r w:rsidR="00407105">
        <w:t>two</w:t>
      </w:r>
      <w:r w:rsidRPr="009907B8">
        <w:t xml:space="preserve"> dates may match. </w:t>
      </w:r>
      <w:r w:rsidR="00407105">
        <w:t>If</w:t>
      </w:r>
      <w:r w:rsidRPr="009907B8">
        <w:t xml:space="preserve"> </w:t>
      </w:r>
      <w:r w:rsidR="00407105">
        <w:t>they don’t,</w:t>
      </w:r>
      <w:r w:rsidRPr="009907B8">
        <w:t xml:space="preserve"> the</w:t>
      </w:r>
      <w:r w:rsidR="00407105">
        <w:t>re is a</w:t>
      </w:r>
      <w:r w:rsidRPr="009907B8">
        <w:t xml:space="preserve"> risk that major movements in asset values may occur between the </w:t>
      </w:r>
      <w:r w:rsidR="00D73588">
        <w:t>two</w:t>
      </w:r>
      <w:r w:rsidRPr="009907B8">
        <w:t xml:space="preserve"> dates. Local governments are responsible for assessing all movements in asset values between the</w:t>
      </w:r>
      <w:r w:rsidR="00D73588">
        <w:t xml:space="preserve"> effective date and reporting</w:t>
      </w:r>
      <w:r w:rsidRPr="009907B8">
        <w:t xml:space="preserve"> date. </w:t>
      </w:r>
    </w:p>
    <w:bookmarkEnd w:id="53"/>
    <w:p w14:paraId="386AE33B" w14:textId="284AA59E" w:rsidR="001C2843" w:rsidRPr="009907B8" w:rsidRDefault="001C2843" w:rsidP="00D70B5C">
      <w:pPr>
        <w:pStyle w:val="BodyText"/>
      </w:pPr>
      <w:r w:rsidRPr="009907B8">
        <w:t xml:space="preserve">Local government tasks </w:t>
      </w:r>
      <w:r w:rsidR="00D73588">
        <w:t xml:space="preserve">for </w:t>
      </w:r>
      <w:r w:rsidRPr="009907B8">
        <w:t xml:space="preserve">the </w:t>
      </w:r>
      <w:r w:rsidRPr="009907B8">
        <w:rPr>
          <w:b/>
          <w:bCs/>
        </w:rPr>
        <w:t>scheduling of valuations</w:t>
      </w:r>
      <w:r w:rsidRPr="009907B8">
        <w:t xml:space="preserve"> are as follows: </w:t>
      </w:r>
    </w:p>
    <w:tbl>
      <w:tblPr>
        <w:tblStyle w:val="TableGrid"/>
        <w:tblW w:w="9639" w:type="dxa"/>
        <w:tblLook w:val="04A0" w:firstRow="1" w:lastRow="0" w:firstColumn="1" w:lastColumn="0" w:noHBand="0" w:noVBand="1"/>
      </w:tblPr>
      <w:tblGrid>
        <w:gridCol w:w="9639"/>
      </w:tblGrid>
      <w:tr w:rsidR="001C2843" w:rsidRPr="009907B8" w14:paraId="3C601B80" w14:textId="77777777">
        <w:trPr>
          <w:tblHeader/>
        </w:trPr>
        <w:tc>
          <w:tcPr>
            <w:tcW w:w="9639" w:type="dxa"/>
            <w:shd w:val="clear" w:color="auto" w:fill="F2F2F2" w:themeFill="background1" w:themeFillShade="F2"/>
          </w:tcPr>
          <w:p w14:paraId="779C25B9" w14:textId="782BFC3A" w:rsidR="001C2843" w:rsidRPr="00AE2418" w:rsidRDefault="001C2843" w:rsidP="00AA30B8">
            <w:pPr>
              <w:pStyle w:val="TableContent"/>
              <w:rPr>
                <w:b/>
                <w:bCs/>
                <w:sz w:val="24"/>
              </w:rPr>
            </w:pPr>
            <w:r w:rsidRPr="00AE2418">
              <w:rPr>
                <w:b/>
                <w:bCs/>
                <w:sz w:val="24"/>
              </w:rPr>
              <w:t xml:space="preserve">Local </w:t>
            </w:r>
            <w:r w:rsidR="00545D59">
              <w:rPr>
                <w:b/>
                <w:bCs/>
                <w:sz w:val="24"/>
              </w:rPr>
              <w:t>g</w:t>
            </w:r>
            <w:r w:rsidRPr="00AE2418">
              <w:rPr>
                <w:b/>
                <w:bCs/>
                <w:sz w:val="24"/>
              </w:rPr>
              <w:t xml:space="preserve">overnment </w:t>
            </w:r>
            <w:r w:rsidR="00545D59">
              <w:rPr>
                <w:b/>
                <w:bCs/>
                <w:sz w:val="24"/>
              </w:rPr>
              <w:t>t</w:t>
            </w:r>
            <w:r w:rsidRPr="00AE2418">
              <w:rPr>
                <w:b/>
                <w:bCs/>
                <w:sz w:val="24"/>
              </w:rPr>
              <w:t xml:space="preserve">asks </w:t>
            </w:r>
          </w:p>
        </w:tc>
      </w:tr>
      <w:tr w:rsidR="001C2843" w:rsidRPr="009907B8" w14:paraId="3B181DC3" w14:textId="77777777">
        <w:tc>
          <w:tcPr>
            <w:tcW w:w="9639" w:type="dxa"/>
          </w:tcPr>
          <w:p w14:paraId="4E0BC98D" w14:textId="77777777" w:rsidR="001C2843" w:rsidRPr="00AA30B8" w:rsidRDefault="001C2843" w:rsidP="00AA30B8">
            <w:pPr>
              <w:pStyle w:val="TableContent"/>
              <w:rPr>
                <w:sz w:val="24"/>
              </w:rPr>
            </w:pPr>
            <w:r w:rsidRPr="00AA30B8">
              <w:rPr>
                <w:sz w:val="24"/>
              </w:rPr>
              <w:t>Local governments should consider:</w:t>
            </w:r>
          </w:p>
          <w:p w14:paraId="35400E13" w14:textId="07DD55FD" w:rsidR="001C2843" w:rsidRPr="00AA30B8" w:rsidRDefault="001C2843">
            <w:pPr>
              <w:pStyle w:val="TableContent"/>
              <w:numPr>
                <w:ilvl w:val="0"/>
                <w:numId w:val="38"/>
              </w:numPr>
              <w:rPr>
                <w:sz w:val="24"/>
              </w:rPr>
            </w:pPr>
            <w:r w:rsidRPr="00AA30B8">
              <w:rPr>
                <w:sz w:val="24"/>
              </w:rPr>
              <w:t>starting the valuation process in August with an aim of appointing valuers by the end of October</w:t>
            </w:r>
            <w:r w:rsidR="00E80322">
              <w:rPr>
                <w:sz w:val="24"/>
              </w:rPr>
              <w:t xml:space="preserve"> to</w:t>
            </w:r>
            <w:r w:rsidRPr="00AA30B8">
              <w:rPr>
                <w:sz w:val="24"/>
              </w:rPr>
              <w:t xml:space="preserve"> allow sufficient time for valuation activities to be duly completed before the financial year end</w:t>
            </w:r>
          </w:p>
          <w:p w14:paraId="7568BF4C" w14:textId="51387B2A" w:rsidR="001C2843" w:rsidRPr="00AA30B8" w:rsidRDefault="001C2843">
            <w:pPr>
              <w:pStyle w:val="TableContent"/>
              <w:numPr>
                <w:ilvl w:val="0"/>
                <w:numId w:val="38"/>
              </w:numPr>
              <w:rPr>
                <w:sz w:val="24"/>
              </w:rPr>
            </w:pPr>
            <w:r w:rsidRPr="00AA30B8">
              <w:rPr>
                <w:sz w:val="24"/>
              </w:rPr>
              <w:t>appointing valuers on a multi-year contract to value asset</w:t>
            </w:r>
            <w:r w:rsidR="00C537E5">
              <w:rPr>
                <w:sz w:val="24"/>
              </w:rPr>
              <w:t>s</w:t>
            </w:r>
            <w:r w:rsidRPr="00AA30B8">
              <w:rPr>
                <w:sz w:val="24"/>
              </w:rPr>
              <w:t xml:space="preserve"> over financial years (and not all assets in a single financial year</w:t>
            </w:r>
            <w:r w:rsidR="00E80322">
              <w:rPr>
                <w:sz w:val="24"/>
              </w:rPr>
              <w:t>)</w:t>
            </w:r>
          </w:p>
          <w:p w14:paraId="4E7FC2FD" w14:textId="0151705E" w:rsidR="001C2843" w:rsidRPr="00AA30B8" w:rsidRDefault="001C2843">
            <w:pPr>
              <w:pStyle w:val="TableContent"/>
              <w:numPr>
                <w:ilvl w:val="0"/>
                <w:numId w:val="38"/>
              </w:numPr>
              <w:rPr>
                <w:sz w:val="24"/>
              </w:rPr>
            </w:pPr>
            <w:r w:rsidRPr="00AA30B8">
              <w:rPr>
                <w:sz w:val="24"/>
              </w:rPr>
              <w:t>engaging internal staff with appropriate qualifications and expertise to undertake specific valuations</w:t>
            </w:r>
          </w:p>
          <w:p w14:paraId="166851D5" w14:textId="532EE565" w:rsidR="001C2843" w:rsidRPr="00AA30B8" w:rsidRDefault="001C2843">
            <w:pPr>
              <w:pStyle w:val="TableContent"/>
              <w:numPr>
                <w:ilvl w:val="0"/>
                <w:numId w:val="38"/>
              </w:numPr>
              <w:rPr>
                <w:sz w:val="24"/>
              </w:rPr>
            </w:pPr>
            <w:r w:rsidRPr="00AA30B8">
              <w:rPr>
                <w:sz w:val="24"/>
              </w:rPr>
              <w:t xml:space="preserve">using </w:t>
            </w:r>
            <w:r w:rsidR="00E80322">
              <w:rPr>
                <w:sz w:val="24"/>
              </w:rPr>
              <w:t>the</w:t>
            </w:r>
            <w:r w:rsidRPr="00AA30B8">
              <w:rPr>
                <w:sz w:val="24"/>
              </w:rPr>
              <w:t xml:space="preserve"> pro-forma RFQ specification and assessment tool provided</w:t>
            </w:r>
            <w:r w:rsidR="00E00D92">
              <w:rPr>
                <w:sz w:val="24"/>
              </w:rPr>
              <w:t xml:space="preserve"> in</w:t>
            </w:r>
            <w:r w:rsidRPr="00AA30B8">
              <w:rPr>
                <w:sz w:val="24"/>
              </w:rPr>
              <w:t xml:space="preserve"> Attachment C as a base specification and tailor it as appropriate.</w:t>
            </w:r>
          </w:p>
        </w:tc>
      </w:tr>
      <w:tr w:rsidR="001C2843" w:rsidRPr="009907B8" w14:paraId="0F9866B2" w14:textId="77777777">
        <w:tc>
          <w:tcPr>
            <w:tcW w:w="9639" w:type="dxa"/>
          </w:tcPr>
          <w:p w14:paraId="273AA353" w14:textId="6A53B777" w:rsidR="001C2843" w:rsidRPr="00AA30B8" w:rsidRDefault="001C2843" w:rsidP="00AA30B8">
            <w:pPr>
              <w:pStyle w:val="TableContent"/>
              <w:rPr>
                <w:sz w:val="24"/>
              </w:rPr>
            </w:pPr>
            <w:r w:rsidRPr="00AA30B8">
              <w:rPr>
                <w:sz w:val="24"/>
              </w:rPr>
              <w:t>Local governments must keep record</w:t>
            </w:r>
            <w:r w:rsidR="00E00D92">
              <w:rPr>
                <w:sz w:val="24"/>
              </w:rPr>
              <w:t>s</w:t>
            </w:r>
            <w:r w:rsidRPr="00AA30B8">
              <w:rPr>
                <w:sz w:val="24"/>
              </w:rPr>
              <w:t xml:space="preserve"> of </w:t>
            </w:r>
            <w:r w:rsidR="00E00D92">
              <w:rPr>
                <w:sz w:val="24"/>
              </w:rPr>
              <w:t>their</w:t>
            </w:r>
            <w:r w:rsidRPr="00AA30B8">
              <w:rPr>
                <w:sz w:val="24"/>
              </w:rPr>
              <w:t xml:space="preserve"> scheduling of valuation activities. </w:t>
            </w:r>
          </w:p>
        </w:tc>
      </w:tr>
    </w:tbl>
    <w:p w14:paraId="0158D972" w14:textId="77777777" w:rsidR="00A732DD" w:rsidRPr="009907B8" w:rsidRDefault="00A732DD" w:rsidP="00A732DD">
      <w:pPr>
        <w:pStyle w:val="Heading2"/>
        <w:rPr>
          <w:b w:val="0"/>
          <w:bCs w:val="0"/>
        </w:rPr>
      </w:pPr>
      <w:bookmarkStart w:id="54" w:name="_Toc207722735"/>
      <w:bookmarkStart w:id="55" w:name="_Toc223445068"/>
      <w:r w:rsidRPr="009907B8">
        <w:t>Valuation strategy</w:t>
      </w:r>
      <w:bookmarkEnd w:id="54"/>
      <w:bookmarkEnd w:id="55"/>
      <w:r w:rsidRPr="009907B8">
        <w:t xml:space="preserve"> </w:t>
      </w:r>
    </w:p>
    <w:p w14:paraId="489A9845" w14:textId="77777777" w:rsidR="00A732DD" w:rsidRPr="009907B8" w:rsidRDefault="00A732DD" w:rsidP="00D70B5C">
      <w:pPr>
        <w:pStyle w:val="BodyText"/>
      </w:pPr>
      <w:r w:rsidRPr="009907B8">
        <w:t xml:space="preserve">A local government’s valuation strategy is a plan to help ensure the fair presentation of non-financial assets in the annual financial report (amongst other valuation objectives). </w:t>
      </w:r>
    </w:p>
    <w:p w14:paraId="6DD06F33" w14:textId="77777777" w:rsidR="00A732DD" w:rsidRPr="009907B8" w:rsidRDefault="00A732DD" w:rsidP="00D70B5C">
      <w:pPr>
        <w:pStyle w:val="BodyText"/>
      </w:pPr>
      <w:r w:rsidRPr="009907B8">
        <w:t xml:space="preserve">Local governments may implement different strategies to perform the valuation of their asset portfolio: including: </w:t>
      </w:r>
    </w:p>
    <w:p w14:paraId="7046DE8D" w14:textId="77777777" w:rsidR="00A732DD" w:rsidRPr="009907B8" w:rsidRDefault="00A732DD" w:rsidP="00D70B5C">
      <w:pPr>
        <w:pStyle w:val="BodyText"/>
        <w:numPr>
          <w:ilvl w:val="0"/>
          <w:numId w:val="15"/>
        </w:numPr>
      </w:pPr>
      <w:r w:rsidRPr="009907B8">
        <w:t>procuring external valuers for one-off projects as required</w:t>
      </w:r>
    </w:p>
    <w:p w14:paraId="69D4BE22" w14:textId="77777777" w:rsidR="00A732DD" w:rsidRPr="009907B8" w:rsidRDefault="00A732DD" w:rsidP="00D70B5C">
      <w:pPr>
        <w:pStyle w:val="BodyText"/>
        <w:numPr>
          <w:ilvl w:val="0"/>
          <w:numId w:val="15"/>
        </w:numPr>
      </w:pPr>
      <w:r w:rsidRPr="009907B8">
        <w:t>procuring external valuers via a multi-year contract to undertake the valuation of all assets ensuring consistent methodology and assumptions</w:t>
      </w:r>
    </w:p>
    <w:p w14:paraId="218F0262" w14:textId="383844F1" w:rsidR="00A732DD" w:rsidRPr="009907B8" w:rsidRDefault="00A732DD" w:rsidP="00D70B5C">
      <w:pPr>
        <w:pStyle w:val="BodyText"/>
        <w:numPr>
          <w:ilvl w:val="0"/>
          <w:numId w:val="15"/>
        </w:numPr>
      </w:pPr>
      <w:r w:rsidRPr="009907B8">
        <w:lastRenderedPageBreak/>
        <w:t xml:space="preserve">engaging internal staff with appropriate qualifications and expertise to undertake specific valuations. This strategy does not prohibit the use of external contractors to undertake data capture (for example road condition assessment) </w:t>
      </w:r>
    </w:p>
    <w:p w14:paraId="065B2FE3" w14:textId="77777777" w:rsidR="00A732DD" w:rsidRPr="009907B8" w:rsidRDefault="00A732DD" w:rsidP="00D70B5C">
      <w:pPr>
        <w:pStyle w:val="BodyText"/>
        <w:numPr>
          <w:ilvl w:val="0"/>
          <w:numId w:val="15"/>
        </w:numPr>
      </w:pPr>
      <w:r w:rsidRPr="009907B8">
        <w:t>working collaboratively with an external valuer to build internal capability or share the valuation load using consistent methodology and assumptions. This may include the use of specialised software.</w:t>
      </w:r>
    </w:p>
    <w:p w14:paraId="7348D979" w14:textId="77777777" w:rsidR="00A732DD" w:rsidRPr="009907B8" w:rsidRDefault="00A732DD" w:rsidP="00D70B5C">
      <w:pPr>
        <w:pStyle w:val="BodyText"/>
      </w:pPr>
      <w:r w:rsidRPr="009907B8">
        <w:t>Irrespective of the chosen valuation strategy, it is critical that the valuation is undertaken by someone with the relevant qualifications, expertise and experience.</w:t>
      </w:r>
    </w:p>
    <w:p w14:paraId="4CCBF822" w14:textId="77777777" w:rsidR="00A732DD" w:rsidRPr="009907B8" w:rsidRDefault="00A732DD" w:rsidP="00D70B5C">
      <w:pPr>
        <w:pStyle w:val="BodyText"/>
      </w:pPr>
      <w:r w:rsidRPr="009907B8">
        <w:t>Local governments should assess their needs and internal capability before selecting a strategy that delivers the best long-term value and best manages inherent risks attached to asset valuations.</w:t>
      </w:r>
    </w:p>
    <w:p w14:paraId="47FB0FE3" w14:textId="4A7844EA" w:rsidR="00A732DD" w:rsidRPr="009907B8" w:rsidRDefault="00A732DD" w:rsidP="00D70B5C">
      <w:pPr>
        <w:pStyle w:val="BodyText"/>
      </w:pPr>
      <w:r w:rsidRPr="009907B8">
        <w:t>For example</w:t>
      </w:r>
      <w:r w:rsidR="00BB2D38">
        <w:t>,</w:t>
      </w:r>
      <w:r w:rsidRPr="009907B8">
        <w:t xml:space="preserve"> a local government with:</w:t>
      </w:r>
    </w:p>
    <w:p w14:paraId="059D41A6" w14:textId="7CF92A42" w:rsidR="00A732DD" w:rsidRPr="009907B8" w:rsidRDefault="00A732DD" w:rsidP="00D70B5C">
      <w:pPr>
        <w:pStyle w:val="BodyText"/>
        <w:numPr>
          <w:ilvl w:val="0"/>
          <w:numId w:val="16"/>
        </w:numPr>
      </w:pPr>
      <w:r w:rsidRPr="009907B8">
        <w:t>high staff turnover might best be suited to a multi-year contract with a single valuer</w:t>
      </w:r>
      <w:r w:rsidR="00FC5984">
        <w:t>,</w:t>
      </w:r>
      <w:r w:rsidRPr="009907B8">
        <w:t xml:space="preserve"> or</w:t>
      </w:r>
    </w:p>
    <w:p w14:paraId="7CEC2A09" w14:textId="77777777" w:rsidR="00A732DD" w:rsidRPr="009907B8" w:rsidRDefault="00A732DD" w:rsidP="00D70B5C">
      <w:pPr>
        <w:pStyle w:val="BodyText"/>
        <w:numPr>
          <w:ilvl w:val="0"/>
          <w:numId w:val="16"/>
        </w:numPr>
      </w:pPr>
      <w:r w:rsidRPr="009907B8">
        <w:t>lower levels of staff turnover might be better suited to developing internal capability.</w:t>
      </w:r>
    </w:p>
    <w:p w14:paraId="0B1585F9" w14:textId="77777777" w:rsidR="00A732DD" w:rsidRPr="009907B8" w:rsidRDefault="00A732DD" w:rsidP="00D70B5C">
      <w:pPr>
        <w:pStyle w:val="BodyText"/>
      </w:pPr>
      <w:r w:rsidRPr="009907B8">
        <w:t xml:space="preserve">Local government tasks regarding the </w:t>
      </w:r>
      <w:r w:rsidRPr="009907B8">
        <w:rPr>
          <w:b/>
          <w:bCs/>
        </w:rPr>
        <w:t>valuation strategy</w:t>
      </w:r>
      <w:r w:rsidRPr="009907B8">
        <w:t xml:space="preserve"> are as follows: </w:t>
      </w:r>
    </w:p>
    <w:tbl>
      <w:tblPr>
        <w:tblStyle w:val="TableGrid"/>
        <w:tblW w:w="9639" w:type="dxa"/>
        <w:tblLook w:val="04A0" w:firstRow="1" w:lastRow="0" w:firstColumn="1" w:lastColumn="0" w:noHBand="0" w:noVBand="1"/>
      </w:tblPr>
      <w:tblGrid>
        <w:gridCol w:w="9639"/>
      </w:tblGrid>
      <w:tr w:rsidR="00A732DD" w:rsidRPr="00987F76" w14:paraId="38EA3D42" w14:textId="77777777">
        <w:trPr>
          <w:tblHeader/>
        </w:trPr>
        <w:tc>
          <w:tcPr>
            <w:tcW w:w="9639" w:type="dxa"/>
            <w:shd w:val="clear" w:color="auto" w:fill="F2F2F2" w:themeFill="background1" w:themeFillShade="F2"/>
          </w:tcPr>
          <w:p w14:paraId="53C147BF" w14:textId="18C4678E" w:rsidR="00A732DD" w:rsidRPr="008C3B11" w:rsidRDefault="00A732DD" w:rsidP="008C3B11">
            <w:pPr>
              <w:pStyle w:val="TableContent"/>
              <w:rPr>
                <w:b/>
                <w:bCs/>
                <w:sz w:val="24"/>
              </w:rPr>
            </w:pPr>
            <w:r w:rsidRPr="008C3B11">
              <w:rPr>
                <w:b/>
                <w:bCs/>
                <w:sz w:val="24"/>
              </w:rPr>
              <w:t xml:space="preserve">Local </w:t>
            </w:r>
            <w:r w:rsidR="00545D59">
              <w:rPr>
                <w:b/>
                <w:bCs/>
                <w:sz w:val="24"/>
              </w:rPr>
              <w:t>g</w:t>
            </w:r>
            <w:r w:rsidRPr="008C3B11">
              <w:rPr>
                <w:b/>
                <w:bCs/>
                <w:sz w:val="24"/>
              </w:rPr>
              <w:t xml:space="preserve">overnment </w:t>
            </w:r>
            <w:r w:rsidR="00545D59">
              <w:rPr>
                <w:b/>
                <w:bCs/>
                <w:sz w:val="24"/>
              </w:rPr>
              <w:t>t</w:t>
            </w:r>
            <w:r w:rsidRPr="008C3B11">
              <w:rPr>
                <w:b/>
                <w:bCs/>
                <w:sz w:val="24"/>
              </w:rPr>
              <w:t xml:space="preserve">asks </w:t>
            </w:r>
          </w:p>
        </w:tc>
      </w:tr>
      <w:tr w:rsidR="00A732DD" w:rsidRPr="00AB0649" w14:paraId="04DB1AD0" w14:textId="77777777">
        <w:tc>
          <w:tcPr>
            <w:tcW w:w="9639" w:type="dxa"/>
          </w:tcPr>
          <w:p w14:paraId="0D3CE2C6" w14:textId="77777777" w:rsidR="00A732DD" w:rsidRPr="008C3B11" w:rsidRDefault="00A732DD" w:rsidP="008C3B11">
            <w:pPr>
              <w:pStyle w:val="TableContent"/>
              <w:rPr>
                <w:sz w:val="24"/>
              </w:rPr>
            </w:pPr>
            <w:r w:rsidRPr="008C3B11">
              <w:rPr>
                <w:sz w:val="24"/>
              </w:rPr>
              <w:t xml:space="preserve">Local governments must: </w:t>
            </w:r>
          </w:p>
          <w:p w14:paraId="73D47894" w14:textId="689329AD" w:rsidR="00A732DD" w:rsidRPr="00FC0063" w:rsidRDefault="00A732DD">
            <w:pPr>
              <w:pStyle w:val="TableContent"/>
              <w:numPr>
                <w:ilvl w:val="0"/>
                <w:numId w:val="39"/>
              </w:numPr>
              <w:rPr>
                <w:sz w:val="24"/>
              </w:rPr>
            </w:pPr>
            <w:r w:rsidRPr="008C3B11">
              <w:rPr>
                <w:sz w:val="24"/>
              </w:rPr>
              <w:t>design, record and implement an annual ‘valuation strategy’ that considers the local government’s present and desired capabilities, valuation risks and costs</w:t>
            </w:r>
            <w:r w:rsidR="00E80322">
              <w:rPr>
                <w:sz w:val="24"/>
              </w:rPr>
              <w:t>;</w:t>
            </w:r>
            <w:r w:rsidRPr="008C3B11">
              <w:rPr>
                <w:sz w:val="24"/>
              </w:rPr>
              <w:t xml:space="preserve"> </w:t>
            </w:r>
            <w:r w:rsidRPr="00FC0063">
              <w:rPr>
                <w:sz w:val="24"/>
              </w:rPr>
              <w:t>and</w:t>
            </w:r>
          </w:p>
          <w:p w14:paraId="3922BDE0" w14:textId="77777777" w:rsidR="00A732DD" w:rsidRPr="008C3B11" w:rsidRDefault="00A732DD">
            <w:pPr>
              <w:pStyle w:val="TableContent"/>
              <w:numPr>
                <w:ilvl w:val="0"/>
                <w:numId w:val="39"/>
              </w:numPr>
              <w:rPr>
                <w:sz w:val="24"/>
              </w:rPr>
            </w:pPr>
            <w:r w:rsidRPr="008C3B11">
              <w:rPr>
                <w:sz w:val="24"/>
              </w:rPr>
              <w:t>incorporate this strategy into the local government’s asset policy.</w:t>
            </w:r>
          </w:p>
        </w:tc>
      </w:tr>
      <w:tr w:rsidR="00A732DD" w:rsidRPr="001E1438" w14:paraId="74016D6F" w14:textId="77777777">
        <w:tc>
          <w:tcPr>
            <w:tcW w:w="9639" w:type="dxa"/>
          </w:tcPr>
          <w:p w14:paraId="64A04845" w14:textId="77777777" w:rsidR="00A732DD" w:rsidRPr="008C3B11" w:rsidRDefault="00A732DD" w:rsidP="008C3B11">
            <w:pPr>
              <w:pStyle w:val="TableContent"/>
              <w:rPr>
                <w:sz w:val="24"/>
              </w:rPr>
            </w:pPr>
            <w:r w:rsidRPr="008C3B11">
              <w:rPr>
                <w:sz w:val="24"/>
              </w:rPr>
              <w:t xml:space="preserve">The local government must keep proper records regarding its valuation strategy and the annual update thereof. </w:t>
            </w:r>
          </w:p>
        </w:tc>
      </w:tr>
    </w:tbl>
    <w:p w14:paraId="632CD98E" w14:textId="77777777" w:rsidR="007166D2" w:rsidRPr="009907B8" w:rsidRDefault="007166D2" w:rsidP="007166D2">
      <w:pPr>
        <w:pStyle w:val="Heading2"/>
        <w:rPr>
          <w:b w:val="0"/>
          <w:bCs w:val="0"/>
        </w:rPr>
      </w:pPr>
      <w:bookmarkStart w:id="56" w:name="_Toc207722736"/>
      <w:bookmarkStart w:id="57" w:name="_Toc223445069"/>
      <w:r w:rsidRPr="009907B8">
        <w:t>Valuation methodology</w:t>
      </w:r>
      <w:bookmarkEnd w:id="56"/>
      <w:bookmarkEnd w:id="57"/>
    </w:p>
    <w:p w14:paraId="4AA30A21" w14:textId="70B2BB92" w:rsidR="007166D2" w:rsidRPr="009907B8" w:rsidRDefault="00FC5984" w:rsidP="00D70B5C">
      <w:pPr>
        <w:pStyle w:val="BodyText"/>
      </w:pPr>
      <w:r>
        <w:t>The v</w:t>
      </w:r>
      <w:r w:rsidR="007166D2" w:rsidRPr="009907B8">
        <w:t xml:space="preserve">aluation methodology is the procedure the valuer will follow during the valuation process. </w:t>
      </w:r>
      <w:r>
        <w:t>I</w:t>
      </w:r>
      <w:r w:rsidR="007166D2" w:rsidRPr="009907B8">
        <w:t xml:space="preserve">t provides a structured approach for the valuation of assets in accordance with AAS and jurisdictional legislation. </w:t>
      </w:r>
    </w:p>
    <w:p w14:paraId="6BC88341" w14:textId="77777777" w:rsidR="007166D2" w:rsidRPr="009907B8" w:rsidRDefault="007166D2" w:rsidP="00476AA6">
      <w:pPr>
        <w:pStyle w:val="Heading4"/>
      </w:pPr>
      <w:r w:rsidRPr="009907B8">
        <w:t>Background</w:t>
      </w:r>
    </w:p>
    <w:p w14:paraId="06604AB4" w14:textId="77777777" w:rsidR="007166D2" w:rsidRPr="009907B8" w:rsidRDefault="007166D2" w:rsidP="00D70B5C">
      <w:pPr>
        <w:pStyle w:val="BodyText"/>
      </w:pPr>
      <w:r w:rsidRPr="009907B8">
        <w:t>The adoption of inconsistent and non-compliant methodologies has resulted in significant variations in valuations across financial years for a local government and across local governments.</w:t>
      </w:r>
    </w:p>
    <w:p w14:paraId="2BE29ABC" w14:textId="332697E0" w:rsidR="007166D2" w:rsidRPr="009907B8" w:rsidRDefault="007166D2" w:rsidP="00D70B5C">
      <w:pPr>
        <w:pStyle w:val="BodyText"/>
      </w:pPr>
      <w:r w:rsidRPr="009907B8">
        <w:t xml:space="preserve">Local governments need to prepare valuations that comply with over a dozen accounting standards. The accounting standards have undergone significant change over the past </w:t>
      </w:r>
      <w:r w:rsidR="00DF766B">
        <w:t>two</w:t>
      </w:r>
      <w:r w:rsidRPr="009907B8">
        <w:t xml:space="preserve"> decades and continue to be regularly updated</w:t>
      </w:r>
      <w:r w:rsidR="00CC756A">
        <w:t>; j</w:t>
      </w:r>
      <w:r w:rsidRPr="009907B8">
        <w:t xml:space="preserve">urisdictional legislation also changes </w:t>
      </w:r>
      <w:r w:rsidRPr="009907B8">
        <w:lastRenderedPageBreak/>
        <w:t xml:space="preserve">over time. </w:t>
      </w:r>
      <w:r w:rsidR="00CC756A">
        <w:t>V</w:t>
      </w:r>
      <w:r w:rsidRPr="009907B8">
        <w:t xml:space="preserve">aluation methodologies used in practice may not have kept pace with these changes. </w:t>
      </w:r>
    </w:p>
    <w:p w14:paraId="2F56E04F" w14:textId="279A1BFB" w:rsidR="007166D2" w:rsidRPr="009907B8" w:rsidRDefault="00CC756A" w:rsidP="00D70B5C">
      <w:pPr>
        <w:pStyle w:val="BodyText"/>
      </w:pPr>
      <w:r>
        <w:t xml:space="preserve">For example, </w:t>
      </w:r>
      <w:r w:rsidR="007166D2" w:rsidRPr="009907B8">
        <w:t>valuations undertaken using a depreciated replacement cost (DRC) approach rather than a current replacement cost (CRC) approach. Use of the DRC approach may not have considered all types of obsolescence as prescribed by AASB 13 Fair Value Measurement (2022).</w:t>
      </w:r>
    </w:p>
    <w:p w14:paraId="32E81183" w14:textId="77777777" w:rsidR="007166D2" w:rsidRPr="009907B8" w:rsidRDefault="007166D2" w:rsidP="00D70B5C">
      <w:pPr>
        <w:pStyle w:val="BodyText"/>
      </w:pPr>
      <w:bookmarkStart w:id="58" w:name="_Hlk161654765"/>
      <w:r w:rsidRPr="009907B8">
        <w:t>Consequently, it is essential the local government undertakes a thorough quality review of the proposed valuation methodology prior to its implementation in practice. This quality review will help ensure compliance of the valuation methodology with both accounting standards and jurisdictional legislation.</w:t>
      </w:r>
    </w:p>
    <w:bookmarkEnd w:id="58"/>
    <w:p w14:paraId="0BF4AE20" w14:textId="0A01ABA4" w:rsidR="007166D2" w:rsidRPr="009907B8" w:rsidRDefault="56F0BDAD" w:rsidP="00D70B5C">
      <w:pPr>
        <w:pStyle w:val="BodyText"/>
      </w:pPr>
      <w:r>
        <w:t xml:space="preserve">Local government </w:t>
      </w:r>
      <w:r w:rsidR="005242CF">
        <w:t>tasks for</w:t>
      </w:r>
      <w:r w:rsidR="7F6510A4">
        <w:t xml:space="preserve"> </w:t>
      </w:r>
      <w:r w:rsidRPr="04E1CD47">
        <w:rPr>
          <w:b/>
          <w:bCs/>
        </w:rPr>
        <w:t>valuation methodology</w:t>
      </w:r>
      <w:r>
        <w:t xml:space="preserve"> are as follows: </w:t>
      </w:r>
    </w:p>
    <w:tbl>
      <w:tblPr>
        <w:tblStyle w:val="TableGrid"/>
        <w:tblW w:w="9639" w:type="dxa"/>
        <w:tblLook w:val="04A0" w:firstRow="1" w:lastRow="0" w:firstColumn="1" w:lastColumn="0" w:noHBand="0" w:noVBand="1"/>
      </w:tblPr>
      <w:tblGrid>
        <w:gridCol w:w="9639"/>
      </w:tblGrid>
      <w:tr w:rsidR="004D27DC" w:rsidRPr="009907B8" w14:paraId="35F912EC" w14:textId="77777777">
        <w:trPr>
          <w:tblHeader/>
        </w:trPr>
        <w:tc>
          <w:tcPr>
            <w:tcW w:w="9639" w:type="dxa"/>
            <w:shd w:val="clear" w:color="auto" w:fill="F2F2F2" w:themeFill="background1" w:themeFillShade="F2"/>
          </w:tcPr>
          <w:p w14:paraId="12508488" w14:textId="5047B5B0" w:rsidR="004D27DC" w:rsidRPr="005D29C2" w:rsidRDefault="004D27DC" w:rsidP="005D29C2">
            <w:pPr>
              <w:pStyle w:val="TableContent"/>
              <w:rPr>
                <w:b/>
                <w:bCs/>
                <w:sz w:val="24"/>
              </w:rPr>
            </w:pPr>
            <w:r w:rsidRPr="005D29C2">
              <w:rPr>
                <w:b/>
                <w:bCs/>
                <w:sz w:val="24"/>
              </w:rPr>
              <w:t xml:space="preserve">Local </w:t>
            </w:r>
            <w:r w:rsidR="00545D59">
              <w:rPr>
                <w:b/>
                <w:bCs/>
                <w:sz w:val="24"/>
              </w:rPr>
              <w:t>g</w:t>
            </w:r>
            <w:r w:rsidRPr="005D29C2">
              <w:rPr>
                <w:b/>
                <w:bCs/>
                <w:sz w:val="24"/>
              </w:rPr>
              <w:t xml:space="preserve">overnment </w:t>
            </w:r>
            <w:r w:rsidR="00545D59">
              <w:rPr>
                <w:b/>
                <w:bCs/>
                <w:sz w:val="24"/>
              </w:rPr>
              <w:t>t</w:t>
            </w:r>
            <w:r w:rsidRPr="005D29C2">
              <w:rPr>
                <w:b/>
                <w:bCs/>
                <w:sz w:val="24"/>
              </w:rPr>
              <w:t xml:space="preserve">asks </w:t>
            </w:r>
          </w:p>
        </w:tc>
      </w:tr>
      <w:tr w:rsidR="004D27DC" w:rsidRPr="009907B8" w14:paraId="0840E2BC" w14:textId="77777777">
        <w:tc>
          <w:tcPr>
            <w:tcW w:w="9639" w:type="dxa"/>
          </w:tcPr>
          <w:p w14:paraId="2F57C672" w14:textId="77777777" w:rsidR="004D27DC" w:rsidRPr="005D29C2" w:rsidRDefault="004D27DC" w:rsidP="005D29C2">
            <w:pPr>
              <w:pStyle w:val="TableContent"/>
              <w:rPr>
                <w:sz w:val="24"/>
              </w:rPr>
            </w:pPr>
            <w:r w:rsidRPr="005D29C2">
              <w:rPr>
                <w:sz w:val="24"/>
              </w:rPr>
              <w:t>Local governments should:</w:t>
            </w:r>
          </w:p>
          <w:p w14:paraId="5564CDAB" w14:textId="77777777" w:rsidR="004D27DC" w:rsidRPr="005D29C2" w:rsidRDefault="004D27DC">
            <w:pPr>
              <w:pStyle w:val="TableContent"/>
              <w:numPr>
                <w:ilvl w:val="0"/>
                <w:numId w:val="40"/>
              </w:numPr>
              <w:rPr>
                <w:sz w:val="24"/>
              </w:rPr>
            </w:pPr>
            <w:r w:rsidRPr="005D29C2">
              <w:rPr>
                <w:sz w:val="24"/>
              </w:rPr>
              <w:t xml:space="preserve">ensure valuations comply with current jurisdictional legislation. Consequently, prepare valuation models and valuation techniques in compliance with legislation. Identify legislative amendments on a timely basis and update valuation models and valuation techniques (as appropriate). </w:t>
            </w:r>
          </w:p>
          <w:p w14:paraId="1732F330" w14:textId="77777777" w:rsidR="004D27DC" w:rsidRPr="005D29C2" w:rsidRDefault="004D27DC">
            <w:pPr>
              <w:pStyle w:val="TableContent"/>
              <w:numPr>
                <w:ilvl w:val="0"/>
                <w:numId w:val="40"/>
              </w:numPr>
              <w:rPr>
                <w:sz w:val="24"/>
              </w:rPr>
            </w:pPr>
            <w:r w:rsidRPr="005D29C2">
              <w:rPr>
                <w:sz w:val="24"/>
              </w:rPr>
              <w:t>ensure valuations comply with current AAS. Consequently, prepare valuation models and valuation techniques in compliance with AAS. Identify AAS amendments on a timely basis and update models and techniques (as appropriate).</w:t>
            </w:r>
          </w:p>
          <w:p w14:paraId="18A838A7" w14:textId="1BD6D548" w:rsidR="004D27DC" w:rsidRPr="005D29C2" w:rsidRDefault="004D27DC">
            <w:pPr>
              <w:pStyle w:val="TableContent"/>
              <w:numPr>
                <w:ilvl w:val="0"/>
                <w:numId w:val="40"/>
              </w:numPr>
              <w:rPr>
                <w:sz w:val="24"/>
              </w:rPr>
            </w:pPr>
            <w:r w:rsidRPr="005D29C2">
              <w:rPr>
                <w:sz w:val="24"/>
              </w:rPr>
              <w:t>ensure assets are valued in accordance with the correct accounting standard. Ensure the valuation report separately addresses assets valued using different accounting standards. The Guidelines in Attachment A entitled: “</w:t>
            </w:r>
            <w:r w:rsidRPr="005D29C2">
              <w:rPr>
                <w:i/>
                <w:iCs/>
                <w:sz w:val="24"/>
              </w:rPr>
              <w:t xml:space="preserve">Valuation under the Accounting Standards” </w:t>
            </w:r>
            <w:r w:rsidRPr="005D29C2">
              <w:rPr>
                <w:sz w:val="24"/>
              </w:rPr>
              <w:t xml:space="preserve">provides guidance regarding different standards to comply with when valuing assets. </w:t>
            </w:r>
          </w:p>
          <w:p w14:paraId="08922BB3" w14:textId="2D057765" w:rsidR="004D27DC" w:rsidRPr="005D29C2" w:rsidRDefault="004D27DC">
            <w:pPr>
              <w:pStyle w:val="TableContent"/>
              <w:numPr>
                <w:ilvl w:val="0"/>
                <w:numId w:val="40"/>
              </w:numPr>
              <w:rPr>
                <w:sz w:val="24"/>
              </w:rPr>
            </w:pPr>
            <w:r w:rsidRPr="005D29C2">
              <w:rPr>
                <w:sz w:val="24"/>
              </w:rPr>
              <w:t>Ensure the valuation report clearly identif</w:t>
            </w:r>
            <w:r w:rsidR="00E80322">
              <w:rPr>
                <w:sz w:val="24"/>
              </w:rPr>
              <w:t>ies</w:t>
            </w:r>
            <w:r w:rsidRPr="005D29C2">
              <w:rPr>
                <w:sz w:val="24"/>
              </w:rPr>
              <w:t xml:space="preserve">: </w:t>
            </w:r>
          </w:p>
          <w:p w14:paraId="6AA31B03" w14:textId="45C22F83" w:rsidR="004D27DC" w:rsidRPr="005D29C2" w:rsidRDefault="004D27DC">
            <w:pPr>
              <w:pStyle w:val="TableContent"/>
              <w:numPr>
                <w:ilvl w:val="0"/>
                <w:numId w:val="41"/>
              </w:numPr>
              <w:ind w:left="1071" w:hanging="357"/>
              <w:rPr>
                <w:sz w:val="24"/>
              </w:rPr>
            </w:pPr>
            <w:r w:rsidRPr="005D29C2">
              <w:rPr>
                <w:sz w:val="24"/>
              </w:rPr>
              <w:t xml:space="preserve">the valuation techniques used (market approach, cost approach or income approach) </w:t>
            </w:r>
          </w:p>
          <w:p w14:paraId="0E5029A5" w14:textId="77777777" w:rsidR="004D27DC" w:rsidRPr="005D29C2" w:rsidRDefault="004D27DC">
            <w:pPr>
              <w:pStyle w:val="TableContent"/>
              <w:numPr>
                <w:ilvl w:val="0"/>
                <w:numId w:val="41"/>
              </w:numPr>
              <w:ind w:left="1071" w:hanging="357"/>
              <w:rPr>
                <w:sz w:val="24"/>
              </w:rPr>
            </w:pPr>
            <w:r w:rsidRPr="005D29C2">
              <w:rPr>
                <w:sz w:val="24"/>
              </w:rPr>
              <w:t>source of the data used (for example: quoted prices)</w:t>
            </w:r>
          </w:p>
          <w:p w14:paraId="345A5378" w14:textId="77777777" w:rsidR="004D27DC" w:rsidRPr="005D29C2" w:rsidRDefault="004D27DC">
            <w:pPr>
              <w:pStyle w:val="TableContent"/>
              <w:numPr>
                <w:ilvl w:val="0"/>
                <w:numId w:val="41"/>
              </w:numPr>
              <w:ind w:left="1071" w:hanging="357"/>
              <w:rPr>
                <w:sz w:val="24"/>
              </w:rPr>
            </w:pPr>
            <w:r w:rsidRPr="005D29C2">
              <w:rPr>
                <w:sz w:val="24"/>
              </w:rPr>
              <w:t>assumptions made and its reasonableness (for example: assumptions about market trends, comparable sales etc.)</w:t>
            </w:r>
          </w:p>
        </w:tc>
      </w:tr>
      <w:tr w:rsidR="004D27DC" w:rsidRPr="009907B8" w14:paraId="4ED27EC1" w14:textId="77777777">
        <w:tc>
          <w:tcPr>
            <w:tcW w:w="9639" w:type="dxa"/>
          </w:tcPr>
          <w:p w14:paraId="3C470C5B" w14:textId="77777777" w:rsidR="004D27DC" w:rsidRPr="005D29C2" w:rsidRDefault="004D27DC" w:rsidP="005D29C2">
            <w:pPr>
              <w:pStyle w:val="TableContent"/>
              <w:rPr>
                <w:sz w:val="24"/>
              </w:rPr>
            </w:pPr>
            <w:r w:rsidRPr="005D29C2">
              <w:rPr>
                <w:sz w:val="24"/>
              </w:rPr>
              <w:t xml:space="preserve">The local government must keep proper records regarding: </w:t>
            </w:r>
          </w:p>
          <w:p w14:paraId="0CB1D288" w14:textId="7D5B4C5A" w:rsidR="004D27DC" w:rsidRPr="005D29C2" w:rsidRDefault="004D27DC">
            <w:pPr>
              <w:pStyle w:val="TableContent"/>
              <w:numPr>
                <w:ilvl w:val="0"/>
                <w:numId w:val="42"/>
              </w:numPr>
              <w:rPr>
                <w:sz w:val="24"/>
              </w:rPr>
            </w:pPr>
            <w:r w:rsidRPr="005D29C2">
              <w:rPr>
                <w:sz w:val="24"/>
              </w:rPr>
              <w:t>its valuation methodology, its compliance with applicable legislation and AAS and amendments to these sources</w:t>
            </w:r>
            <w:r w:rsidR="00E80322">
              <w:t>;</w:t>
            </w:r>
            <w:r w:rsidRPr="00E11377">
              <w:t xml:space="preserve"> </w:t>
            </w:r>
            <w:r w:rsidRPr="00E11377">
              <w:rPr>
                <w:sz w:val="24"/>
              </w:rPr>
              <w:t xml:space="preserve">and </w:t>
            </w:r>
          </w:p>
          <w:p w14:paraId="1CE66C39" w14:textId="77777777" w:rsidR="004D27DC" w:rsidRPr="005D29C2" w:rsidRDefault="004D27DC">
            <w:pPr>
              <w:pStyle w:val="TableContent"/>
              <w:numPr>
                <w:ilvl w:val="0"/>
                <w:numId w:val="42"/>
              </w:numPr>
              <w:rPr>
                <w:sz w:val="24"/>
              </w:rPr>
            </w:pPr>
            <w:r w:rsidRPr="005D29C2">
              <w:rPr>
                <w:sz w:val="24"/>
              </w:rPr>
              <w:t>the review of the valuation report.</w:t>
            </w:r>
          </w:p>
        </w:tc>
      </w:tr>
    </w:tbl>
    <w:p w14:paraId="0417526B" w14:textId="77777777" w:rsidR="00CA20BC" w:rsidRPr="009907B8" w:rsidRDefault="00CA20BC" w:rsidP="00CA20BC">
      <w:pPr>
        <w:pStyle w:val="Heading2"/>
        <w:rPr>
          <w:b w:val="0"/>
          <w:bCs w:val="0"/>
        </w:rPr>
      </w:pPr>
      <w:bookmarkStart w:id="59" w:name="_Toc207722737"/>
      <w:bookmarkStart w:id="60" w:name="_Toc223445070"/>
      <w:r w:rsidRPr="009907B8">
        <w:lastRenderedPageBreak/>
        <w:t>Scope of works</w:t>
      </w:r>
      <w:bookmarkEnd w:id="59"/>
      <w:bookmarkEnd w:id="60"/>
    </w:p>
    <w:p w14:paraId="0DC198A2" w14:textId="7F2B0DE3" w:rsidR="00CA20BC" w:rsidRPr="009907B8" w:rsidRDefault="00CA20BC" w:rsidP="00D70B5C">
      <w:pPr>
        <w:pStyle w:val="BodyText"/>
      </w:pPr>
      <w:r w:rsidRPr="009907B8">
        <w:t>The scope of works is an essential element of a local government’s valuation strategy. Parties must agree on the scope of works for the valuation prior to its commencement. The scope of the work sets out the responsibilities and obligations of the parties regarding the operational valuation process. If the valuation’s scope is not properly defined</w:t>
      </w:r>
      <w:r w:rsidR="00E80322">
        <w:t>,</w:t>
      </w:r>
      <w:r w:rsidRPr="009907B8">
        <w:t xml:space="preserve"> there is a risk</w:t>
      </w:r>
      <w:r w:rsidR="00E80322">
        <w:t xml:space="preserve"> of</w:t>
      </w:r>
      <w:r w:rsidRPr="009907B8">
        <w:t xml:space="preserve">: </w:t>
      </w:r>
    </w:p>
    <w:p w14:paraId="57093673" w14:textId="31C0BCFE" w:rsidR="00CA20BC" w:rsidRPr="009907B8" w:rsidRDefault="00CA20BC" w:rsidP="00D70B5C">
      <w:pPr>
        <w:pStyle w:val="BodyText"/>
        <w:numPr>
          <w:ilvl w:val="0"/>
          <w:numId w:val="12"/>
        </w:numPr>
      </w:pPr>
      <w:r w:rsidRPr="009907B8">
        <w:t>unclear valuation objectives resulting in valuations not meeting expectations</w:t>
      </w:r>
      <w:r w:rsidR="00E80322">
        <w:t>;</w:t>
      </w:r>
      <w:r w:rsidRPr="009907B8">
        <w:t xml:space="preserve"> </w:t>
      </w:r>
      <w:r w:rsidRPr="002A1131">
        <w:t>and</w:t>
      </w:r>
      <w:r w:rsidRPr="009907B8">
        <w:t xml:space="preserve"> </w:t>
      </w:r>
    </w:p>
    <w:p w14:paraId="177AAB14" w14:textId="77777777" w:rsidR="00CA20BC" w:rsidRPr="009907B8" w:rsidRDefault="7E05E223" w:rsidP="00D70B5C">
      <w:pPr>
        <w:pStyle w:val="BodyText"/>
        <w:numPr>
          <w:ilvl w:val="0"/>
          <w:numId w:val="12"/>
        </w:numPr>
      </w:pPr>
      <w:r>
        <w:t xml:space="preserve">future scope amendments. </w:t>
      </w:r>
    </w:p>
    <w:p w14:paraId="5B3919C9" w14:textId="252F7591" w:rsidR="04E1CD47" w:rsidRDefault="04E1CD47" w:rsidP="04E1CD47">
      <w:pPr>
        <w:rPr>
          <w:rFonts w:cs="Arial"/>
          <w:lang w:val="en-US"/>
        </w:rPr>
      </w:pPr>
    </w:p>
    <w:p w14:paraId="594E1264" w14:textId="77777777" w:rsidR="00CA20BC" w:rsidRPr="009907B8" w:rsidRDefault="00CA20BC" w:rsidP="00CA20BC">
      <w:pPr>
        <w:rPr>
          <w:rFonts w:cs="Arial"/>
          <w:lang w:val="en-US"/>
        </w:rPr>
      </w:pPr>
      <w:r w:rsidRPr="009907B8">
        <w:rPr>
          <w:rFonts w:cs="Arial"/>
          <w:lang w:val="en-US"/>
        </w:rPr>
        <w:t xml:space="preserve">The </w:t>
      </w:r>
      <w:r w:rsidRPr="009907B8">
        <w:rPr>
          <w:rFonts w:cs="Arial"/>
          <w:b/>
          <w:bCs/>
          <w:lang w:val="en-US"/>
        </w:rPr>
        <w:t xml:space="preserve">scope of </w:t>
      </w:r>
      <w:proofErr w:type="gramStart"/>
      <w:r w:rsidRPr="009907B8">
        <w:rPr>
          <w:rFonts w:cs="Arial"/>
          <w:b/>
          <w:bCs/>
          <w:lang w:val="en-US"/>
        </w:rPr>
        <w:t>works</w:t>
      </w:r>
      <w:proofErr w:type="gramEnd"/>
      <w:r w:rsidRPr="009907B8">
        <w:rPr>
          <w:rFonts w:cs="Arial"/>
          <w:lang w:val="en-US"/>
        </w:rPr>
        <w:t xml:space="preserve"> must address the following criteria:</w:t>
      </w:r>
    </w:p>
    <w:tbl>
      <w:tblPr>
        <w:tblStyle w:val="TableGrid"/>
        <w:tblW w:w="9639" w:type="dxa"/>
        <w:tblLook w:val="04A0" w:firstRow="1" w:lastRow="0" w:firstColumn="1" w:lastColumn="0" w:noHBand="0" w:noVBand="1"/>
      </w:tblPr>
      <w:tblGrid>
        <w:gridCol w:w="3402"/>
        <w:gridCol w:w="6237"/>
      </w:tblGrid>
      <w:tr w:rsidR="00CA20BC" w:rsidRPr="009907B8" w14:paraId="2BB67AF2" w14:textId="77777777" w:rsidTr="04E1CD47">
        <w:trPr>
          <w:tblHeader/>
        </w:trPr>
        <w:tc>
          <w:tcPr>
            <w:tcW w:w="3402" w:type="dxa"/>
            <w:tcBorders>
              <w:bottom w:val="single" w:sz="4" w:space="0" w:color="auto"/>
            </w:tcBorders>
            <w:shd w:val="clear" w:color="auto" w:fill="F2F2F2" w:themeFill="background2" w:themeFillShade="F2"/>
          </w:tcPr>
          <w:p w14:paraId="23247693" w14:textId="77777777" w:rsidR="00CA20BC" w:rsidRPr="00C96B98" w:rsidRDefault="00CA20BC" w:rsidP="006347A7">
            <w:pPr>
              <w:pStyle w:val="TableContent"/>
              <w:rPr>
                <w:b/>
                <w:bCs/>
                <w:sz w:val="24"/>
                <w:lang w:val="en-US"/>
              </w:rPr>
            </w:pPr>
            <w:r w:rsidRPr="00C96B98">
              <w:rPr>
                <w:b/>
                <w:bCs/>
                <w:sz w:val="24"/>
                <w:lang w:val="en-US"/>
              </w:rPr>
              <w:t>Criterion</w:t>
            </w:r>
          </w:p>
        </w:tc>
        <w:tc>
          <w:tcPr>
            <w:tcW w:w="6237" w:type="dxa"/>
            <w:tcBorders>
              <w:bottom w:val="single" w:sz="4" w:space="0" w:color="auto"/>
            </w:tcBorders>
            <w:shd w:val="clear" w:color="auto" w:fill="F2F2F2" w:themeFill="background2" w:themeFillShade="F2"/>
          </w:tcPr>
          <w:p w14:paraId="48E59CA0" w14:textId="77777777" w:rsidR="00CA20BC" w:rsidRPr="00C96B98" w:rsidRDefault="00CA20BC" w:rsidP="006347A7">
            <w:pPr>
              <w:pStyle w:val="TableContent"/>
              <w:rPr>
                <w:b/>
                <w:bCs/>
                <w:sz w:val="24"/>
                <w:lang w:val="en-US"/>
              </w:rPr>
            </w:pPr>
            <w:r w:rsidRPr="00C96B98">
              <w:rPr>
                <w:b/>
                <w:bCs/>
                <w:sz w:val="24"/>
                <w:lang w:val="en-US"/>
              </w:rPr>
              <w:t>Comments</w:t>
            </w:r>
          </w:p>
        </w:tc>
      </w:tr>
      <w:tr w:rsidR="00CA20BC" w:rsidRPr="009907B8" w14:paraId="7452B5D6" w14:textId="77777777" w:rsidTr="04E1CD47">
        <w:tc>
          <w:tcPr>
            <w:tcW w:w="3402" w:type="dxa"/>
          </w:tcPr>
          <w:p w14:paraId="12976112" w14:textId="6A120EEE" w:rsidR="00CA20BC" w:rsidRPr="006347A7" w:rsidRDefault="7E05E223" w:rsidP="04E1CD47">
            <w:pPr>
              <w:pStyle w:val="TableContent"/>
              <w:rPr>
                <w:sz w:val="24"/>
                <w:lang w:val="en-US"/>
              </w:rPr>
            </w:pPr>
            <w:r w:rsidRPr="04E1CD47">
              <w:rPr>
                <w:sz w:val="24"/>
                <w:lang w:val="en-US"/>
              </w:rPr>
              <w:t>Objective for the valuation</w:t>
            </w:r>
          </w:p>
        </w:tc>
        <w:tc>
          <w:tcPr>
            <w:tcW w:w="6237" w:type="dxa"/>
          </w:tcPr>
          <w:p w14:paraId="5473AA22" w14:textId="77777777" w:rsidR="00CA20BC" w:rsidRPr="006347A7" w:rsidRDefault="00CA20BC" w:rsidP="006347A7">
            <w:pPr>
              <w:pStyle w:val="TableContent"/>
              <w:rPr>
                <w:sz w:val="24"/>
                <w:lang w:val="en-US"/>
              </w:rPr>
            </w:pPr>
            <w:r w:rsidRPr="006347A7">
              <w:rPr>
                <w:sz w:val="24"/>
                <w:lang w:val="en-US"/>
              </w:rPr>
              <w:t xml:space="preserve">The objective of the valuation is to determine, in compliance with both AAS and jurisdictional legislation, a fair value for the specified assets on an identified date. </w:t>
            </w:r>
          </w:p>
        </w:tc>
      </w:tr>
      <w:tr w:rsidR="00CA20BC" w:rsidRPr="009907B8" w14:paraId="26CBA3D2" w14:textId="77777777" w:rsidTr="04E1CD47">
        <w:tc>
          <w:tcPr>
            <w:tcW w:w="3402" w:type="dxa"/>
            <w:vMerge w:val="restart"/>
          </w:tcPr>
          <w:p w14:paraId="2416CAA1" w14:textId="77777777" w:rsidR="00CA20BC" w:rsidRPr="006347A7" w:rsidRDefault="00CA20BC" w:rsidP="006347A7">
            <w:pPr>
              <w:pStyle w:val="TableContent"/>
              <w:rPr>
                <w:sz w:val="24"/>
              </w:rPr>
            </w:pPr>
            <w:r w:rsidRPr="006347A7">
              <w:rPr>
                <w:sz w:val="24"/>
              </w:rPr>
              <w:t>Compliance with AAS</w:t>
            </w:r>
          </w:p>
          <w:p w14:paraId="19684DF2" w14:textId="77777777" w:rsidR="00CA20BC" w:rsidRPr="006347A7" w:rsidRDefault="00CA20BC" w:rsidP="006347A7">
            <w:pPr>
              <w:pStyle w:val="TableContent"/>
              <w:rPr>
                <w:sz w:val="24"/>
                <w:lang w:val="en-US"/>
              </w:rPr>
            </w:pPr>
          </w:p>
        </w:tc>
        <w:tc>
          <w:tcPr>
            <w:tcW w:w="6237" w:type="dxa"/>
          </w:tcPr>
          <w:p w14:paraId="5182ED04" w14:textId="77777777" w:rsidR="00CA20BC" w:rsidRPr="006347A7" w:rsidRDefault="00CA20BC" w:rsidP="006347A7">
            <w:pPr>
              <w:pStyle w:val="TableContent"/>
              <w:rPr>
                <w:sz w:val="24"/>
              </w:rPr>
            </w:pPr>
            <w:r w:rsidRPr="006347A7">
              <w:rPr>
                <w:sz w:val="24"/>
              </w:rPr>
              <w:t>The valuation must comply with AAS. Specifically, the valuation process should comply with AASB 13 Fair Value Measurement (2022). The local government should consider providing the valuer with a list of applicable AAS.</w:t>
            </w:r>
          </w:p>
        </w:tc>
      </w:tr>
      <w:tr w:rsidR="00CA20BC" w:rsidRPr="009907B8" w14:paraId="4F2CF0CF" w14:textId="77777777" w:rsidTr="04E1CD47">
        <w:tc>
          <w:tcPr>
            <w:tcW w:w="3402" w:type="dxa"/>
            <w:vMerge/>
          </w:tcPr>
          <w:p w14:paraId="6D58824F" w14:textId="77777777" w:rsidR="00CA20BC" w:rsidRPr="006347A7" w:rsidRDefault="00CA20BC" w:rsidP="006347A7">
            <w:pPr>
              <w:pStyle w:val="TableContent"/>
              <w:rPr>
                <w:sz w:val="24"/>
                <w:lang w:val="en-US"/>
              </w:rPr>
            </w:pPr>
          </w:p>
        </w:tc>
        <w:tc>
          <w:tcPr>
            <w:tcW w:w="6237" w:type="dxa"/>
          </w:tcPr>
          <w:p w14:paraId="778BF46D" w14:textId="77777777" w:rsidR="00CA20BC" w:rsidRPr="006347A7" w:rsidRDefault="00CA20BC" w:rsidP="006347A7">
            <w:pPr>
              <w:pStyle w:val="TableContent"/>
              <w:rPr>
                <w:kern w:val="2"/>
                <w:sz w:val="24"/>
                <w14:ligatures w14:val="standardContextual"/>
              </w:rPr>
            </w:pPr>
            <w:r w:rsidRPr="006347A7">
              <w:rPr>
                <w:sz w:val="24"/>
              </w:rPr>
              <w:t>AASB 13 Fair Value Measurement (2022) and other relevant AAS are addressed in the Guidelines - Attachment A - entitled: ‘Valuation under the Accounting Standards’</w:t>
            </w:r>
            <w:r w:rsidRPr="006347A7">
              <w:rPr>
                <w:i/>
                <w:iCs/>
                <w:sz w:val="24"/>
              </w:rPr>
              <w:t xml:space="preserve">. </w:t>
            </w:r>
          </w:p>
        </w:tc>
      </w:tr>
      <w:tr w:rsidR="00CA20BC" w:rsidRPr="009907B8" w14:paraId="1C9515FD" w14:textId="77777777" w:rsidTr="04E1CD47">
        <w:tc>
          <w:tcPr>
            <w:tcW w:w="3402" w:type="dxa"/>
            <w:vMerge w:val="restart"/>
          </w:tcPr>
          <w:p w14:paraId="0A1F0EBE" w14:textId="77777777" w:rsidR="00CA20BC" w:rsidRPr="006347A7" w:rsidRDefault="00CA20BC" w:rsidP="006347A7">
            <w:pPr>
              <w:pStyle w:val="TableContent"/>
              <w:rPr>
                <w:kern w:val="2"/>
                <w:sz w:val="24"/>
                <w14:ligatures w14:val="standardContextual"/>
              </w:rPr>
            </w:pPr>
            <w:r w:rsidRPr="006347A7">
              <w:rPr>
                <w:sz w:val="24"/>
              </w:rPr>
              <w:t xml:space="preserve">Compliance with jurisdictional legislation. </w:t>
            </w:r>
          </w:p>
          <w:p w14:paraId="648544D2" w14:textId="77777777" w:rsidR="00CA20BC" w:rsidRPr="006347A7" w:rsidRDefault="00CA20BC" w:rsidP="006347A7">
            <w:pPr>
              <w:pStyle w:val="TableContent"/>
              <w:rPr>
                <w:sz w:val="24"/>
                <w:lang w:val="en-US"/>
              </w:rPr>
            </w:pPr>
          </w:p>
        </w:tc>
        <w:tc>
          <w:tcPr>
            <w:tcW w:w="6237" w:type="dxa"/>
          </w:tcPr>
          <w:p w14:paraId="67AE1629" w14:textId="51D3B32D" w:rsidR="00CA20BC" w:rsidRPr="006347A7" w:rsidRDefault="7E05E223" w:rsidP="04E1CD47">
            <w:pPr>
              <w:pStyle w:val="TableContent"/>
              <w:rPr>
                <w:kern w:val="2"/>
                <w:sz w:val="24"/>
                <w14:ligatures w14:val="standardContextual"/>
              </w:rPr>
            </w:pPr>
            <w:r w:rsidRPr="04E1CD47">
              <w:rPr>
                <w:sz w:val="24"/>
              </w:rPr>
              <w:t xml:space="preserve">The scope should identify the jurisdictional legislation to be complied with in the valuation. </w:t>
            </w:r>
          </w:p>
        </w:tc>
      </w:tr>
      <w:tr w:rsidR="00CA20BC" w:rsidRPr="009907B8" w14:paraId="40F29F9B" w14:textId="77777777" w:rsidTr="04E1CD47">
        <w:tc>
          <w:tcPr>
            <w:tcW w:w="3402" w:type="dxa"/>
            <w:vMerge/>
          </w:tcPr>
          <w:p w14:paraId="1E793E63" w14:textId="77777777" w:rsidR="00CA20BC" w:rsidRPr="006347A7" w:rsidRDefault="00CA20BC" w:rsidP="006347A7">
            <w:pPr>
              <w:pStyle w:val="TableContent"/>
              <w:rPr>
                <w:sz w:val="24"/>
                <w:lang w:val="en-US"/>
              </w:rPr>
            </w:pPr>
          </w:p>
        </w:tc>
        <w:tc>
          <w:tcPr>
            <w:tcW w:w="6237" w:type="dxa"/>
          </w:tcPr>
          <w:p w14:paraId="2C5B2DA3" w14:textId="77777777" w:rsidR="00CA20BC" w:rsidRPr="006347A7" w:rsidRDefault="00CA20BC" w:rsidP="006347A7">
            <w:pPr>
              <w:pStyle w:val="TableContent"/>
              <w:rPr>
                <w:sz w:val="24"/>
                <w:lang w:val="en-US"/>
              </w:rPr>
            </w:pPr>
            <w:r w:rsidRPr="006347A7">
              <w:rPr>
                <w:sz w:val="24"/>
                <w:lang w:val="en-US"/>
              </w:rPr>
              <w:t xml:space="preserve">For example: jurisdictional legislation and its effect on the valuation process is addressed in the Guidelines – Part A. </w:t>
            </w:r>
          </w:p>
        </w:tc>
      </w:tr>
      <w:tr w:rsidR="00CA20BC" w:rsidRPr="009907B8" w14:paraId="27B56AA9" w14:textId="77777777" w:rsidTr="04E1CD47">
        <w:tc>
          <w:tcPr>
            <w:tcW w:w="3402" w:type="dxa"/>
            <w:vMerge w:val="restart"/>
          </w:tcPr>
          <w:p w14:paraId="36E1CB89" w14:textId="77777777" w:rsidR="00CA20BC" w:rsidRPr="006347A7" w:rsidRDefault="00CA20BC" w:rsidP="006347A7">
            <w:pPr>
              <w:pStyle w:val="TableContent"/>
              <w:rPr>
                <w:sz w:val="24"/>
                <w:lang w:val="en-US"/>
              </w:rPr>
            </w:pPr>
            <w:r w:rsidRPr="006347A7">
              <w:rPr>
                <w:sz w:val="24"/>
                <w:lang w:val="en-US"/>
              </w:rPr>
              <w:t>Valuation techniques</w:t>
            </w:r>
          </w:p>
        </w:tc>
        <w:tc>
          <w:tcPr>
            <w:tcW w:w="6237" w:type="dxa"/>
          </w:tcPr>
          <w:p w14:paraId="0F4A1286" w14:textId="77777777" w:rsidR="00CA20BC" w:rsidRPr="006347A7" w:rsidRDefault="00CA20BC" w:rsidP="006347A7">
            <w:pPr>
              <w:pStyle w:val="TableContent"/>
              <w:rPr>
                <w:sz w:val="24"/>
              </w:rPr>
            </w:pPr>
            <w:r w:rsidRPr="006347A7">
              <w:rPr>
                <w:sz w:val="24"/>
              </w:rPr>
              <w:t>The scope should stipulate the valuation technique(s) to be used for individual classes of assets to be valued.</w:t>
            </w:r>
          </w:p>
        </w:tc>
      </w:tr>
      <w:tr w:rsidR="00CA20BC" w:rsidRPr="009907B8" w14:paraId="125988B0" w14:textId="77777777" w:rsidTr="04E1CD47">
        <w:tc>
          <w:tcPr>
            <w:tcW w:w="3402" w:type="dxa"/>
            <w:vMerge/>
          </w:tcPr>
          <w:p w14:paraId="75C98FE9" w14:textId="77777777" w:rsidR="00CA20BC" w:rsidRPr="006347A7" w:rsidRDefault="00CA20BC" w:rsidP="006347A7">
            <w:pPr>
              <w:pStyle w:val="TableContent"/>
              <w:rPr>
                <w:sz w:val="24"/>
                <w:lang w:val="en-US"/>
              </w:rPr>
            </w:pPr>
          </w:p>
        </w:tc>
        <w:tc>
          <w:tcPr>
            <w:tcW w:w="6237" w:type="dxa"/>
          </w:tcPr>
          <w:p w14:paraId="50A2D887" w14:textId="03CD59F9" w:rsidR="00C96B98" w:rsidRPr="006347A7" w:rsidRDefault="00CA20BC" w:rsidP="006347A7">
            <w:pPr>
              <w:pStyle w:val="TableContent"/>
              <w:rPr>
                <w:sz w:val="24"/>
              </w:rPr>
            </w:pPr>
            <w:r w:rsidRPr="006347A7">
              <w:rPr>
                <w:sz w:val="24"/>
              </w:rPr>
              <w:t>Valuation techniques are addressed in the Guidelines – Attachment B</w:t>
            </w:r>
            <w:r w:rsidR="007D0E67">
              <w:rPr>
                <w:sz w:val="24"/>
              </w:rPr>
              <w:t xml:space="preserve">. </w:t>
            </w:r>
          </w:p>
        </w:tc>
      </w:tr>
      <w:tr w:rsidR="00CA20BC" w:rsidRPr="009907B8" w14:paraId="259200A9" w14:textId="77777777" w:rsidTr="04E1CD47">
        <w:tc>
          <w:tcPr>
            <w:tcW w:w="3402" w:type="dxa"/>
            <w:vMerge w:val="restart"/>
          </w:tcPr>
          <w:p w14:paraId="0FDD9305" w14:textId="77777777" w:rsidR="00CA20BC" w:rsidRPr="006347A7" w:rsidRDefault="00CA20BC" w:rsidP="006347A7">
            <w:pPr>
              <w:pStyle w:val="TableContent"/>
              <w:rPr>
                <w:sz w:val="24"/>
                <w:lang w:val="en-US"/>
              </w:rPr>
            </w:pPr>
            <w:r w:rsidRPr="006347A7">
              <w:rPr>
                <w:sz w:val="24"/>
                <w:lang w:val="en-US"/>
              </w:rPr>
              <w:t>Specified assets</w:t>
            </w:r>
          </w:p>
        </w:tc>
        <w:tc>
          <w:tcPr>
            <w:tcW w:w="6237" w:type="dxa"/>
          </w:tcPr>
          <w:p w14:paraId="425DDA71" w14:textId="4A1F3C1B" w:rsidR="00CA20BC" w:rsidRPr="006347A7" w:rsidRDefault="00CA20BC" w:rsidP="006347A7">
            <w:pPr>
              <w:pStyle w:val="TableContent"/>
              <w:rPr>
                <w:kern w:val="2"/>
                <w:sz w:val="24"/>
                <w14:ligatures w14:val="standardContextual"/>
              </w:rPr>
            </w:pPr>
            <w:r w:rsidRPr="006347A7">
              <w:rPr>
                <w:sz w:val="24"/>
              </w:rPr>
              <w:t>Local government</w:t>
            </w:r>
            <w:r w:rsidR="00E80322">
              <w:rPr>
                <w:sz w:val="24"/>
              </w:rPr>
              <w:t>s</w:t>
            </w:r>
            <w:r w:rsidRPr="006347A7">
              <w:rPr>
                <w:sz w:val="24"/>
              </w:rPr>
              <w:t xml:space="preserve"> must provide the valuer with an accurate, complete and reconciled asset register which specifies all non-financial assets to be valued, including a physical description, location etc.</w:t>
            </w:r>
          </w:p>
        </w:tc>
      </w:tr>
      <w:tr w:rsidR="00CA20BC" w:rsidRPr="009907B8" w14:paraId="15E961D2" w14:textId="77777777" w:rsidTr="04E1CD47">
        <w:tc>
          <w:tcPr>
            <w:tcW w:w="3402" w:type="dxa"/>
            <w:vMerge/>
          </w:tcPr>
          <w:p w14:paraId="6D30248A" w14:textId="77777777" w:rsidR="00CA20BC" w:rsidRPr="006347A7" w:rsidRDefault="00CA20BC" w:rsidP="006347A7">
            <w:pPr>
              <w:pStyle w:val="TableContent"/>
              <w:rPr>
                <w:sz w:val="24"/>
                <w:lang w:val="en-US"/>
              </w:rPr>
            </w:pPr>
          </w:p>
        </w:tc>
        <w:tc>
          <w:tcPr>
            <w:tcW w:w="6237" w:type="dxa"/>
          </w:tcPr>
          <w:p w14:paraId="6AF6B778" w14:textId="77777777" w:rsidR="00CA20BC" w:rsidRPr="006347A7" w:rsidRDefault="00CA20BC" w:rsidP="006347A7">
            <w:pPr>
              <w:pStyle w:val="TableContent"/>
              <w:rPr>
                <w:sz w:val="24"/>
              </w:rPr>
            </w:pPr>
            <w:r w:rsidRPr="006347A7">
              <w:rPr>
                <w:sz w:val="24"/>
              </w:rPr>
              <w:t xml:space="preserve">Asset registers are addressed in the Guidelines – Part B – section entitled: ‘Asset </w:t>
            </w:r>
            <w:proofErr w:type="gramStart"/>
            <w:r w:rsidRPr="006347A7">
              <w:rPr>
                <w:sz w:val="24"/>
              </w:rPr>
              <w:t>registers’</w:t>
            </w:r>
            <w:proofErr w:type="gramEnd"/>
            <w:r w:rsidRPr="006347A7">
              <w:rPr>
                <w:sz w:val="24"/>
              </w:rPr>
              <w:t xml:space="preserve">. </w:t>
            </w:r>
          </w:p>
        </w:tc>
      </w:tr>
      <w:tr w:rsidR="00CA20BC" w:rsidRPr="009907B8" w14:paraId="7B2C696D" w14:textId="77777777" w:rsidTr="04E1CD47">
        <w:tc>
          <w:tcPr>
            <w:tcW w:w="3402" w:type="dxa"/>
            <w:vMerge w:val="restart"/>
          </w:tcPr>
          <w:p w14:paraId="355A6612" w14:textId="77777777" w:rsidR="00CA20BC" w:rsidRPr="006347A7" w:rsidRDefault="00CA20BC" w:rsidP="006347A7">
            <w:pPr>
              <w:pStyle w:val="TableContent"/>
              <w:rPr>
                <w:sz w:val="24"/>
                <w:lang w:val="en-US"/>
              </w:rPr>
            </w:pPr>
            <w:r w:rsidRPr="006347A7">
              <w:rPr>
                <w:sz w:val="24"/>
                <w:lang w:val="en-US"/>
              </w:rPr>
              <w:t>Identified date</w:t>
            </w:r>
          </w:p>
        </w:tc>
        <w:tc>
          <w:tcPr>
            <w:tcW w:w="6237" w:type="dxa"/>
          </w:tcPr>
          <w:p w14:paraId="680A7D87" w14:textId="5171147D" w:rsidR="00CA20BC" w:rsidRPr="006347A7" w:rsidRDefault="00CA20BC" w:rsidP="006347A7">
            <w:pPr>
              <w:pStyle w:val="TableContent"/>
              <w:rPr>
                <w:sz w:val="24"/>
              </w:rPr>
            </w:pPr>
            <w:r w:rsidRPr="006347A7">
              <w:rPr>
                <w:sz w:val="24"/>
              </w:rPr>
              <w:t xml:space="preserve">Local governments are responsible </w:t>
            </w:r>
            <w:r w:rsidR="00E80322">
              <w:rPr>
                <w:sz w:val="24"/>
              </w:rPr>
              <w:t>for</w:t>
            </w:r>
            <w:r w:rsidRPr="006347A7">
              <w:rPr>
                <w:sz w:val="24"/>
              </w:rPr>
              <w:t xml:space="preserve"> specify</w:t>
            </w:r>
            <w:r w:rsidR="00E80322">
              <w:rPr>
                <w:sz w:val="24"/>
              </w:rPr>
              <w:t>ing</w:t>
            </w:r>
            <w:r w:rsidRPr="006347A7">
              <w:rPr>
                <w:sz w:val="24"/>
              </w:rPr>
              <w:t xml:space="preserve"> the effective date for a valuation. There are </w:t>
            </w:r>
            <w:r w:rsidR="00771077">
              <w:rPr>
                <w:sz w:val="24"/>
              </w:rPr>
              <w:t>two</w:t>
            </w:r>
            <w:r w:rsidRPr="006347A7">
              <w:rPr>
                <w:sz w:val="24"/>
              </w:rPr>
              <w:t xml:space="preserve"> important dates regarding valuations that should be considered. These dates are:</w:t>
            </w:r>
          </w:p>
          <w:p w14:paraId="757E9EB3" w14:textId="7A2BDEDE" w:rsidR="00CA20BC" w:rsidRPr="006347A7" w:rsidRDefault="00CA20BC">
            <w:pPr>
              <w:pStyle w:val="TableContent"/>
              <w:numPr>
                <w:ilvl w:val="0"/>
                <w:numId w:val="43"/>
              </w:numPr>
              <w:rPr>
                <w:sz w:val="24"/>
              </w:rPr>
            </w:pPr>
            <w:r w:rsidRPr="006347A7">
              <w:rPr>
                <w:sz w:val="24"/>
              </w:rPr>
              <w:t>effective date for the valuation</w:t>
            </w:r>
            <w:r w:rsidR="00E80322">
              <w:rPr>
                <w:sz w:val="24"/>
              </w:rPr>
              <w:t>;</w:t>
            </w:r>
            <w:r w:rsidRPr="006347A7">
              <w:rPr>
                <w:sz w:val="24"/>
              </w:rPr>
              <w:t xml:space="preserve"> </w:t>
            </w:r>
            <w:r w:rsidRPr="002A1131">
              <w:rPr>
                <w:sz w:val="24"/>
              </w:rPr>
              <w:t>and</w:t>
            </w:r>
          </w:p>
          <w:p w14:paraId="159B2022" w14:textId="77777777" w:rsidR="00CA20BC" w:rsidRPr="006347A7" w:rsidRDefault="00CA20BC">
            <w:pPr>
              <w:pStyle w:val="TableContent"/>
              <w:numPr>
                <w:ilvl w:val="0"/>
                <w:numId w:val="43"/>
              </w:numPr>
              <w:rPr>
                <w:sz w:val="24"/>
              </w:rPr>
            </w:pPr>
            <w:r w:rsidRPr="006347A7">
              <w:rPr>
                <w:sz w:val="24"/>
              </w:rPr>
              <w:t>reporting date for the local government.</w:t>
            </w:r>
          </w:p>
        </w:tc>
      </w:tr>
      <w:tr w:rsidR="00CA20BC" w:rsidRPr="009907B8" w14:paraId="0ADA2590" w14:textId="77777777" w:rsidTr="04E1CD47">
        <w:tc>
          <w:tcPr>
            <w:tcW w:w="3402" w:type="dxa"/>
            <w:vMerge/>
          </w:tcPr>
          <w:p w14:paraId="71D579D3" w14:textId="77777777" w:rsidR="00CA20BC" w:rsidRPr="006347A7" w:rsidRDefault="00CA20BC" w:rsidP="006347A7">
            <w:pPr>
              <w:pStyle w:val="TableContent"/>
              <w:rPr>
                <w:sz w:val="24"/>
                <w:lang w:val="en-US"/>
              </w:rPr>
            </w:pPr>
          </w:p>
        </w:tc>
        <w:tc>
          <w:tcPr>
            <w:tcW w:w="6237" w:type="dxa"/>
            <w:tcBorders>
              <w:bottom w:val="single" w:sz="4" w:space="0" w:color="auto"/>
            </w:tcBorders>
          </w:tcPr>
          <w:p w14:paraId="5BEF6A9E" w14:textId="49C7CB02" w:rsidR="00CA20BC" w:rsidRPr="006347A7" w:rsidRDefault="7E05E223" w:rsidP="04E1CD47">
            <w:pPr>
              <w:pStyle w:val="TableContent"/>
              <w:rPr>
                <w:sz w:val="24"/>
              </w:rPr>
            </w:pPr>
            <w:r w:rsidRPr="04E1CD47">
              <w:rPr>
                <w:sz w:val="24"/>
              </w:rPr>
              <w:t>The timeliness of valuations is addressed in the Guidelines - Part B - section entitled: ‘Scheduling of valuations.</w:t>
            </w:r>
          </w:p>
        </w:tc>
      </w:tr>
      <w:tr w:rsidR="00CA20BC" w:rsidRPr="009907B8" w14:paraId="21BA8301" w14:textId="77777777" w:rsidTr="04E1CD47">
        <w:tc>
          <w:tcPr>
            <w:tcW w:w="3402" w:type="dxa"/>
            <w:tcBorders>
              <w:bottom w:val="single" w:sz="4" w:space="0" w:color="auto"/>
            </w:tcBorders>
          </w:tcPr>
          <w:p w14:paraId="6DDFC9F2" w14:textId="77777777" w:rsidR="00CA20BC" w:rsidRPr="006347A7" w:rsidRDefault="00CA20BC" w:rsidP="006347A7">
            <w:pPr>
              <w:pStyle w:val="TableContent"/>
              <w:rPr>
                <w:sz w:val="24"/>
                <w:lang w:val="en-US"/>
              </w:rPr>
            </w:pPr>
            <w:r w:rsidRPr="006347A7">
              <w:rPr>
                <w:sz w:val="24"/>
                <w:lang w:val="en-US"/>
              </w:rPr>
              <w:t xml:space="preserve">Assumptions used </w:t>
            </w:r>
          </w:p>
        </w:tc>
        <w:tc>
          <w:tcPr>
            <w:tcW w:w="6237" w:type="dxa"/>
            <w:tcBorders>
              <w:bottom w:val="single" w:sz="4" w:space="0" w:color="auto"/>
            </w:tcBorders>
          </w:tcPr>
          <w:p w14:paraId="3D533171" w14:textId="77777777" w:rsidR="00CA20BC" w:rsidRPr="006347A7" w:rsidRDefault="00CA20BC" w:rsidP="006347A7">
            <w:pPr>
              <w:pStyle w:val="TableContent"/>
              <w:rPr>
                <w:sz w:val="24"/>
              </w:rPr>
            </w:pPr>
            <w:r w:rsidRPr="006347A7">
              <w:rPr>
                <w:sz w:val="24"/>
              </w:rPr>
              <w:t>Assumptions are an integral part of valuation. It is essential that the valuer’s records disclose:</w:t>
            </w:r>
          </w:p>
          <w:p w14:paraId="3B9C7E83" w14:textId="0011D43A" w:rsidR="00CA20BC" w:rsidRPr="006347A7" w:rsidRDefault="00CA20BC">
            <w:pPr>
              <w:pStyle w:val="TableContent"/>
              <w:numPr>
                <w:ilvl w:val="0"/>
                <w:numId w:val="44"/>
              </w:numPr>
              <w:rPr>
                <w:kern w:val="2"/>
                <w:sz w:val="24"/>
                <w14:ligatures w14:val="standardContextual"/>
              </w:rPr>
            </w:pPr>
            <w:r w:rsidRPr="006347A7">
              <w:rPr>
                <w:sz w:val="24"/>
              </w:rPr>
              <w:t>all assumptions used to measure an asset’s fair value</w:t>
            </w:r>
            <w:r w:rsidR="00E80322">
              <w:rPr>
                <w:sz w:val="24"/>
              </w:rPr>
              <w:t>;</w:t>
            </w:r>
            <w:r w:rsidRPr="006347A7">
              <w:rPr>
                <w:sz w:val="24"/>
              </w:rPr>
              <w:t xml:space="preserve"> </w:t>
            </w:r>
            <w:r w:rsidRPr="002A1131">
              <w:rPr>
                <w:sz w:val="24"/>
              </w:rPr>
              <w:t>and</w:t>
            </w:r>
            <w:r w:rsidRPr="006347A7">
              <w:rPr>
                <w:sz w:val="24"/>
              </w:rPr>
              <w:t xml:space="preserve"> </w:t>
            </w:r>
          </w:p>
          <w:p w14:paraId="7DAE45D9" w14:textId="77777777" w:rsidR="00CA20BC" w:rsidRPr="006347A7" w:rsidRDefault="00CA20BC">
            <w:pPr>
              <w:pStyle w:val="TableContent"/>
              <w:numPr>
                <w:ilvl w:val="0"/>
                <w:numId w:val="44"/>
              </w:numPr>
              <w:rPr>
                <w:kern w:val="2"/>
                <w:sz w:val="24"/>
                <w14:ligatures w14:val="standardContextual"/>
              </w:rPr>
            </w:pPr>
            <w:r w:rsidRPr="006347A7">
              <w:rPr>
                <w:sz w:val="24"/>
              </w:rPr>
              <w:t>sources for relevant assumptions (e.g. source for market values inputs used in a valuation).</w:t>
            </w:r>
          </w:p>
        </w:tc>
      </w:tr>
      <w:tr w:rsidR="00CA20BC" w:rsidRPr="009907B8" w14:paraId="623E225D" w14:textId="77777777" w:rsidTr="04E1CD47">
        <w:tc>
          <w:tcPr>
            <w:tcW w:w="3402" w:type="dxa"/>
            <w:vMerge w:val="restart"/>
          </w:tcPr>
          <w:p w14:paraId="0B4089DE" w14:textId="77777777" w:rsidR="00CA20BC" w:rsidRPr="006347A7" w:rsidRDefault="00CA20BC" w:rsidP="006347A7">
            <w:pPr>
              <w:pStyle w:val="TableContent"/>
              <w:rPr>
                <w:kern w:val="2"/>
                <w:sz w:val="24"/>
                <w14:ligatures w14:val="standardContextual"/>
              </w:rPr>
            </w:pPr>
            <w:r w:rsidRPr="006347A7">
              <w:rPr>
                <w:sz w:val="24"/>
              </w:rPr>
              <w:t>Valuer’s deliverables</w:t>
            </w:r>
          </w:p>
        </w:tc>
        <w:tc>
          <w:tcPr>
            <w:tcW w:w="6237" w:type="dxa"/>
          </w:tcPr>
          <w:p w14:paraId="45F5CE95" w14:textId="77777777" w:rsidR="00CA20BC" w:rsidRPr="006347A7" w:rsidRDefault="00CA20BC" w:rsidP="006347A7">
            <w:pPr>
              <w:pStyle w:val="TableContent"/>
              <w:rPr>
                <w:sz w:val="24"/>
              </w:rPr>
            </w:pPr>
            <w:r w:rsidRPr="006347A7">
              <w:rPr>
                <w:sz w:val="24"/>
              </w:rPr>
              <w:t xml:space="preserve">It is essential that the valuer agree to provide the local government with: </w:t>
            </w:r>
          </w:p>
          <w:p w14:paraId="0203082B" w14:textId="77777777" w:rsidR="00CA20BC" w:rsidRPr="006347A7" w:rsidRDefault="00CA20BC">
            <w:pPr>
              <w:pStyle w:val="TableContent"/>
              <w:numPr>
                <w:ilvl w:val="0"/>
                <w:numId w:val="45"/>
              </w:numPr>
              <w:rPr>
                <w:sz w:val="24"/>
              </w:rPr>
            </w:pPr>
            <w:r w:rsidRPr="006347A7">
              <w:rPr>
                <w:sz w:val="24"/>
              </w:rPr>
              <w:t xml:space="preserve">a copy of the complete set of the valuer’s working papers (or alternatively sufficient access to the valuer’s working papers for review thereof) </w:t>
            </w:r>
          </w:p>
          <w:p w14:paraId="495D0B86" w14:textId="47076600" w:rsidR="00CA20BC" w:rsidRPr="006347A7" w:rsidRDefault="00CA20BC">
            <w:pPr>
              <w:pStyle w:val="TableContent"/>
              <w:numPr>
                <w:ilvl w:val="0"/>
                <w:numId w:val="45"/>
              </w:numPr>
              <w:rPr>
                <w:sz w:val="24"/>
              </w:rPr>
            </w:pPr>
            <w:r w:rsidRPr="006347A7">
              <w:rPr>
                <w:sz w:val="24"/>
              </w:rPr>
              <w:t>an appropriate level of detail regarding the individual assets in different asset classes which have been revalued, to enable the local government to update their asset register with the revaluation data (preferably in an Excel format)</w:t>
            </w:r>
            <w:r w:rsidR="00E80322">
              <w:rPr>
                <w:sz w:val="24"/>
              </w:rPr>
              <w:t>;</w:t>
            </w:r>
            <w:r w:rsidRPr="006347A7">
              <w:rPr>
                <w:sz w:val="24"/>
              </w:rPr>
              <w:t xml:space="preserve"> </w:t>
            </w:r>
            <w:r w:rsidRPr="002A1131">
              <w:rPr>
                <w:sz w:val="24"/>
              </w:rPr>
              <w:t>and</w:t>
            </w:r>
            <w:r w:rsidRPr="00B44927">
              <w:rPr>
                <w:sz w:val="24"/>
              </w:rPr>
              <w:t xml:space="preserve"> </w:t>
            </w:r>
          </w:p>
          <w:p w14:paraId="118FEC7A" w14:textId="77777777" w:rsidR="00CA20BC" w:rsidRPr="006347A7" w:rsidRDefault="00CA20BC">
            <w:pPr>
              <w:pStyle w:val="TableContent"/>
              <w:numPr>
                <w:ilvl w:val="0"/>
                <w:numId w:val="45"/>
              </w:numPr>
              <w:rPr>
                <w:sz w:val="24"/>
              </w:rPr>
            </w:pPr>
            <w:r w:rsidRPr="006347A7">
              <w:rPr>
                <w:sz w:val="24"/>
              </w:rPr>
              <w:t xml:space="preserve">valuation report(s). </w:t>
            </w:r>
          </w:p>
          <w:p w14:paraId="596FB1CD" w14:textId="77777777" w:rsidR="00CA20BC" w:rsidRPr="006347A7" w:rsidRDefault="00CA20BC" w:rsidP="006347A7">
            <w:pPr>
              <w:pStyle w:val="TableContent"/>
              <w:rPr>
                <w:sz w:val="24"/>
              </w:rPr>
            </w:pPr>
            <w:r w:rsidRPr="006347A7">
              <w:rPr>
                <w:sz w:val="24"/>
              </w:rPr>
              <w:t xml:space="preserve">Such working papers are required by the local government to review the </w:t>
            </w:r>
            <w:proofErr w:type="gramStart"/>
            <w:r w:rsidRPr="006347A7">
              <w:rPr>
                <w:sz w:val="24"/>
              </w:rPr>
              <w:t>valuer’s</w:t>
            </w:r>
            <w:proofErr w:type="gramEnd"/>
            <w:r w:rsidRPr="006347A7">
              <w:rPr>
                <w:sz w:val="24"/>
              </w:rPr>
              <w:t xml:space="preserve">: </w:t>
            </w:r>
          </w:p>
          <w:p w14:paraId="2D04E921" w14:textId="370A018B" w:rsidR="00CA20BC" w:rsidRPr="006347A7" w:rsidRDefault="7E05E223">
            <w:pPr>
              <w:pStyle w:val="TableContent"/>
              <w:numPr>
                <w:ilvl w:val="0"/>
                <w:numId w:val="46"/>
              </w:numPr>
              <w:rPr>
                <w:sz w:val="24"/>
              </w:rPr>
            </w:pPr>
            <w:r w:rsidRPr="04E1CD47">
              <w:rPr>
                <w:sz w:val="24"/>
              </w:rPr>
              <w:t>assessments of the value of asset classes</w:t>
            </w:r>
          </w:p>
          <w:p w14:paraId="307060CB" w14:textId="77777777" w:rsidR="00CA20BC" w:rsidRPr="006347A7" w:rsidRDefault="00CA20BC">
            <w:pPr>
              <w:pStyle w:val="TableContent"/>
              <w:numPr>
                <w:ilvl w:val="0"/>
                <w:numId w:val="46"/>
              </w:numPr>
              <w:rPr>
                <w:kern w:val="2"/>
                <w:sz w:val="24"/>
                <w14:ligatures w14:val="standardContextual"/>
              </w:rPr>
            </w:pPr>
            <w:r w:rsidRPr="006347A7">
              <w:rPr>
                <w:sz w:val="24"/>
              </w:rPr>
              <w:t xml:space="preserve">valuation report produced by the valuer. </w:t>
            </w:r>
          </w:p>
        </w:tc>
      </w:tr>
      <w:tr w:rsidR="00CA20BC" w:rsidRPr="009907B8" w14:paraId="46EC2B4B" w14:textId="77777777" w:rsidTr="04E1CD47">
        <w:tc>
          <w:tcPr>
            <w:tcW w:w="3402" w:type="dxa"/>
            <w:vMerge/>
          </w:tcPr>
          <w:p w14:paraId="04B922BB" w14:textId="77777777" w:rsidR="00CA20BC" w:rsidRPr="006347A7" w:rsidRDefault="00CA20BC" w:rsidP="006347A7">
            <w:pPr>
              <w:pStyle w:val="TableContent"/>
              <w:rPr>
                <w:sz w:val="24"/>
                <w:lang w:val="en-US"/>
              </w:rPr>
            </w:pPr>
          </w:p>
        </w:tc>
        <w:tc>
          <w:tcPr>
            <w:tcW w:w="6237" w:type="dxa"/>
          </w:tcPr>
          <w:p w14:paraId="4D760459" w14:textId="71A7E007" w:rsidR="00CA20BC" w:rsidRPr="006347A7" w:rsidRDefault="7E05E223" w:rsidP="04E1CD47">
            <w:pPr>
              <w:pStyle w:val="TableContent"/>
              <w:rPr>
                <w:kern w:val="2"/>
                <w:sz w:val="24"/>
                <w14:ligatures w14:val="standardContextual"/>
              </w:rPr>
            </w:pPr>
            <w:r w:rsidRPr="04E1CD47">
              <w:rPr>
                <w:sz w:val="24"/>
              </w:rPr>
              <w:t xml:space="preserve">Valuer’s report is addressed in the Guidelines - Part B </w:t>
            </w:r>
            <w:r w:rsidR="00F97110" w:rsidRPr="04E1CD47">
              <w:rPr>
                <w:sz w:val="24"/>
              </w:rPr>
              <w:t>section</w:t>
            </w:r>
            <w:r w:rsidRPr="04E1CD47">
              <w:rPr>
                <w:sz w:val="24"/>
              </w:rPr>
              <w:t xml:space="preserve"> </w:t>
            </w:r>
            <w:r w:rsidR="00A14176">
              <w:rPr>
                <w:sz w:val="24"/>
              </w:rPr>
              <w:t>‘</w:t>
            </w:r>
            <w:r w:rsidR="0099671E">
              <w:rPr>
                <w:sz w:val="24"/>
              </w:rPr>
              <w:t>Valuer</w:t>
            </w:r>
            <w:r w:rsidR="00D30A4F">
              <w:rPr>
                <w:sz w:val="24"/>
              </w:rPr>
              <w:t>’s</w:t>
            </w:r>
            <w:r w:rsidR="00500635">
              <w:rPr>
                <w:sz w:val="24"/>
              </w:rPr>
              <w:t xml:space="preserve"> </w:t>
            </w:r>
            <w:r w:rsidR="00FE4F61">
              <w:rPr>
                <w:sz w:val="24"/>
              </w:rPr>
              <w:t>R</w:t>
            </w:r>
            <w:r w:rsidRPr="04E1CD47">
              <w:rPr>
                <w:sz w:val="24"/>
              </w:rPr>
              <w:t>eport’</w:t>
            </w:r>
            <w:r w:rsidRPr="04E1CD47">
              <w:rPr>
                <w:i/>
                <w:iCs/>
                <w:sz w:val="24"/>
              </w:rPr>
              <w:t>.</w:t>
            </w:r>
          </w:p>
          <w:p w14:paraId="4391AED0" w14:textId="77777777" w:rsidR="00CA20BC" w:rsidRPr="006347A7" w:rsidRDefault="00CA20BC" w:rsidP="006347A7">
            <w:pPr>
              <w:pStyle w:val="TableContent"/>
              <w:rPr>
                <w:sz w:val="24"/>
              </w:rPr>
            </w:pPr>
            <w:r w:rsidRPr="006347A7">
              <w:rPr>
                <w:sz w:val="24"/>
              </w:rPr>
              <w:lastRenderedPageBreak/>
              <w:t xml:space="preserve">The Guidelines provide details as to the local government’s review of the valuer’s work papers throughout sections within Part B. </w:t>
            </w:r>
          </w:p>
        </w:tc>
      </w:tr>
    </w:tbl>
    <w:p w14:paraId="6D45ABE4" w14:textId="77777777" w:rsidR="00CA20BC" w:rsidRPr="009907B8" w:rsidRDefault="00CA20BC" w:rsidP="00CA20BC">
      <w:pPr>
        <w:spacing w:before="120"/>
        <w:rPr>
          <w:rFonts w:cs="Arial"/>
          <w:lang w:val="en-US"/>
        </w:rPr>
      </w:pPr>
      <w:bookmarkStart w:id="61" w:name="_Asset_measurement_after"/>
      <w:bookmarkEnd w:id="61"/>
      <w:r w:rsidRPr="009907B8">
        <w:rPr>
          <w:rFonts w:cs="Arial"/>
          <w:lang w:val="en-US"/>
        </w:rPr>
        <w:t xml:space="preserve">Local government tasks regarding the </w:t>
      </w:r>
      <w:r w:rsidRPr="009907B8">
        <w:rPr>
          <w:rFonts w:cs="Arial"/>
          <w:b/>
          <w:bCs/>
          <w:lang w:val="en-US"/>
        </w:rPr>
        <w:t>scope of works</w:t>
      </w:r>
      <w:r w:rsidRPr="009907B8">
        <w:rPr>
          <w:rFonts w:cs="Arial"/>
          <w:lang w:val="en-US"/>
        </w:rPr>
        <w:t xml:space="preserve"> are as follows: </w:t>
      </w:r>
    </w:p>
    <w:tbl>
      <w:tblPr>
        <w:tblStyle w:val="TableGrid"/>
        <w:tblW w:w="9639" w:type="dxa"/>
        <w:tblLook w:val="04A0" w:firstRow="1" w:lastRow="0" w:firstColumn="1" w:lastColumn="0" w:noHBand="0" w:noVBand="1"/>
      </w:tblPr>
      <w:tblGrid>
        <w:gridCol w:w="9639"/>
      </w:tblGrid>
      <w:tr w:rsidR="00CA20BC" w:rsidRPr="009907B8" w14:paraId="4C00812B" w14:textId="77777777" w:rsidTr="04E1CD47">
        <w:trPr>
          <w:tblHeader/>
        </w:trPr>
        <w:tc>
          <w:tcPr>
            <w:tcW w:w="9639" w:type="dxa"/>
            <w:shd w:val="clear" w:color="auto" w:fill="F2F2F2" w:themeFill="background2" w:themeFillShade="F2"/>
          </w:tcPr>
          <w:p w14:paraId="24E04D41" w14:textId="51E19111" w:rsidR="00CA20BC" w:rsidRPr="00C369E7" w:rsidRDefault="00CA20BC" w:rsidP="00C369E7">
            <w:pPr>
              <w:pStyle w:val="TableContent"/>
              <w:rPr>
                <w:b/>
                <w:bCs/>
                <w:sz w:val="24"/>
              </w:rPr>
            </w:pPr>
            <w:r w:rsidRPr="00C369E7">
              <w:rPr>
                <w:b/>
                <w:bCs/>
                <w:sz w:val="24"/>
              </w:rPr>
              <w:t xml:space="preserve">Local </w:t>
            </w:r>
            <w:r w:rsidR="00545D59">
              <w:rPr>
                <w:b/>
                <w:bCs/>
                <w:sz w:val="24"/>
              </w:rPr>
              <w:t>g</w:t>
            </w:r>
            <w:r w:rsidRPr="00C369E7">
              <w:rPr>
                <w:b/>
                <w:bCs/>
                <w:sz w:val="24"/>
              </w:rPr>
              <w:t xml:space="preserve">overnment </w:t>
            </w:r>
            <w:r w:rsidR="00545D59">
              <w:rPr>
                <w:b/>
                <w:bCs/>
                <w:sz w:val="24"/>
              </w:rPr>
              <w:t>t</w:t>
            </w:r>
            <w:r w:rsidRPr="00C369E7">
              <w:rPr>
                <w:b/>
                <w:bCs/>
                <w:sz w:val="24"/>
              </w:rPr>
              <w:t xml:space="preserve">asks </w:t>
            </w:r>
          </w:p>
        </w:tc>
      </w:tr>
      <w:tr w:rsidR="00CA20BC" w:rsidRPr="009907B8" w14:paraId="4012069C" w14:textId="77777777" w:rsidTr="04E1CD47">
        <w:tc>
          <w:tcPr>
            <w:tcW w:w="9639" w:type="dxa"/>
          </w:tcPr>
          <w:p w14:paraId="4A681E32" w14:textId="77777777" w:rsidR="00CA20BC" w:rsidRPr="00C369E7" w:rsidRDefault="00CA20BC" w:rsidP="00C369E7">
            <w:pPr>
              <w:pStyle w:val="TableContent"/>
              <w:rPr>
                <w:sz w:val="24"/>
              </w:rPr>
            </w:pPr>
            <w:r w:rsidRPr="00C369E7">
              <w:rPr>
                <w:sz w:val="24"/>
              </w:rPr>
              <w:t>Local governments must agree with the valuer in writing:</w:t>
            </w:r>
          </w:p>
          <w:p w14:paraId="175B3A42" w14:textId="77777777" w:rsidR="00CA20BC" w:rsidRPr="00C369E7" w:rsidRDefault="00CA20BC">
            <w:pPr>
              <w:pStyle w:val="TableContent"/>
              <w:numPr>
                <w:ilvl w:val="0"/>
                <w:numId w:val="47"/>
              </w:numPr>
              <w:rPr>
                <w:sz w:val="24"/>
              </w:rPr>
            </w:pPr>
            <w:r w:rsidRPr="00C369E7">
              <w:rPr>
                <w:sz w:val="24"/>
              </w:rPr>
              <w:t>the scope of the fair value measurement of non-financial assets</w:t>
            </w:r>
          </w:p>
          <w:p w14:paraId="21D6C481" w14:textId="77777777" w:rsidR="00CA20BC" w:rsidRPr="00C369E7" w:rsidRDefault="00CA20BC">
            <w:pPr>
              <w:pStyle w:val="TableContent"/>
              <w:numPr>
                <w:ilvl w:val="0"/>
                <w:numId w:val="47"/>
              </w:numPr>
              <w:rPr>
                <w:sz w:val="24"/>
              </w:rPr>
            </w:pPr>
            <w:r w:rsidRPr="00C369E7">
              <w:rPr>
                <w:sz w:val="24"/>
              </w:rPr>
              <w:t>any subsequent changes to the scope of the work</w:t>
            </w:r>
          </w:p>
          <w:p w14:paraId="473D4A20" w14:textId="77777777" w:rsidR="00CA20BC" w:rsidRPr="00C369E7" w:rsidRDefault="00CA20BC">
            <w:pPr>
              <w:pStyle w:val="TableContent"/>
              <w:numPr>
                <w:ilvl w:val="0"/>
                <w:numId w:val="47"/>
              </w:numPr>
              <w:rPr>
                <w:sz w:val="24"/>
              </w:rPr>
            </w:pPr>
            <w:r w:rsidRPr="00C369E7">
              <w:rPr>
                <w:sz w:val="24"/>
              </w:rPr>
              <w:t>compliance with AAS in the fair value measurement of non-financial assets</w:t>
            </w:r>
          </w:p>
          <w:p w14:paraId="15518F7C" w14:textId="51F60AC6" w:rsidR="00CA20BC" w:rsidRPr="00C369E7" w:rsidRDefault="00CA20BC">
            <w:pPr>
              <w:pStyle w:val="TableContent"/>
              <w:numPr>
                <w:ilvl w:val="0"/>
                <w:numId w:val="47"/>
              </w:numPr>
              <w:rPr>
                <w:sz w:val="24"/>
              </w:rPr>
            </w:pPr>
            <w:r w:rsidRPr="00C369E7">
              <w:rPr>
                <w:sz w:val="24"/>
              </w:rPr>
              <w:t>compliance with jurisdictional legislation</w:t>
            </w:r>
            <w:r w:rsidR="008606C5">
              <w:rPr>
                <w:sz w:val="24"/>
              </w:rPr>
              <w:t>;</w:t>
            </w:r>
            <w:r w:rsidRPr="00C369E7">
              <w:rPr>
                <w:sz w:val="24"/>
              </w:rPr>
              <w:t xml:space="preserve"> </w:t>
            </w:r>
            <w:r w:rsidRPr="002A1131">
              <w:rPr>
                <w:sz w:val="24"/>
              </w:rPr>
              <w:t>and</w:t>
            </w:r>
          </w:p>
          <w:p w14:paraId="74FA4410" w14:textId="6733A921" w:rsidR="00CA20BC" w:rsidRPr="00C369E7" w:rsidRDefault="00CA20BC">
            <w:pPr>
              <w:pStyle w:val="TableContent"/>
              <w:numPr>
                <w:ilvl w:val="0"/>
                <w:numId w:val="47"/>
              </w:numPr>
              <w:rPr>
                <w:sz w:val="24"/>
              </w:rPr>
            </w:pPr>
            <w:r w:rsidRPr="00C369E7">
              <w:rPr>
                <w:sz w:val="24"/>
              </w:rPr>
              <w:t>provision of a complete set of working papers (or alternatively sufficient access to the valuer’s working papers for review by both the local government and their auditors)</w:t>
            </w:r>
            <w:r w:rsidR="00D30A4F">
              <w:rPr>
                <w:sz w:val="24"/>
              </w:rPr>
              <w:t xml:space="preserve"> </w:t>
            </w:r>
            <w:r w:rsidRPr="00C369E7">
              <w:rPr>
                <w:sz w:val="24"/>
              </w:rPr>
              <w:t xml:space="preserve">and the provision of valuation reports to the local government. </w:t>
            </w:r>
          </w:p>
        </w:tc>
      </w:tr>
      <w:tr w:rsidR="00CA20BC" w:rsidRPr="009907B8" w14:paraId="6CFECC55" w14:textId="77777777" w:rsidTr="04E1CD47">
        <w:tc>
          <w:tcPr>
            <w:tcW w:w="9639" w:type="dxa"/>
          </w:tcPr>
          <w:p w14:paraId="0E945EA0" w14:textId="0207B5AA" w:rsidR="00CA20BC" w:rsidRPr="00C369E7" w:rsidRDefault="7E05E223" w:rsidP="04E1CD47">
            <w:pPr>
              <w:pStyle w:val="TableContent"/>
              <w:rPr>
                <w:sz w:val="24"/>
              </w:rPr>
            </w:pPr>
            <w:r w:rsidRPr="04E1CD47">
              <w:rPr>
                <w:sz w:val="24"/>
              </w:rPr>
              <w:t xml:space="preserve">Local governments must keep proper records </w:t>
            </w:r>
            <w:r w:rsidR="6B517745" w:rsidRPr="04E1CD47">
              <w:rPr>
                <w:sz w:val="24"/>
              </w:rPr>
              <w:t>of</w:t>
            </w:r>
            <w:r w:rsidRPr="04E1CD47">
              <w:rPr>
                <w:sz w:val="24"/>
              </w:rPr>
              <w:t xml:space="preserve"> all interactions with the appointed valuer.</w:t>
            </w:r>
          </w:p>
        </w:tc>
      </w:tr>
    </w:tbl>
    <w:p w14:paraId="71220EE1" w14:textId="77777777" w:rsidR="00F7485A" w:rsidRPr="009907B8" w:rsidRDefault="00F7485A" w:rsidP="00F7485A">
      <w:pPr>
        <w:pStyle w:val="Heading2"/>
        <w:rPr>
          <w:b w:val="0"/>
          <w:bCs w:val="0"/>
        </w:rPr>
      </w:pPr>
      <w:bookmarkStart w:id="62" w:name="_Toc207722738"/>
      <w:bookmarkStart w:id="63" w:name="_Toc223445071"/>
      <w:r w:rsidRPr="009907B8">
        <w:t>Unit rates or cost of construction</w:t>
      </w:r>
      <w:bookmarkEnd w:id="62"/>
      <w:bookmarkEnd w:id="63"/>
    </w:p>
    <w:p w14:paraId="42A1D116" w14:textId="77777777" w:rsidR="00F7485A" w:rsidRPr="009907B8" w:rsidRDefault="00F7485A" w:rsidP="00D70B5C">
      <w:pPr>
        <w:pStyle w:val="BodyText"/>
      </w:pPr>
      <w:r w:rsidRPr="009907B8">
        <w:t xml:space="preserve">Unit rates and cost of construction incurred by the local government are not market sourced data. This means there is uncertainty regarding the appropriateness of this data source and increased risk that using this data may not result in a fair value measurement of the asset being valued. </w:t>
      </w:r>
    </w:p>
    <w:p w14:paraId="54DF22DD" w14:textId="6EC2C37A" w:rsidR="00F7485A" w:rsidRPr="009907B8" w:rsidRDefault="39D714A8" w:rsidP="00D70B5C">
      <w:pPr>
        <w:pStyle w:val="BodyText"/>
      </w:pPr>
      <w:r>
        <w:t>Evidence to support the application of unit rates or cost of construction can vary significantly from asset-to-asset and from local government-to-local government. Evidence to support unit rates should be based on the following with most reliance to be placed on the highest ranked source</w:t>
      </w:r>
      <w:r w:rsidR="3972028A">
        <w:t>:</w:t>
      </w:r>
      <w:r>
        <w:t xml:space="preserve">  </w:t>
      </w:r>
    </w:p>
    <w:p w14:paraId="0F496B61" w14:textId="77777777" w:rsidR="00F7485A" w:rsidRPr="009907B8" w:rsidRDefault="00F7485A" w:rsidP="00D70B5C">
      <w:pPr>
        <w:pStyle w:val="BodyText"/>
        <w:numPr>
          <w:ilvl w:val="0"/>
          <w:numId w:val="17"/>
        </w:numPr>
      </w:pPr>
      <w:r w:rsidRPr="009907B8">
        <w:t>recent projects completed by the local government</w:t>
      </w:r>
    </w:p>
    <w:p w14:paraId="0EA91BB8" w14:textId="77777777" w:rsidR="00F7485A" w:rsidRPr="009907B8" w:rsidRDefault="00F7485A" w:rsidP="00D70B5C">
      <w:pPr>
        <w:pStyle w:val="BodyText"/>
        <w:numPr>
          <w:ilvl w:val="0"/>
          <w:numId w:val="17"/>
        </w:numPr>
      </w:pPr>
      <w:r w:rsidRPr="009907B8">
        <w:t>recent projects completed by comparable local governments</w:t>
      </w:r>
    </w:p>
    <w:p w14:paraId="08990D28" w14:textId="77777777" w:rsidR="00F7485A" w:rsidRPr="009907B8" w:rsidRDefault="00F7485A" w:rsidP="00D70B5C">
      <w:pPr>
        <w:pStyle w:val="BodyText"/>
        <w:numPr>
          <w:ilvl w:val="0"/>
          <w:numId w:val="17"/>
        </w:numPr>
      </w:pPr>
      <w:r w:rsidRPr="009907B8">
        <w:t>benchmark unit rates from comparable local governments</w:t>
      </w:r>
    </w:p>
    <w:p w14:paraId="729A6A8E" w14:textId="6708369A" w:rsidR="00F7485A" w:rsidRPr="009907B8" w:rsidRDefault="00F7485A" w:rsidP="00D70B5C">
      <w:pPr>
        <w:pStyle w:val="BodyText"/>
        <w:numPr>
          <w:ilvl w:val="0"/>
          <w:numId w:val="17"/>
        </w:numPr>
      </w:pPr>
      <w:r w:rsidRPr="009907B8">
        <w:t>valuer databases of projects extrapolated for indexation and size</w:t>
      </w:r>
      <w:r w:rsidR="008606C5">
        <w:t>;</w:t>
      </w:r>
      <w:r w:rsidRPr="009907B8">
        <w:t xml:space="preserve"> </w:t>
      </w:r>
      <w:r w:rsidRPr="002A1131">
        <w:t>and</w:t>
      </w:r>
    </w:p>
    <w:p w14:paraId="28F6BE2D" w14:textId="40D2035A" w:rsidR="00F7485A" w:rsidRPr="009907B8" w:rsidRDefault="39D714A8" w:rsidP="00D70B5C">
      <w:pPr>
        <w:pStyle w:val="BodyText"/>
        <w:numPr>
          <w:ilvl w:val="0"/>
          <w:numId w:val="17"/>
        </w:numPr>
      </w:pPr>
      <w:r>
        <w:t>local government specific rates calculated using first principles (i.e. based on raw materials and adjusted for installation, project management and other costs).</w:t>
      </w:r>
    </w:p>
    <w:p w14:paraId="1CEA901A" w14:textId="09CE7B3D" w:rsidR="00F7485A" w:rsidRPr="009907B8" w:rsidRDefault="39D714A8" w:rsidP="00D70B5C">
      <w:pPr>
        <w:pStyle w:val="BodyText"/>
      </w:pPr>
      <w:r>
        <w:t xml:space="preserve">Actual recent project costs provide the highest level of evidence but are often limited by the volume of transactions and variability across projects. Ideally, the local government will have been able to supply the valuer with actual project costs of some recently constructed </w:t>
      </w:r>
      <w:r>
        <w:lastRenderedPageBreak/>
        <w:t>assets. However, there is unlikely to be recent construction costs for every type of asset. Furthermore, the project costs will also cover a range of assets, rather than a single asset, and the overall average unit rate will probably vary significantly depending upon the size and location of specific projects.</w:t>
      </w:r>
    </w:p>
    <w:p w14:paraId="6DA7016C" w14:textId="77777777" w:rsidR="00F7485A" w:rsidRPr="009907B8" w:rsidRDefault="00F7485A" w:rsidP="00D70B5C">
      <w:pPr>
        <w:pStyle w:val="BodyText"/>
      </w:pPr>
      <w:r w:rsidRPr="009907B8">
        <w:t xml:space="preserve">Most valuers will undertake detailed analysis of recent project costs and incorporate this data into their own databases. These databases may be used a source for unit rates/cost of construction applied in a valuation performed for a local government. The valuer’s working papers must provide sufficient information to allow the review of the formulation and application of unit rates/cost of construction. </w:t>
      </w:r>
    </w:p>
    <w:p w14:paraId="3AEE6D1E" w14:textId="77777777" w:rsidR="00F7485A" w:rsidRPr="009907B8" w:rsidRDefault="00F7485A" w:rsidP="00D70B5C">
      <w:pPr>
        <w:pStyle w:val="BodyText"/>
      </w:pPr>
      <w:r w:rsidRPr="009907B8">
        <w:t xml:space="preserve">However, sometimes the only available evidence to support the unit rate for assets is the unit rates adopted by other local governments or referencing industry cost guides such as </w:t>
      </w:r>
      <w:proofErr w:type="spellStart"/>
      <w:r w:rsidRPr="009907B8">
        <w:t>Rawlinsons</w:t>
      </w:r>
      <w:proofErr w:type="spellEnd"/>
      <w:r w:rsidRPr="009907B8">
        <w:t xml:space="preserve"> or </w:t>
      </w:r>
      <w:proofErr w:type="spellStart"/>
      <w:r w:rsidRPr="009907B8">
        <w:t>Cordells</w:t>
      </w:r>
      <w:proofErr w:type="spellEnd"/>
      <w:r w:rsidRPr="009907B8">
        <w:t xml:space="preserve">. </w:t>
      </w:r>
    </w:p>
    <w:p w14:paraId="67DCEC7E" w14:textId="77777777" w:rsidR="00F7485A" w:rsidRPr="009907B8" w:rsidRDefault="00F7485A" w:rsidP="00D70B5C">
      <w:pPr>
        <w:pStyle w:val="BodyText"/>
      </w:pPr>
      <w:r w:rsidRPr="009907B8">
        <w:t xml:space="preserve">Where there is no observable evidence available, the valuer must determine a replacement cost based on first principles. This involves estimating the cost of raw materials, volumes, installation costs, project management costs, etc. This approach uses many assumptions and does not use market sourced data. </w:t>
      </w:r>
    </w:p>
    <w:p w14:paraId="21697A63" w14:textId="77777777" w:rsidR="00F7485A" w:rsidRPr="009907B8" w:rsidRDefault="00F7485A" w:rsidP="00D70B5C">
      <w:pPr>
        <w:pStyle w:val="BodyText"/>
      </w:pPr>
      <w:r w:rsidRPr="009907B8">
        <w:t xml:space="preserve">The valuation of a portfolio of assets requires the local government to develop an asset hierarchy that enables the stratification of the overall portfolio into sub-populations so that the appropriate assumptions can be developed and applied. The number of assets can be in the tens of thousands, with hundreds of different levels within the hierarchy. </w:t>
      </w:r>
    </w:p>
    <w:p w14:paraId="6688EEEB" w14:textId="77777777" w:rsidR="00F7485A" w:rsidRPr="009907B8" w:rsidRDefault="00F7485A" w:rsidP="00D70B5C">
      <w:pPr>
        <w:pStyle w:val="BodyText"/>
      </w:pPr>
      <w:r w:rsidRPr="009907B8">
        <w:t xml:space="preserve">Local government tasks regarding the use of </w:t>
      </w:r>
      <w:r w:rsidRPr="009907B8">
        <w:rPr>
          <w:b/>
          <w:bCs/>
        </w:rPr>
        <w:t>unit rates or cost of construction</w:t>
      </w:r>
      <w:r w:rsidRPr="009907B8">
        <w:t xml:space="preserve"> are as follows:</w:t>
      </w:r>
    </w:p>
    <w:tbl>
      <w:tblPr>
        <w:tblStyle w:val="TableGrid"/>
        <w:tblW w:w="9639" w:type="dxa"/>
        <w:tblLook w:val="04A0" w:firstRow="1" w:lastRow="0" w:firstColumn="1" w:lastColumn="0" w:noHBand="0" w:noVBand="1"/>
      </w:tblPr>
      <w:tblGrid>
        <w:gridCol w:w="9639"/>
      </w:tblGrid>
      <w:tr w:rsidR="00F7485A" w:rsidRPr="009907B8" w14:paraId="4F1DD12B" w14:textId="77777777" w:rsidTr="04E1CD47">
        <w:trPr>
          <w:tblHeader/>
        </w:trPr>
        <w:tc>
          <w:tcPr>
            <w:tcW w:w="9639" w:type="dxa"/>
            <w:shd w:val="clear" w:color="auto" w:fill="F2F2F2" w:themeFill="background2" w:themeFillShade="F2"/>
          </w:tcPr>
          <w:p w14:paraId="2E42AE19" w14:textId="3BC5DD0C" w:rsidR="00F7485A" w:rsidRPr="00EE4DAB" w:rsidRDefault="00F7485A" w:rsidP="00EE4DAB">
            <w:pPr>
              <w:pStyle w:val="TableContent"/>
              <w:rPr>
                <w:b/>
                <w:bCs/>
                <w:sz w:val="24"/>
              </w:rPr>
            </w:pPr>
            <w:r w:rsidRPr="00EE4DAB">
              <w:rPr>
                <w:b/>
                <w:bCs/>
                <w:sz w:val="24"/>
              </w:rPr>
              <w:t xml:space="preserve">Local </w:t>
            </w:r>
            <w:r w:rsidR="00D30A4F">
              <w:rPr>
                <w:b/>
                <w:bCs/>
                <w:sz w:val="24"/>
              </w:rPr>
              <w:t>g</w:t>
            </w:r>
            <w:r w:rsidRPr="00EE4DAB">
              <w:rPr>
                <w:b/>
                <w:bCs/>
                <w:sz w:val="24"/>
              </w:rPr>
              <w:t xml:space="preserve">overnment </w:t>
            </w:r>
            <w:r w:rsidR="00D30A4F">
              <w:rPr>
                <w:b/>
                <w:bCs/>
                <w:sz w:val="24"/>
              </w:rPr>
              <w:t>t</w:t>
            </w:r>
            <w:r w:rsidRPr="00EE4DAB">
              <w:rPr>
                <w:b/>
                <w:bCs/>
                <w:sz w:val="24"/>
              </w:rPr>
              <w:t xml:space="preserve">asks </w:t>
            </w:r>
          </w:p>
        </w:tc>
      </w:tr>
      <w:tr w:rsidR="00F7485A" w:rsidRPr="009907B8" w14:paraId="18133E76" w14:textId="77777777" w:rsidTr="04E1CD47">
        <w:tc>
          <w:tcPr>
            <w:tcW w:w="9639" w:type="dxa"/>
          </w:tcPr>
          <w:p w14:paraId="45EE4187" w14:textId="77777777" w:rsidR="00F7485A" w:rsidRPr="00EE4DAB" w:rsidRDefault="00F7485A" w:rsidP="00EE4DAB">
            <w:pPr>
              <w:pStyle w:val="TableContent"/>
              <w:rPr>
                <w:sz w:val="24"/>
              </w:rPr>
            </w:pPr>
            <w:r w:rsidRPr="00EE4DAB">
              <w:rPr>
                <w:sz w:val="24"/>
              </w:rPr>
              <w:t xml:space="preserve">The local government must review the reasonableness of the valuer’s assessment of unit rates/cost of construction by: </w:t>
            </w:r>
          </w:p>
          <w:p w14:paraId="6054A8E4" w14:textId="01E6C151" w:rsidR="00F7485A" w:rsidRPr="00EE4DAB" w:rsidRDefault="00F7485A">
            <w:pPr>
              <w:pStyle w:val="TableContent"/>
              <w:numPr>
                <w:ilvl w:val="0"/>
                <w:numId w:val="48"/>
              </w:numPr>
              <w:rPr>
                <w:sz w:val="24"/>
              </w:rPr>
            </w:pPr>
            <w:r w:rsidRPr="00EE4DAB">
              <w:rPr>
                <w:sz w:val="24"/>
              </w:rPr>
              <w:t>testing a sample of assumptions used by the valuer</w:t>
            </w:r>
          </w:p>
          <w:p w14:paraId="2AE00C4B" w14:textId="77777777" w:rsidR="00F7485A" w:rsidRPr="00EE4DAB" w:rsidRDefault="00F7485A">
            <w:pPr>
              <w:pStyle w:val="TableContent"/>
              <w:numPr>
                <w:ilvl w:val="0"/>
                <w:numId w:val="48"/>
              </w:numPr>
              <w:rPr>
                <w:sz w:val="24"/>
              </w:rPr>
            </w:pPr>
            <w:r w:rsidRPr="00EE4DAB">
              <w:rPr>
                <w:sz w:val="24"/>
              </w:rPr>
              <w:t>assessing the explanations provided to support the valuer’s assumptions</w:t>
            </w:r>
          </w:p>
          <w:p w14:paraId="70446E70" w14:textId="10091DE7" w:rsidR="00F7485A" w:rsidRPr="002A1131" w:rsidRDefault="00F7485A">
            <w:pPr>
              <w:pStyle w:val="TableContent"/>
              <w:numPr>
                <w:ilvl w:val="0"/>
                <w:numId w:val="48"/>
              </w:numPr>
              <w:rPr>
                <w:sz w:val="24"/>
              </w:rPr>
            </w:pPr>
            <w:r w:rsidRPr="00EE4DAB">
              <w:rPr>
                <w:sz w:val="24"/>
              </w:rPr>
              <w:t xml:space="preserve">cross-referencing observable data with the valuer’s workpapers and assess the reasonableness of such data given the source relied upon by the </w:t>
            </w:r>
            <w:proofErr w:type="gramStart"/>
            <w:r w:rsidRPr="00EE4DAB">
              <w:rPr>
                <w:sz w:val="24"/>
              </w:rPr>
              <w:t>valuer</w:t>
            </w:r>
            <w:r w:rsidR="008606C5">
              <w:rPr>
                <w:sz w:val="24"/>
              </w:rPr>
              <w:t xml:space="preserve">; </w:t>
            </w:r>
            <w:r w:rsidRPr="00EE4DAB">
              <w:rPr>
                <w:sz w:val="24"/>
              </w:rPr>
              <w:t xml:space="preserve"> </w:t>
            </w:r>
            <w:r w:rsidRPr="002A1131">
              <w:rPr>
                <w:sz w:val="24"/>
              </w:rPr>
              <w:t>and</w:t>
            </w:r>
            <w:proofErr w:type="gramEnd"/>
          </w:p>
          <w:p w14:paraId="0C4DACB0" w14:textId="0C92FC99" w:rsidR="00F7485A" w:rsidRPr="00EE4DAB" w:rsidRDefault="00F7485A">
            <w:pPr>
              <w:pStyle w:val="TableContent"/>
              <w:numPr>
                <w:ilvl w:val="0"/>
                <w:numId w:val="48"/>
              </w:numPr>
              <w:rPr>
                <w:sz w:val="24"/>
              </w:rPr>
            </w:pPr>
            <w:r w:rsidRPr="00EE4DAB">
              <w:rPr>
                <w:sz w:val="24"/>
              </w:rPr>
              <w:t xml:space="preserve">assessing the reliance to be placed on the extent and quality of the valuers workpapers. </w:t>
            </w:r>
          </w:p>
          <w:p w14:paraId="1AE681EE" w14:textId="30BDDB32" w:rsidR="00F7485A" w:rsidRPr="00EE4DAB" w:rsidRDefault="39D714A8" w:rsidP="04E1CD47">
            <w:pPr>
              <w:pStyle w:val="TableContent"/>
              <w:rPr>
                <w:sz w:val="24"/>
              </w:rPr>
            </w:pPr>
            <w:r w:rsidRPr="04E1CD47">
              <w:rPr>
                <w:sz w:val="24"/>
              </w:rPr>
              <w:t xml:space="preserve">The local government may on review consider that little or no reliance can be placed on the valuer’s use of unit rates/cost of construction as a valuation method. The local government must be satisfied there is sufficient appropriate evidence to support the use of this valuation method to measure the asset’s value. Consequently, the local government should request the valuer to validate the unit rates/cost of construction method used by providing adequate and proper proof. </w:t>
            </w:r>
          </w:p>
        </w:tc>
      </w:tr>
      <w:tr w:rsidR="00F7485A" w:rsidRPr="009907B8" w14:paraId="576E742C" w14:textId="77777777" w:rsidTr="04E1CD47">
        <w:tc>
          <w:tcPr>
            <w:tcW w:w="9639" w:type="dxa"/>
          </w:tcPr>
          <w:p w14:paraId="354FF4C8" w14:textId="77777777" w:rsidR="00F7485A" w:rsidRPr="00EE4DAB" w:rsidRDefault="00F7485A" w:rsidP="00EE4DAB">
            <w:pPr>
              <w:pStyle w:val="TableContent"/>
              <w:rPr>
                <w:sz w:val="24"/>
              </w:rPr>
            </w:pPr>
            <w:r w:rsidRPr="00EE4DAB">
              <w:rPr>
                <w:sz w:val="24"/>
              </w:rPr>
              <w:lastRenderedPageBreak/>
              <w:t xml:space="preserve">The local government must keep proper records regarding its review of the reasonableness of the valuer’s assessment of unit rates/cost of construction. </w:t>
            </w:r>
          </w:p>
        </w:tc>
      </w:tr>
    </w:tbl>
    <w:p w14:paraId="1FD95041" w14:textId="77777777" w:rsidR="00E01055" w:rsidRPr="009907B8" w:rsidRDefault="00E01055" w:rsidP="00E01055">
      <w:pPr>
        <w:pStyle w:val="Heading2"/>
        <w:rPr>
          <w:b w:val="0"/>
          <w:bCs w:val="0"/>
        </w:rPr>
      </w:pPr>
      <w:bookmarkStart w:id="64" w:name="_Toc170118972"/>
      <w:bookmarkStart w:id="65" w:name="_Toc207722739"/>
      <w:bookmarkStart w:id="66" w:name="_Toc223445072"/>
      <w:r w:rsidRPr="009907B8">
        <w:t>Condition or consumption scores</w:t>
      </w:r>
      <w:bookmarkEnd w:id="64"/>
      <w:bookmarkEnd w:id="65"/>
      <w:bookmarkEnd w:id="66"/>
    </w:p>
    <w:p w14:paraId="6EE880B7" w14:textId="77777777" w:rsidR="00E01055" w:rsidRPr="006F2389" w:rsidRDefault="00E01055" w:rsidP="00D70B5C">
      <w:pPr>
        <w:pStyle w:val="BodyText"/>
      </w:pPr>
      <w:r w:rsidRPr="006F2389">
        <w:t xml:space="preserve">For most local government assets, it is expected the existing assets will continue to be maintained and renewed, making the condition of an asset a critical input to the determination of its value. </w:t>
      </w:r>
    </w:p>
    <w:p w14:paraId="689ED00F" w14:textId="549C2845" w:rsidR="00E01055" w:rsidRPr="006F2389" w:rsidRDefault="00E01055" w:rsidP="00D70B5C">
      <w:pPr>
        <w:pStyle w:val="BodyText"/>
      </w:pPr>
      <w:r w:rsidRPr="006F2389">
        <w:t>For asset valuation purposes, the condition of the asset is typically, a key characteristic relevant to market participants, although not always. For example, if an asset has been marked for retiring</w:t>
      </w:r>
      <w:r w:rsidR="00051AC6">
        <w:t>,</w:t>
      </w:r>
      <w:r w:rsidRPr="006F2389">
        <w:t xml:space="preserve"> its physical condition may bear little or no impact on the assessment of the remaining economic value. In such cases, the key driver of value will be an assessment of technical, functional and economic obsolescence [AASB13 Fair Value Measurement (2022)].</w:t>
      </w:r>
    </w:p>
    <w:p w14:paraId="2FA0B8BA" w14:textId="77777777" w:rsidR="00E01055" w:rsidRPr="006F2389" w:rsidRDefault="00E01055" w:rsidP="00D70B5C">
      <w:pPr>
        <w:pStyle w:val="BodyText"/>
      </w:pPr>
      <w:r w:rsidRPr="006F2389">
        <w:t xml:space="preserve">However, for most local government assets, it is expected the existing assets will continue to be maintained and renewed, making the condition of an asset a critical input to the determination of its value. </w:t>
      </w:r>
    </w:p>
    <w:p w14:paraId="3A489820" w14:textId="251DCA9C" w:rsidR="00E01055" w:rsidRDefault="7A83E4A1" w:rsidP="00D70B5C">
      <w:pPr>
        <w:pStyle w:val="BodyText"/>
      </w:pPr>
      <w:r>
        <w:t>A</w:t>
      </w:r>
      <w:r w:rsidR="4DC33420">
        <w:t>sset condition is not the only key characteristic.</w:t>
      </w:r>
      <w:r w:rsidR="6F6BD82B">
        <w:t xml:space="preserve"> </w:t>
      </w:r>
      <w:r w:rsidR="4DC33420">
        <w:t xml:space="preserve">Consideration must also be given to location and restrictions on sale or use, as well as technical, functional, economic and physical obsolescence [AASB13 Fair Value Measurement (2022)]. This is why valuations are sometimes determined using ‘consumption scores’, which consider both condition and obsolescence, rather than ‘condition </w:t>
      </w:r>
      <w:proofErr w:type="gramStart"/>
      <w:r w:rsidR="4DC33420">
        <w:t>scores</w:t>
      </w:r>
      <w:r w:rsidR="4A4E9A62">
        <w:t>’</w:t>
      </w:r>
      <w:proofErr w:type="gramEnd"/>
      <w:r w:rsidR="4DC33420">
        <w:t xml:space="preserve">. </w:t>
      </w:r>
      <w:r w:rsidR="00E01055" w:rsidRPr="006F2389">
        <w:t xml:space="preserve">There is no standardised ‘condition scoring’ scale with different scales and measures used for different types of assets. </w:t>
      </w:r>
    </w:p>
    <w:p w14:paraId="52373029" w14:textId="1E33C7CC" w:rsidR="00E01055" w:rsidRPr="006F2389" w:rsidRDefault="00E01055" w:rsidP="00D70B5C">
      <w:pPr>
        <w:pStyle w:val="BodyText"/>
      </w:pPr>
      <w:bookmarkStart w:id="67" w:name="_Hlk161654838"/>
      <w:r w:rsidRPr="006F2389">
        <w:t xml:space="preserve">The valuation should be supported by evidence of the physical condition of the assets. </w:t>
      </w:r>
      <w:bookmarkEnd w:id="67"/>
      <w:r w:rsidRPr="006F2389">
        <w:t>For example, it is standard practice to physically inspect buildings and make condition assessments against each component. Exceptions may be made for very low value buildings that are essentially the same, such as bus shelters. For these very low value assets, it may be more appropriate to undertake a sample inspection and extrapolate the results across the remainder of the portfolio. The physical inspection would normally be evidenced by photographs, scores and GPS co-ordinates.</w:t>
      </w:r>
    </w:p>
    <w:p w14:paraId="2A3F7687" w14:textId="538F8BAF" w:rsidR="00E01055" w:rsidRPr="006F2389" w:rsidRDefault="4DC33420" w:rsidP="00D70B5C">
      <w:pPr>
        <w:pStyle w:val="BodyText"/>
      </w:pPr>
      <w:bookmarkStart w:id="68" w:name="_Hlk161654853"/>
      <w:r>
        <w:t>Where there are many homogenous assets, such as road surfaces, pavements, footpaths, kerbs</w:t>
      </w:r>
      <w:r w:rsidR="08E6EB18">
        <w:t xml:space="preserve"> and</w:t>
      </w:r>
      <w:r>
        <w:t xml:space="preserve"> pipes, the cost of undertaking a 100% inspection during each revaluation may be prohibitive. It is essential that all such assets (100%) are covered by physical inspection on a rolling basis to verify both their existence and physical condition. These inspections should be performed with sufficient regularity to ensure the reasonableness </w:t>
      </w:r>
      <w:r w:rsidR="00051AC6">
        <w:t>of</w:t>
      </w:r>
      <w:r>
        <w:t xml:space="preserve"> recorded asset conditions (</w:t>
      </w:r>
      <w:r w:rsidR="00FF5DEE">
        <w:t xml:space="preserve">e.g. </w:t>
      </w:r>
      <w:r w:rsidR="004B334D">
        <w:t>e</w:t>
      </w:r>
      <w:r w:rsidR="00FF5DEE">
        <w:t>very</w:t>
      </w:r>
      <w:r>
        <w:t xml:space="preserve"> 3 to 5 years). However, asset impairment may have been caused by an unforeseen event which damaged asset condition, </w:t>
      </w:r>
      <w:r w:rsidR="72A87AEC">
        <w:t>such as</w:t>
      </w:r>
      <w:r>
        <w:t xml:space="preserve"> a cyclone. </w:t>
      </w:r>
      <w:r w:rsidR="2ACEEE00">
        <w:lastRenderedPageBreak/>
        <w:t xml:space="preserve">Under </w:t>
      </w:r>
      <w:r>
        <w:t xml:space="preserve">AASB 136 Impairment of Assets (2022) an annual assessment should be performed at the reporting date to determine asset impairment. </w:t>
      </w:r>
    </w:p>
    <w:p w14:paraId="5FB2E684" w14:textId="77777777" w:rsidR="00E01055" w:rsidRPr="006F2389" w:rsidRDefault="00E01055" w:rsidP="00D70B5C">
      <w:pPr>
        <w:pStyle w:val="BodyText"/>
      </w:pPr>
      <w:r w:rsidRPr="006F2389">
        <w:t>The data for these homogenous assets is normally maintained in an asset management system and updated following renewal work, impairment events, scheduled inspections or large condition assessment projects which are often performed by external specialists. Proper maintenance of this data source helps ensure data provided to the valuer is complete and accurate.</w:t>
      </w:r>
    </w:p>
    <w:p w14:paraId="6D424F1C" w14:textId="44EE9B54" w:rsidR="00E01055" w:rsidRPr="006F2389" w:rsidRDefault="00E01055" w:rsidP="00D70B5C">
      <w:pPr>
        <w:pStyle w:val="BodyText"/>
      </w:pPr>
      <w:r w:rsidRPr="006F2389">
        <w:t>Asset condition assessments can be performed internally by the local government, external specialist or the valuer. In all these instances, the local government should ensure the accuracy and completeness of the asset condition assessments. If asset condition assessments are performed by the local government or external specialists, the local government should provide the condition assessment data to the valuer. The valuer should undertake a physical inspection of a sample of the asset condition assessments to provide assurance that the local government provided data can be relied upon</w:t>
      </w:r>
      <w:r w:rsidR="00051AC6">
        <w:t>.</w:t>
      </w:r>
    </w:p>
    <w:p w14:paraId="23E1DA5D" w14:textId="77777777" w:rsidR="00E01055" w:rsidRPr="006F2389" w:rsidRDefault="00E01055" w:rsidP="00D70B5C">
      <w:pPr>
        <w:pStyle w:val="BodyText"/>
      </w:pPr>
      <w:r w:rsidRPr="006F2389">
        <w:t xml:space="preserve">Valuer validation may not be necessary if the condition was recently validated as part of an asset management inventory and condition assessment project. </w:t>
      </w:r>
    </w:p>
    <w:bookmarkEnd w:id="68"/>
    <w:p w14:paraId="2A82D88F" w14:textId="77777777" w:rsidR="00E01055" w:rsidRPr="006F2389" w:rsidRDefault="00E01055" w:rsidP="00D70B5C">
      <w:pPr>
        <w:pStyle w:val="BodyText"/>
      </w:pPr>
      <w:r w:rsidRPr="006F2389">
        <w:t>Some assets, such as underground pipes and pits, may not have up-to-date condition assessments due to their location or risk factors. For these assets, there may be no observable evidence of their condition. In this case, the valuer may estimate a condition based on key attributes such as material type, estimated age, estimated total useful life, local government experiences and the local government’s own assumptions.</w:t>
      </w:r>
    </w:p>
    <w:p w14:paraId="78BAB751" w14:textId="77777777" w:rsidR="00E01055" w:rsidRPr="006F2389" w:rsidRDefault="00E01055" w:rsidP="00D70B5C">
      <w:pPr>
        <w:pStyle w:val="BodyText"/>
      </w:pPr>
      <w:r w:rsidRPr="006F2389">
        <w:t xml:space="preserve">Local government tasks regarding condition or consumption scores are as follows: </w:t>
      </w:r>
    </w:p>
    <w:tbl>
      <w:tblPr>
        <w:tblStyle w:val="TableGrid"/>
        <w:tblW w:w="9639" w:type="dxa"/>
        <w:tblLook w:val="04A0" w:firstRow="1" w:lastRow="0" w:firstColumn="1" w:lastColumn="0" w:noHBand="0" w:noVBand="1"/>
      </w:tblPr>
      <w:tblGrid>
        <w:gridCol w:w="9639"/>
      </w:tblGrid>
      <w:tr w:rsidR="00E01055" w:rsidRPr="009907B8" w14:paraId="5CAE86E7" w14:textId="77777777">
        <w:trPr>
          <w:tblHeader/>
        </w:trPr>
        <w:tc>
          <w:tcPr>
            <w:tcW w:w="9639" w:type="dxa"/>
            <w:shd w:val="clear" w:color="auto" w:fill="F2F2F2" w:themeFill="background1" w:themeFillShade="F2"/>
          </w:tcPr>
          <w:p w14:paraId="2E17A8AB" w14:textId="34C73C8E" w:rsidR="00E01055" w:rsidRPr="00773131" w:rsidRDefault="00E01055" w:rsidP="00773131">
            <w:pPr>
              <w:pStyle w:val="TableContent"/>
              <w:rPr>
                <w:b/>
                <w:bCs/>
                <w:sz w:val="24"/>
              </w:rPr>
            </w:pPr>
            <w:r w:rsidRPr="00773131">
              <w:rPr>
                <w:b/>
                <w:bCs/>
                <w:sz w:val="24"/>
              </w:rPr>
              <w:t xml:space="preserve">Local </w:t>
            </w:r>
            <w:r w:rsidR="00D30A4F">
              <w:rPr>
                <w:b/>
                <w:bCs/>
                <w:sz w:val="24"/>
              </w:rPr>
              <w:t>g</w:t>
            </w:r>
            <w:r w:rsidRPr="00773131">
              <w:rPr>
                <w:b/>
                <w:bCs/>
                <w:sz w:val="24"/>
              </w:rPr>
              <w:t xml:space="preserve">overnment </w:t>
            </w:r>
            <w:r w:rsidR="00D30A4F">
              <w:rPr>
                <w:b/>
                <w:bCs/>
                <w:sz w:val="24"/>
              </w:rPr>
              <w:t>t</w:t>
            </w:r>
            <w:r w:rsidRPr="00773131">
              <w:rPr>
                <w:b/>
                <w:bCs/>
                <w:sz w:val="24"/>
              </w:rPr>
              <w:t xml:space="preserve">asks </w:t>
            </w:r>
          </w:p>
        </w:tc>
      </w:tr>
      <w:tr w:rsidR="00E01055" w:rsidRPr="009907B8" w14:paraId="5D60700F" w14:textId="77777777">
        <w:tc>
          <w:tcPr>
            <w:tcW w:w="9639" w:type="dxa"/>
          </w:tcPr>
          <w:p w14:paraId="2E7A4381" w14:textId="77777777" w:rsidR="00E01055" w:rsidRPr="00773131" w:rsidRDefault="00E01055" w:rsidP="00773131">
            <w:pPr>
              <w:pStyle w:val="TableContent"/>
              <w:rPr>
                <w:b/>
                <w:bCs/>
                <w:sz w:val="24"/>
              </w:rPr>
            </w:pPr>
            <w:r w:rsidRPr="00773131">
              <w:rPr>
                <w:b/>
                <w:bCs/>
                <w:sz w:val="24"/>
              </w:rPr>
              <w:t xml:space="preserve">Inspections: </w:t>
            </w:r>
          </w:p>
          <w:p w14:paraId="237C81CF" w14:textId="77777777" w:rsidR="00E01055" w:rsidRPr="00773131" w:rsidRDefault="00E01055" w:rsidP="00773131">
            <w:pPr>
              <w:pStyle w:val="TableContent"/>
              <w:rPr>
                <w:sz w:val="24"/>
              </w:rPr>
            </w:pPr>
            <w:r w:rsidRPr="00773131">
              <w:rPr>
                <w:sz w:val="24"/>
              </w:rPr>
              <w:t xml:space="preserve">The local government should: </w:t>
            </w:r>
          </w:p>
          <w:p w14:paraId="7A8CA2C9" w14:textId="77777777" w:rsidR="00E01055" w:rsidRPr="00773131" w:rsidRDefault="00E01055">
            <w:pPr>
              <w:pStyle w:val="TableContent"/>
              <w:numPr>
                <w:ilvl w:val="0"/>
                <w:numId w:val="49"/>
              </w:numPr>
              <w:rPr>
                <w:sz w:val="24"/>
              </w:rPr>
            </w:pPr>
            <w:r w:rsidRPr="00773131">
              <w:rPr>
                <w:sz w:val="24"/>
              </w:rPr>
              <w:t xml:space="preserve">physically inspect assets to verify both their existence and physical condition (on a rolling basis if preferred). These inspections should be performed with sufficient regularity to ensure the reasonableness or recorded asset conditions (e.g. once every 3 to 5 years) Asset condition assessments may be performed by external parties i.e. external specialists or valuer. In such cases, the local government should check the completeness of such assessments. </w:t>
            </w:r>
          </w:p>
          <w:p w14:paraId="004DE8E4" w14:textId="77777777" w:rsidR="00E01055" w:rsidRPr="00773131" w:rsidRDefault="00E01055">
            <w:pPr>
              <w:pStyle w:val="TableContent"/>
              <w:numPr>
                <w:ilvl w:val="0"/>
                <w:numId w:val="49"/>
              </w:numPr>
              <w:rPr>
                <w:sz w:val="24"/>
              </w:rPr>
            </w:pPr>
            <w:r w:rsidRPr="00773131">
              <w:rPr>
                <w:sz w:val="24"/>
              </w:rPr>
              <w:t>compile proper records for physical inspections performed</w:t>
            </w:r>
          </w:p>
          <w:p w14:paraId="47EC2DA6" w14:textId="10C9CECB" w:rsidR="00E01055" w:rsidRPr="00773131" w:rsidRDefault="00E01055">
            <w:pPr>
              <w:pStyle w:val="TableContent"/>
              <w:numPr>
                <w:ilvl w:val="0"/>
                <w:numId w:val="49"/>
              </w:numPr>
              <w:rPr>
                <w:sz w:val="24"/>
              </w:rPr>
            </w:pPr>
            <w:r w:rsidRPr="00773131">
              <w:rPr>
                <w:sz w:val="24"/>
              </w:rPr>
              <w:t>match physical inspection records with asset records</w:t>
            </w:r>
            <w:r w:rsidR="00051AC6">
              <w:rPr>
                <w:sz w:val="24"/>
              </w:rPr>
              <w:t>;</w:t>
            </w:r>
            <w:r w:rsidRPr="00773131">
              <w:rPr>
                <w:sz w:val="24"/>
              </w:rPr>
              <w:t xml:space="preserve"> </w:t>
            </w:r>
            <w:r w:rsidRPr="00012BEF">
              <w:rPr>
                <w:sz w:val="24"/>
              </w:rPr>
              <w:t>and</w:t>
            </w:r>
            <w:r w:rsidRPr="00773131">
              <w:rPr>
                <w:sz w:val="24"/>
              </w:rPr>
              <w:t xml:space="preserve"> </w:t>
            </w:r>
          </w:p>
          <w:p w14:paraId="546C64B6" w14:textId="041F77AA" w:rsidR="00E01055" w:rsidRPr="00773131" w:rsidRDefault="00E01055">
            <w:pPr>
              <w:pStyle w:val="TableContent"/>
              <w:numPr>
                <w:ilvl w:val="0"/>
                <w:numId w:val="49"/>
              </w:numPr>
              <w:rPr>
                <w:sz w:val="24"/>
              </w:rPr>
            </w:pPr>
            <w:r w:rsidRPr="00773131">
              <w:rPr>
                <w:sz w:val="24"/>
              </w:rPr>
              <w:t>update asset records appropriately.</w:t>
            </w:r>
          </w:p>
        </w:tc>
      </w:tr>
    </w:tbl>
    <w:p w14:paraId="660DB92E" w14:textId="77777777" w:rsidR="00821F37" w:rsidRDefault="00821F37">
      <w:pPr>
        <w:spacing w:after="0" w:line="240" w:lineRule="auto"/>
        <w:rPr>
          <w:rFonts w:cs="Arial"/>
          <w:b/>
          <w:bCs/>
          <w:color w:val="38115E"/>
          <w:lang w:val="en-GB"/>
        </w:rPr>
      </w:pPr>
      <w:bookmarkStart w:id="69" w:name="_Toc170118973"/>
      <w:bookmarkStart w:id="70" w:name="_Toc207722740"/>
      <w:r>
        <w:br w:type="page"/>
      </w:r>
    </w:p>
    <w:tbl>
      <w:tblPr>
        <w:tblStyle w:val="TableGrid"/>
        <w:tblW w:w="0" w:type="auto"/>
        <w:tblLook w:val="04A0" w:firstRow="1" w:lastRow="0" w:firstColumn="1" w:lastColumn="0" w:noHBand="0" w:noVBand="1"/>
      </w:tblPr>
      <w:tblGrid>
        <w:gridCol w:w="9607"/>
      </w:tblGrid>
      <w:tr w:rsidR="00750F4E" w14:paraId="548C2E97" w14:textId="77777777" w:rsidTr="004C716E">
        <w:tc>
          <w:tcPr>
            <w:tcW w:w="9607" w:type="dxa"/>
            <w:shd w:val="clear" w:color="auto" w:fill="F2F2F2" w:themeFill="background1" w:themeFillShade="F2"/>
          </w:tcPr>
          <w:p w14:paraId="30C36F28" w14:textId="43A29BAE" w:rsidR="00750F4E" w:rsidRPr="004C716E" w:rsidRDefault="0052094D" w:rsidP="004C716E">
            <w:pPr>
              <w:pStyle w:val="TableContent"/>
              <w:rPr>
                <w:b/>
                <w:bCs/>
                <w:sz w:val="24"/>
              </w:rPr>
            </w:pPr>
            <w:r w:rsidRPr="004C716E">
              <w:rPr>
                <w:b/>
                <w:bCs/>
                <w:sz w:val="24"/>
              </w:rPr>
              <w:lastRenderedPageBreak/>
              <w:t xml:space="preserve">Local </w:t>
            </w:r>
            <w:r w:rsidRPr="004C716E">
              <w:rPr>
                <w:b/>
                <w:bCs/>
                <w:color w:val="auto"/>
                <w:sz w:val="24"/>
              </w:rPr>
              <w:t>government</w:t>
            </w:r>
            <w:r w:rsidRPr="004C716E">
              <w:rPr>
                <w:b/>
                <w:bCs/>
                <w:sz w:val="24"/>
              </w:rPr>
              <w:t xml:space="preserve"> tasks</w:t>
            </w:r>
          </w:p>
        </w:tc>
      </w:tr>
      <w:tr w:rsidR="00750F4E" w14:paraId="709C86C2" w14:textId="77777777" w:rsidTr="00750F4E">
        <w:tc>
          <w:tcPr>
            <w:tcW w:w="9607" w:type="dxa"/>
          </w:tcPr>
          <w:p w14:paraId="57EF3F35" w14:textId="77777777" w:rsidR="00B8461C" w:rsidRPr="0052094D" w:rsidRDefault="00B8461C" w:rsidP="0052094D">
            <w:pPr>
              <w:pStyle w:val="TableContent"/>
              <w:rPr>
                <w:b/>
                <w:bCs/>
                <w:sz w:val="24"/>
              </w:rPr>
            </w:pPr>
            <w:r w:rsidRPr="0052094D">
              <w:rPr>
                <w:b/>
                <w:bCs/>
                <w:sz w:val="24"/>
              </w:rPr>
              <w:t xml:space="preserve">Valuation: </w:t>
            </w:r>
          </w:p>
          <w:p w14:paraId="1058B7B0" w14:textId="3F102FCD" w:rsidR="00B8461C" w:rsidRPr="0052094D" w:rsidRDefault="00B8461C" w:rsidP="0052094D">
            <w:pPr>
              <w:pStyle w:val="TableContent"/>
              <w:rPr>
                <w:sz w:val="24"/>
              </w:rPr>
            </w:pPr>
            <w:r w:rsidRPr="0052094D">
              <w:rPr>
                <w:sz w:val="24"/>
              </w:rPr>
              <w:t>The local government should review the valuer’s assessment of condition/</w:t>
            </w:r>
            <w:r w:rsidR="00051AC6">
              <w:rPr>
                <w:sz w:val="24"/>
              </w:rPr>
              <w:t xml:space="preserve"> </w:t>
            </w:r>
            <w:r w:rsidRPr="0052094D">
              <w:rPr>
                <w:sz w:val="24"/>
              </w:rPr>
              <w:t xml:space="preserve">consumption scores by: </w:t>
            </w:r>
          </w:p>
          <w:p w14:paraId="368B8FD6" w14:textId="77777777" w:rsidR="00B8461C" w:rsidRPr="0052094D" w:rsidRDefault="00B8461C">
            <w:pPr>
              <w:pStyle w:val="TableContent"/>
              <w:numPr>
                <w:ilvl w:val="0"/>
                <w:numId w:val="50"/>
              </w:numPr>
              <w:rPr>
                <w:sz w:val="24"/>
              </w:rPr>
            </w:pPr>
            <w:r w:rsidRPr="0052094D">
              <w:rPr>
                <w:sz w:val="24"/>
              </w:rPr>
              <w:t>if asset inspections were performed – validating asset condition by reviewing the photographs of a sample of assets and reviewing the assigned condition score to ensure the assessment is reasonable</w:t>
            </w:r>
          </w:p>
          <w:p w14:paraId="2319E7B9" w14:textId="6B069A25" w:rsidR="00B8461C" w:rsidRPr="0052094D" w:rsidRDefault="00B8461C">
            <w:pPr>
              <w:pStyle w:val="TableContent"/>
              <w:numPr>
                <w:ilvl w:val="0"/>
                <w:numId w:val="50"/>
              </w:numPr>
              <w:rPr>
                <w:sz w:val="24"/>
              </w:rPr>
            </w:pPr>
            <w:r w:rsidRPr="0052094D">
              <w:rPr>
                <w:sz w:val="24"/>
              </w:rPr>
              <w:t>if no photographs have been taken – discussing the approach with the valuer and reviewing workpapers to ensure that validation of the condition scores was assessed as reliable or whether full reliance was placed on a recent inventory and condition assessment project. If reliance was placed on an inventory and condition assessment project - reviewing the relevant reports to confirm the results are reasonable</w:t>
            </w:r>
            <w:r w:rsidR="00051AC6">
              <w:rPr>
                <w:sz w:val="24"/>
              </w:rPr>
              <w:t>;</w:t>
            </w:r>
            <w:r w:rsidRPr="0052094D">
              <w:rPr>
                <w:sz w:val="24"/>
              </w:rPr>
              <w:t xml:space="preserve"> and</w:t>
            </w:r>
          </w:p>
          <w:p w14:paraId="33DB7C06" w14:textId="77777777" w:rsidR="00B8461C" w:rsidRPr="0052094D" w:rsidRDefault="00B8461C">
            <w:pPr>
              <w:pStyle w:val="TableContent"/>
              <w:numPr>
                <w:ilvl w:val="0"/>
                <w:numId w:val="50"/>
              </w:numPr>
              <w:rPr>
                <w:sz w:val="24"/>
              </w:rPr>
            </w:pPr>
            <w:r w:rsidRPr="0052094D">
              <w:rPr>
                <w:sz w:val="24"/>
              </w:rPr>
              <w:t>if no observable physical condition assessment of assets is available – gaining an understanding of the methodology used to estimate asset condition and assessing its reasonableness by considering the reliability of that data used by local government for their day-to-day management decisions. If local government uses and relies on such data to make daily operational and asset management decisions, it likely to be more reliable than data not used to make decisions.</w:t>
            </w:r>
          </w:p>
          <w:p w14:paraId="20E447A0" w14:textId="77547300" w:rsidR="00750F4E" w:rsidRPr="0052094D" w:rsidRDefault="00B8461C" w:rsidP="0052094D">
            <w:pPr>
              <w:pStyle w:val="TableContent"/>
              <w:rPr>
                <w:sz w:val="24"/>
              </w:rPr>
            </w:pPr>
            <w:r w:rsidRPr="0052094D">
              <w:rPr>
                <w:sz w:val="24"/>
              </w:rPr>
              <w:t>The valuer’s assessment of asset condition may differ significantly from the local government’s knowledge/expectations. In such case, detailed investigation is required to confirm the valuer’s assessment of asset condition.</w:t>
            </w:r>
          </w:p>
        </w:tc>
      </w:tr>
      <w:tr w:rsidR="00750F4E" w14:paraId="2C9B1D33" w14:textId="77777777" w:rsidTr="00750F4E">
        <w:tc>
          <w:tcPr>
            <w:tcW w:w="9607" w:type="dxa"/>
          </w:tcPr>
          <w:p w14:paraId="3FEAC52D" w14:textId="74DB3D64" w:rsidR="00750F4E" w:rsidRPr="000B3C19" w:rsidRDefault="00750F4E" w:rsidP="00A25139">
            <w:pPr>
              <w:pStyle w:val="TableContent"/>
              <w:rPr>
                <w:sz w:val="24"/>
              </w:rPr>
            </w:pPr>
            <w:r w:rsidRPr="000B3C19">
              <w:rPr>
                <w:sz w:val="24"/>
              </w:rPr>
              <w:t>The local government must keep proper records regarding its review of the valuer’s assessment of condition/consumption scores.</w:t>
            </w:r>
          </w:p>
        </w:tc>
      </w:tr>
    </w:tbl>
    <w:p w14:paraId="67159CD7" w14:textId="4D3E6ED4" w:rsidR="00E01055" w:rsidRPr="007D1B81" w:rsidRDefault="00E01055" w:rsidP="00E01055">
      <w:pPr>
        <w:pStyle w:val="Heading2"/>
        <w:rPr>
          <w:bCs w:val="0"/>
          <w:sz w:val="24"/>
        </w:rPr>
      </w:pPr>
      <w:bookmarkStart w:id="71" w:name="_Toc223445073"/>
      <w:r w:rsidRPr="001121FC">
        <w:rPr>
          <w:szCs w:val="30"/>
        </w:rPr>
        <w:t>Relationship</w:t>
      </w:r>
      <w:r w:rsidRPr="007D1B81">
        <w:rPr>
          <w:sz w:val="24"/>
        </w:rPr>
        <w:t xml:space="preserve"> </w:t>
      </w:r>
      <w:r w:rsidRPr="001121FC">
        <w:rPr>
          <w:szCs w:val="30"/>
        </w:rPr>
        <w:t>between condition and remaining value</w:t>
      </w:r>
      <w:bookmarkEnd w:id="69"/>
      <w:bookmarkEnd w:id="70"/>
      <w:bookmarkEnd w:id="71"/>
    </w:p>
    <w:p w14:paraId="432ECD88" w14:textId="77777777" w:rsidR="00E01055" w:rsidRPr="007D1B81" w:rsidRDefault="00E01055" w:rsidP="00D70B5C">
      <w:pPr>
        <w:pStyle w:val="BodyText"/>
      </w:pPr>
      <w:r w:rsidRPr="007D1B81">
        <w:t>One of the most challenging aspects of valuation is determining the relationship between score (condition or consumption) and the level of remaining value. A newly acquired asset would have a score representing 100% remaining value and an asset at the end of its economic life would have a score representing 0% remaining service potential.</w:t>
      </w:r>
    </w:p>
    <w:p w14:paraId="758FA3AF" w14:textId="44ADEA09" w:rsidR="00E01055" w:rsidRPr="007D1B81" w:rsidRDefault="00E01055" w:rsidP="00D70B5C">
      <w:pPr>
        <w:pStyle w:val="BodyText"/>
      </w:pPr>
      <w:r w:rsidRPr="007D1B81">
        <w:t>The scale setting out the relationship between scores and the level of remaining service potential is a matter of professional judgement and is a level 3 input. The scoring scale should be supported by a decision matrix that provides information about how the valuer or assessor determines the score. The matrix should be included in the valuer’s methodology report and provides a method for the systematic and consistent scoring.</w:t>
      </w:r>
    </w:p>
    <w:p w14:paraId="22876324" w14:textId="71CCD3D8" w:rsidR="00E01055" w:rsidRPr="007D1B81" w:rsidRDefault="00E01055" w:rsidP="00D70B5C">
      <w:pPr>
        <w:pStyle w:val="BodyText"/>
      </w:pPr>
      <w:r w:rsidRPr="007D1B81">
        <w:t>Some parts of the asset, such as the long-life parts</w:t>
      </w:r>
      <w:r w:rsidR="00051AC6">
        <w:t>,</w:t>
      </w:r>
      <w:r w:rsidRPr="007D1B81">
        <w:t xml:space="preserve"> are not subject to regular renewal and therefore, in normal circumstances, their physical condition will have no impact on determining the level of remaining service potential of that part. However, even long-life </w:t>
      </w:r>
      <w:r w:rsidRPr="007D1B81">
        <w:lastRenderedPageBreak/>
        <w:t>part</w:t>
      </w:r>
      <w:r w:rsidR="00051AC6">
        <w:t>s</w:t>
      </w:r>
      <w:r w:rsidRPr="007D1B81">
        <w:t xml:space="preserve"> of an asset may have a limited useful life. Consequently, its physical condition would also have an impact on its remaining service potential and value.</w:t>
      </w:r>
    </w:p>
    <w:p w14:paraId="3EF32B94" w14:textId="42A83644" w:rsidR="00E01055" w:rsidRPr="007D1B81" w:rsidRDefault="00E01055" w:rsidP="00D70B5C">
      <w:pPr>
        <w:pStyle w:val="BodyText"/>
      </w:pPr>
      <w:r w:rsidRPr="007D1B81">
        <w:t xml:space="preserve">As the scoring scale and associated assessment approach </w:t>
      </w:r>
      <w:r w:rsidR="00051AC6">
        <w:t>are</w:t>
      </w:r>
      <w:r w:rsidRPr="007D1B81">
        <w:t xml:space="preserve"> a matter of professional judgement, different valuers are likely to have different scales and criteria.</w:t>
      </w:r>
    </w:p>
    <w:p w14:paraId="11DB9BE5" w14:textId="77777777" w:rsidR="00E01055" w:rsidRPr="007D1B81" w:rsidRDefault="00E01055" w:rsidP="00D70B5C">
      <w:pPr>
        <w:pStyle w:val="BodyText"/>
      </w:pPr>
      <w:r w:rsidRPr="007D1B81">
        <w:t>Some scores are provided by engineering systems (such as road surface and pavement tools) using detailed algorithms taking-into-account a range of physical measures. The use of such systems and interpreting the scores it calculates requires exercising professional judgement. Such judgement is based on the experience, expertise and methodology of the assessor or designer of the algorithms.</w:t>
      </w:r>
    </w:p>
    <w:p w14:paraId="30F84C7A" w14:textId="5BB4EEE6" w:rsidR="00E01055" w:rsidRPr="007D1B81" w:rsidRDefault="00E01055" w:rsidP="00D70B5C">
      <w:pPr>
        <w:pStyle w:val="BodyText"/>
      </w:pPr>
      <w:r w:rsidRPr="007D1B81">
        <w:t>Given the level of professional judgement involved</w:t>
      </w:r>
      <w:r w:rsidR="003F2E49">
        <w:t>,</w:t>
      </w:r>
      <w:r w:rsidRPr="007D1B81">
        <w:t xml:space="preserve"> it is not possible to obtain direct observable evidence that verifies a particular score exactly measures the level of remaining service potential. </w:t>
      </w:r>
    </w:p>
    <w:p w14:paraId="409AA535" w14:textId="77777777" w:rsidR="00E01055" w:rsidRPr="007D1B81" w:rsidRDefault="00E01055" w:rsidP="00D70B5C">
      <w:pPr>
        <w:pStyle w:val="BodyText"/>
      </w:pPr>
      <w:r w:rsidRPr="007D1B81">
        <w:t xml:space="preserve">Asset managers may argue that the reduction in economic value of an asset occurs in a non-linear manner and will typically design a curve to represent the degradation of the asset. However, for depreciation purposes, most have traditionally applied the straight-line method to calculate depreciation expense. </w:t>
      </w:r>
    </w:p>
    <w:p w14:paraId="07C0C7A3" w14:textId="77777777" w:rsidR="00E01055" w:rsidRPr="007D1B81" w:rsidRDefault="00E01055" w:rsidP="00D70B5C">
      <w:pPr>
        <w:pStyle w:val="BodyText"/>
      </w:pPr>
      <w:r w:rsidRPr="007D1B81">
        <w:t xml:space="preserve">The risk exists that different asset profiles may be used for valuation and depreciation purposes. Therefore, over time material differences between the carrying amounts of assets and the fair values of assets may arise. To mitigate this risk, it is recommended that if a: </w:t>
      </w:r>
    </w:p>
    <w:p w14:paraId="09B7627A" w14:textId="3FFFA512" w:rsidR="00E01055" w:rsidRPr="007D1B81" w:rsidRDefault="4DC33420" w:rsidP="00D70B5C">
      <w:pPr>
        <w:pStyle w:val="BodyText"/>
        <w:numPr>
          <w:ilvl w:val="0"/>
          <w:numId w:val="18"/>
        </w:numPr>
      </w:pPr>
      <w:r>
        <w:t xml:space="preserve">non-linear valuation profile is used (which is expected to be rare): the same profile </w:t>
      </w:r>
      <w:r w:rsidR="1F8E3033">
        <w:t xml:space="preserve">is used </w:t>
      </w:r>
      <w:r>
        <w:t xml:space="preserve">for the calculation of depreciation, but only if it can be justified that using this method matches the </w:t>
      </w:r>
      <w:r w:rsidRPr="04E1CD47">
        <w:rPr>
          <w:color w:val="000000" w:themeColor="text1"/>
        </w:rPr>
        <w:t>expected consumption pattern of an asset’s future economic benefits</w:t>
      </w:r>
      <w:r>
        <w:t>, or</w:t>
      </w:r>
    </w:p>
    <w:p w14:paraId="5B49A6E1" w14:textId="36BAF41F" w:rsidR="00E01055" w:rsidRPr="007D1B81" w:rsidRDefault="4DC33420" w:rsidP="00D70B5C">
      <w:pPr>
        <w:pStyle w:val="BodyText"/>
        <w:numPr>
          <w:ilvl w:val="0"/>
          <w:numId w:val="18"/>
        </w:numPr>
      </w:pPr>
      <w:r>
        <w:t>linear valuation profile is used: a straight-line profile</w:t>
      </w:r>
      <w:r w:rsidR="6A19084D">
        <w:t xml:space="preserve"> is used</w:t>
      </w:r>
      <w:r>
        <w:t xml:space="preserve"> for depreciation.</w:t>
      </w:r>
    </w:p>
    <w:p w14:paraId="10BDCED0" w14:textId="77777777" w:rsidR="00314715" w:rsidRPr="007D1B81" w:rsidRDefault="00314715" w:rsidP="00D70B5C">
      <w:pPr>
        <w:pStyle w:val="BodyText"/>
      </w:pPr>
      <w:r w:rsidRPr="007D1B81">
        <w:t xml:space="preserve">Local government tasks regarding the </w:t>
      </w:r>
      <w:r w:rsidRPr="007D1B81">
        <w:rPr>
          <w:b/>
          <w:bCs/>
        </w:rPr>
        <w:t>relationship between</w:t>
      </w:r>
      <w:r w:rsidRPr="007D1B81">
        <w:t xml:space="preserve"> </w:t>
      </w:r>
      <w:r w:rsidRPr="007D1B81">
        <w:rPr>
          <w:b/>
          <w:bCs/>
        </w:rPr>
        <w:t xml:space="preserve">condition and remaining value </w:t>
      </w:r>
      <w:r w:rsidRPr="007D1B81">
        <w:t>are as follows:</w:t>
      </w:r>
    </w:p>
    <w:tbl>
      <w:tblPr>
        <w:tblStyle w:val="TableGrid"/>
        <w:tblW w:w="9639" w:type="dxa"/>
        <w:tblLook w:val="04A0" w:firstRow="1" w:lastRow="0" w:firstColumn="1" w:lastColumn="0" w:noHBand="0" w:noVBand="1"/>
      </w:tblPr>
      <w:tblGrid>
        <w:gridCol w:w="9639"/>
      </w:tblGrid>
      <w:tr w:rsidR="00314715" w:rsidRPr="007D1B81" w14:paraId="738E8550" w14:textId="77777777" w:rsidTr="0005299A">
        <w:trPr>
          <w:cantSplit/>
          <w:tblHeader/>
        </w:trPr>
        <w:tc>
          <w:tcPr>
            <w:tcW w:w="9639" w:type="dxa"/>
            <w:shd w:val="clear" w:color="auto" w:fill="F2F2F2" w:themeFill="background1" w:themeFillShade="F2"/>
          </w:tcPr>
          <w:p w14:paraId="5CB3AA06" w14:textId="522C0B64" w:rsidR="00314715" w:rsidRPr="009C12E1" w:rsidRDefault="00314715" w:rsidP="00E8091A">
            <w:pPr>
              <w:pStyle w:val="TableContent"/>
              <w:rPr>
                <w:b/>
                <w:bCs/>
                <w:sz w:val="24"/>
              </w:rPr>
            </w:pPr>
            <w:r w:rsidRPr="009C12E1">
              <w:rPr>
                <w:b/>
                <w:bCs/>
                <w:sz w:val="24"/>
              </w:rPr>
              <w:t xml:space="preserve">Local </w:t>
            </w:r>
            <w:r w:rsidR="00D30A4F" w:rsidRPr="009C12E1">
              <w:rPr>
                <w:b/>
                <w:bCs/>
                <w:sz w:val="24"/>
              </w:rPr>
              <w:t>g</w:t>
            </w:r>
            <w:r w:rsidRPr="009C12E1">
              <w:rPr>
                <w:b/>
                <w:bCs/>
                <w:sz w:val="24"/>
              </w:rPr>
              <w:t xml:space="preserve">overnment </w:t>
            </w:r>
            <w:r w:rsidR="00D30A4F" w:rsidRPr="009C12E1">
              <w:rPr>
                <w:b/>
                <w:bCs/>
                <w:sz w:val="24"/>
              </w:rPr>
              <w:t>t</w:t>
            </w:r>
            <w:r w:rsidRPr="009C12E1">
              <w:rPr>
                <w:b/>
                <w:bCs/>
                <w:sz w:val="24"/>
              </w:rPr>
              <w:t xml:space="preserve">asks </w:t>
            </w:r>
          </w:p>
        </w:tc>
      </w:tr>
      <w:tr w:rsidR="00314715" w:rsidRPr="007D1B81" w14:paraId="1C581FED" w14:textId="77777777">
        <w:tc>
          <w:tcPr>
            <w:tcW w:w="9639" w:type="dxa"/>
          </w:tcPr>
          <w:p w14:paraId="3D9D45CC" w14:textId="77777777" w:rsidR="00314715" w:rsidRPr="00E8091A" w:rsidRDefault="00314715" w:rsidP="00E8091A">
            <w:pPr>
              <w:pStyle w:val="TableContent"/>
              <w:rPr>
                <w:sz w:val="24"/>
              </w:rPr>
            </w:pPr>
            <w:r w:rsidRPr="00E8091A">
              <w:rPr>
                <w:sz w:val="24"/>
              </w:rPr>
              <w:t xml:space="preserve">The local government’s review of the valuer’s assessment of the relationship between condition and remaining value: </w:t>
            </w:r>
          </w:p>
          <w:p w14:paraId="558B8723" w14:textId="473DD7F4" w:rsidR="00314715" w:rsidRPr="00E8091A" w:rsidRDefault="00314715">
            <w:pPr>
              <w:pStyle w:val="TableContent"/>
              <w:numPr>
                <w:ilvl w:val="0"/>
                <w:numId w:val="51"/>
              </w:numPr>
              <w:rPr>
                <w:sz w:val="24"/>
              </w:rPr>
            </w:pPr>
            <w:r w:rsidRPr="00E8091A">
              <w:rPr>
                <w:sz w:val="24"/>
              </w:rPr>
              <w:t>must consider whether the scale used and resulting score is consistent with local government’s own understanding of how the economic value of the asset is consumed</w:t>
            </w:r>
            <w:r w:rsidR="003F2E49">
              <w:rPr>
                <w:sz w:val="24"/>
              </w:rPr>
              <w:t>;</w:t>
            </w:r>
            <w:r w:rsidRPr="00E8091A">
              <w:rPr>
                <w:sz w:val="24"/>
              </w:rPr>
              <w:t xml:space="preserve"> </w:t>
            </w:r>
            <w:r w:rsidRPr="00012BEF">
              <w:rPr>
                <w:sz w:val="24"/>
              </w:rPr>
              <w:t>and</w:t>
            </w:r>
            <w:r w:rsidRPr="006A029D">
              <w:rPr>
                <w:sz w:val="24"/>
              </w:rPr>
              <w:t xml:space="preserve"> </w:t>
            </w:r>
          </w:p>
          <w:p w14:paraId="64CC365C" w14:textId="77777777" w:rsidR="00314715" w:rsidRPr="00E8091A" w:rsidRDefault="00314715">
            <w:pPr>
              <w:pStyle w:val="TableContent"/>
              <w:numPr>
                <w:ilvl w:val="0"/>
                <w:numId w:val="51"/>
              </w:numPr>
              <w:rPr>
                <w:sz w:val="24"/>
              </w:rPr>
            </w:pPr>
            <w:r w:rsidRPr="00E8091A">
              <w:rPr>
                <w:sz w:val="24"/>
              </w:rPr>
              <w:t>could consider the results of other comparable local governments or the sector generally.</w:t>
            </w:r>
          </w:p>
          <w:p w14:paraId="094E4FCD" w14:textId="77777777" w:rsidR="00314715" w:rsidRPr="00E8091A" w:rsidRDefault="00314715" w:rsidP="00E8091A">
            <w:pPr>
              <w:pStyle w:val="TableContent"/>
              <w:rPr>
                <w:sz w:val="24"/>
              </w:rPr>
            </w:pPr>
            <w:r w:rsidRPr="00E8091A">
              <w:rPr>
                <w:sz w:val="24"/>
              </w:rPr>
              <w:lastRenderedPageBreak/>
              <w:t>The local government may on review consider that little or no reliance can be placed on the valuer’s interpretation of the relationship between condition and remaining value. The local government must be satisfied there is sufficient appropriate evidence to support this valuation input used to measure the asset’s value. Consequently, the local government should request the valuer to validate their interpretation of the relationship between condition and remaining value by providing enough and proper proof.</w:t>
            </w:r>
          </w:p>
        </w:tc>
      </w:tr>
      <w:tr w:rsidR="00314715" w:rsidRPr="00292955" w14:paraId="15BEA140" w14:textId="77777777">
        <w:tc>
          <w:tcPr>
            <w:tcW w:w="9639" w:type="dxa"/>
          </w:tcPr>
          <w:p w14:paraId="7BCD8044" w14:textId="77777777" w:rsidR="00314715" w:rsidRPr="00E8091A" w:rsidRDefault="00314715" w:rsidP="00E8091A">
            <w:pPr>
              <w:pStyle w:val="TableContent"/>
              <w:rPr>
                <w:sz w:val="24"/>
              </w:rPr>
            </w:pPr>
            <w:r w:rsidRPr="00E8091A">
              <w:rPr>
                <w:sz w:val="24"/>
              </w:rPr>
              <w:t>The local government must keep proper records regarding its review of the valuer’s assessment of the relationship between condition and remaining value.</w:t>
            </w:r>
          </w:p>
        </w:tc>
      </w:tr>
    </w:tbl>
    <w:p w14:paraId="3F1FA011" w14:textId="77777777" w:rsidR="008B55FB" w:rsidRPr="007D1B81" w:rsidRDefault="008B55FB" w:rsidP="008B55FB">
      <w:pPr>
        <w:pStyle w:val="Heading2"/>
        <w:rPr>
          <w:b w:val="0"/>
          <w:bCs w:val="0"/>
        </w:rPr>
      </w:pPr>
      <w:bookmarkStart w:id="72" w:name="_Toc207722741"/>
      <w:bookmarkStart w:id="73" w:name="_Toc223445074"/>
      <w:r w:rsidRPr="007D1B81">
        <w:t>Assessment of the impact of obsolescence on value</w:t>
      </w:r>
      <w:bookmarkEnd w:id="72"/>
      <w:bookmarkEnd w:id="73"/>
    </w:p>
    <w:p w14:paraId="3B4C7562" w14:textId="5FB82E27" w:rsidR="008B55FB" w:rsidRPr="007D1B81" w:rsidRDefault="008B55FB" w:rsidP="00D70B5C">
      <w:pPr>
        <w:pStyle w:val="BodyText"/>
      </w:pPr>
      <w:r w:rsidRPr="007D1B81">
        <w:t xml:space="preserve">The impact of obsolescence takes-into-account functional, economic, technical and physical obsolescence and is an exercise in professional judgement. As noted in the section above, the consumption pattern of an asset’s economic value may differ from the consumption pattern used for depreciation. Consequently, there is a risk </w:t>
      </w:r>
      <w:r w:rsidR="003F2E49">
        <w:t xml:space="preserve">that </w:t>
      </w:r>
      <w:r w:rsidRPr="007D1B81">
        <w:t>a material difference between the resulting carrying amount and fair value may accumulate over time. This may require performing a revaluation in the reporting period when the difference becomes material.</w:t>
      </w:r>
    </w:p>
    <w:p w14:paraId="7F3FF5D5" w14:textId="77777777" w:rsidR="008B55FB" w:rsidRPr="007D1B81" w:rsidRDefault="008B55FB" w:rsidP="00D70B5C">
      <w:pPr>
        <w:pStyle w:val="BodyText"/>
      </w:pPr>
      <w:r w:rsidRPr="007D1B81">
        <w:t>It is likely that different valuers will have different processes and criteria to determine the level of impact of obsolescence on value. Some valuers may have a systematic process to determine the level of obsolescence, while others will rely on professional judgement based on experience and expertise.</w:t>
      </w:r>
    </w:p>
    <w:p w14:paraId="53C6E649" w14:textId="5C85290E" w:rsidR="008B55FB" w:rsidRPr="007D1B81" w:rsidRDefault="008B55FB" w:rsidP="00D70B5C">
      <w:pPr>
        <w:pStyle w:val="BodyText"/>
      </w:pPr>
      <w:r w:rsidRPr="007D1B81">
        <w:t>If there is no direct observable evidence to support the input</w:t>
      </w:r>
      <w:r w:rsidR="003F2E49">
        <w:t xml:space="preserve">, </w:t>
      </w:r>
      <w:r w:rsidRPr="007D1B81">
        <w:t>it should be assessed as a level 3 input.</w:t>
      </w:r>
    </w:p>
    <w:p w14:paraId="107D6CBE" w14:textId="77777777" w:rsidR="008B55FB" w:rsidRPr="007D1B81" w:rsidRDefault="008B55FB" w:rsidP="00D70B5C">
      <w:pPr>
        <w:pStyle w:val="BodyText"/>
      </w:pPr>
      <w:r w:rsidRPr="007D1B81">
        <w:t xml:space="preserve">Local government tasks regarding the </w:t>
      </w:r>
      <w:r w:rsidRPr="007D1B81">
        <w:rPr>
          <w:b/>
          <w:bCs/>
        </w:rPr>
        <w:t>assessment of the impact of obsolescence on value</w:t>
      </w:r>
      <w:r w:rsidRPr="007D1B81">
        <w:t xml:space="preserve"> are as follows: </w:t>
      </w:r>
    </w:p>
    <w:tbl>
      <w:tblPr>
        <w:tblStyle w:val="TableGrid"/>
        <w:tblW w:w="9639" w:type="dxa"/>
        <w:tblCellMar>
          <w:right w:w="57" w:type="dxa"/>
        </w:tblCellMar>
        <w:tblLook w:val="04A0" w:firstRow="1" w:lastRow="0" w:firstColumn="1" w:lastColumn="0" w:noHBand="0" w:noVBand="1"/>
      </w:tblPr>
      <w:tblGrid>
        <w:gridCol w:w="9607"/>
        <w:gridCol w:w="32"/>
      </w:tblGrid>
      <w:tr w:rsidR="008B55FB" w:rsidRPr="007D1B81" w14:paraId="35EF5B5F" w14:textId="77777777" w:rsidTr="002929AC">
        <w:trPr>
          <w:cantSplit/>
          <w:tblHeader/>
        </w:trPr>
        <w:tc>
          <w:tcPr>
            <w:tcW w:w="9639" w:type="dxa"/>
            <w:gridSpan w:val="2"/>
            <w:shd w:val="clear" w:color="auto" w:fill="F2F2F2" w:themeFill="background1" w:themeFillShade="F2"/>
          </w:tcPr>
          <w:p w14:paraId="36C16FEB" w14:textId="54F5154A" w:rsidR="008B55FB" w:rsidRPr="00AB5AFF" w:rsidRDefault="008B55FB" w:rsidP="00331200">
            <w:pPr>
              <w:pStyle w:val="TableContent"/>
              <w:rPr>
                <w:b/>
                <w:bCs/>
                <w:sz w:val="24"/>
              </w:rPr>
            </w:pPr>
            <w:r w:rsidRPr="00AB5AFF">
              <w:rPr>
                <w:b/>
                <w:bCs/>
                <w:sz w:val="24"/>
              </w:rPr>
              <w:t xml:space="preserve">Local </w:t>
            </w:r>
            <w:r w:rsidR="00D30A4F">
              <w:rPr>
                <w:b/>
                <w:bCs/>
                <w:sz w:val="24"/>
              </w:rPr>
              <w:t>g</w:t>
            </w:r>
            <w:r w:rsidRPr="00AB5AFF">
              <w:rPr>
                <w:b/>
                <w:bCs/>
                <w:sz w:val="24"/>
              </w:rPr>
              <w:t xml:space="preserve">overnment </w:t>
            </w:r>
            <w:r w:rsidR="00D30A4F">
              <w:rPr>
                <w:b/>
                <w:bCs/>
                <w:sz w:val="24"/>
              </w:rPr>
              <w:t>t</w:t>
            </w:r>
            <w:r w:rsidRPr="00AB5AFF">
              <w:rPr>
                <w:b/>
                <w:bCs/>
                <w:sz w:val="24"/>
              </w:rPr>
              <w:t xml:space="preserve">asks </w:t>
            </w:r>
          </w:p>
        </w:tc>
      </w:tr>
      <w:tr w:rsidR="008B55FB" w:rsidRPr="007D1B81" w14:paraId="0D248C0A" w14:textId="77777777" w:rsidTr="00D71E5A">
        <w:tc>
          <w:tcPr>
            <w:tcW w:w="9639" w:type="dxa"/>
            <w:gridSpan w:val="2"/>
          </w:tcPr>
          <w:p w14:paraId="3A910C8D" w14:textId="77777777" w:rsidR="008B55FB" w:rsidRPr="00331200" w:rsidRDefault="008B55FB" w:rsidP="00331200">
            <w:pPr>
              <w:pStyle w:val="TableContent"/>
              <w:rPr>
                <w:sz w:val="24"/>
              </w:rPr>
            </w:pPr>
            <w:r w:rsidRPr="00331200">
              <w:rPr>
                <w:sz w:val="24"/>
              </w:rPr>
              <w:t xml:space="preserve">The local government’s review of the valuer’s assessment of the impact of obsolescence on value: </w:t>
            </w:r>
          </w:p>
          <w:p w14:paraId="699B4A2C" w14:textId="7B84E170" w:rsidR="008B55FB" w:rsidRPr="00FC7843" w:rsidRDefault="008B55FB">
            <w:pPr>
              <w:pStyle w:val="TableContent"/>
              <w:numPr>
                <w:ilvl w:val="0"/>
                <w:numId w:val="52"/>
              </w:numPr>
              <w:rPr>
                <w:sz w:val="24"/>
              </w:rPr>
            </w:pPr>
            <w:r w:rsidRPr="00331200">
              <w:rPr>
                <w:sz w:val="24"/>
              </w:rPr>
              <w:t>must consider whether the process is based on sound logic, is systematic and is consistent with the local government’s understanding of the impact of obsolescence on the valuation</w:t>
            </w:r>
            <w:r w:rsidR="003F2E49">
              <w:rPr>
                <w:sz w:val="24"/>
              </w:rPr>
              <w:t>;</w:t>
            </w:r>
            <w:r w:rsidRPr="00331200">
              <w:rPr>
                <w:sz w:val="24"/>
              </w:rPr>
              <w:t xml:space="preserve"> </w:t>
            </w:r>
            <w:r w:rsidRPr="00FC7843">
              <w:rPr>
                <w:sz w:val="24"/>
              </w:rPr>
              <w:t>and</w:t>
            </w:r>
          </w:p>
          <w:p w14:paraId="643701B5" w14:textId="77777777" w:rsidR="008B55FB" w:rsidRPr="00331200" w:rsidRDefault="008B55FB">
            <w:pPr>
              <w:pStyle w:val="TableContent"/>
              <w:numPr>
                <w:ilvl w:val="0"/>
                <w:numId w:val="52"/>
              </w:numPr>
              <w:rPr>
                <w:sz w:val="24"/>
              </w:rPr>
            </w:pPr>
            <w:r w:rsidRPr="00331200">
              <w:rPr>
                <w:sz w:val="24"/>
              </w:rPr>
              <w:t>could consider comparing the overall fair value expressed as a percentage of the gross replacement cost to the results of other local government (reasonableness test).</w:t>
            </w:r>
          </w:p>
          <w:p w14:paraId="544D9725" w14:textId="77777777" w:rsidR="003F2E49" w:rsidRDefault="003F2E49" w:rsidP="00331200">
            <w:pPr>
              <w:pStyle w:val="TableContent"/>
              <w:rPr>
                <w:sz w:val="24"/>
              </w:rPr>
            </w:pPr>
          </w:p>
          <w:p w14:paraId="2D4957CB" w14:textId="33C98059" w:rsidR="004709FD" w:rsidRPr="00331200" w:rsidRDefault="004709FD" w:rsidP="00331200">
            <w:pPr>
              <w:pStyle w:val="TableContent"/>
              <w:rPr>
                <w:sz w:val="24"/>
              </w:rPr>
            </w:pPr>
            <w:r w:rsidRPr="00331200">
              <w:rPr>
                <w:sz w:val="24"/>
              </w:rPr>
              <w:lastRenderedPageBreak/>
              <w:t>The local government may on review consider that little or no reliance can be placed on the valuer’s assessment of the impact of obsolescence on value. The local government must be satisfied there is sufficient appropriate evidence to support this valuation input used to measure the asset’s value.</w:t>
            </w:r>
          </w:p>
          <w:p w14:paraId="1DB3933F" w14:textId="71B9D4D2" w:rsidR="004709FD" w:rsidRPr="00331200" w:rsidRDefault="004709FD" w:rsidP="00331200">
            <w:pPr>
              <w:pStyle w:val="TableContent"/>
              <w:rPr>
                <w:sz w:val="24"/>
              </w:rPr>
            </w:pPr>
            <w:r w:rsidRPr="00331200">
              <w:rPr>
                <w:sz w:val="24"/>
              </w:rPr>
              <w:t>Consequently, the local government should request the valuer to validate their assessment of the impact of obsolescence on value by providing adequate proof.</w:t>
            </w:r>
          </w:p>
        </w:tc>
      </w:tr>
      <w:tr w:rsidR="008B55FB" w14:paraId="6BFE6357" w14:textId="77777777" w:rsidTr="00D71E5A">
        <w:trPr>
          <w:gridAfter w:val="1"/>
          <w:wAfter w:w="32" w:type="dxa"/>
        </w:trPr>
        <w:tc>
          <w:tcPr>
            <w:tcW w:w="9607" w:type="dxa"/>
          </w:tcPr>
          <w:p w14:paraId="7CABF5B7" w14:textId="77777777" w:rsidR="008B55FB" w:rsidRPr="00331200" w:rsidRDefault="008B55FB" w:rsidP="00331200">
            <w:pPr>
              <w:pStyle w:val="TableContent"/>
              <w:rPr>
                <w:sz w:val="24"/>
              </w:rPr>
            </w:pPr>
            <w:r w:rsidRPr="00331200">
              <w:rPr>
                <w:sz w:val="24"/>
              </w:rPr>
              <w:t>The local government must keep proper records regarding its review of the valuer’s assessment of the impact of obsolescence on value.</w:t>
            </w:r>
          </w:p>
        </w:tc>
      </w:tr>
    </w:tbl>
    <w:p w14:paraId="1935F62C" w14:textId="77777777" w:rsidR="008B55FB" w:rsidRPr="007D1B81" w:rsidRDefault="008B55FB" w:rsidP="008B55FB">
      <w:pPr>
        <w:pStyle w:val="Heading2"/>
        <w:rPr>
          <w:b w:val="0"/>
          <w:bCs w:val="0"/>
        </w:rPr>
      </w:pPr>
      <w:bookmarkStart w:id="74" w:name="_Toc170118975"/>
      <w:bookmarkStart w:id="75" w:name="_Toc207722742"/>
      <w:bookmarkStart w:id="76" w:name="_Toc223445075"/>
      <w:r w:rsidRPr="007D1B81">
        <w:t>Residual value</w:t>
      </w:r>
      <w:bookmarkEnd w:id="74"/>
      <w:bookmarkEnd w:id="75"/>
      <w:bookmarkEnd w:id="76"/>
    </w:p>
    <w:p w14:paraId="4631A94F" w14:textId="77777777" w:rsidR="008B55FB" w:rsidRPr="007D1B81" w:rsidRDefault="008B55FB" w:rsidP="00D70B5C">
      <w:pPr>
        <w:pStyle w:val="BodyText"/>
      </w:pPr>
      <w:r w:rsidRPr="007D1B81">
        <w:t>Other than for assets regularly traded in the open market, such as motor vehicles, the residual value of assets is normally considered insignificant or nil.</w:t>
      </w:r>
    </w:p>
    <w:p w14:paraId="7A3925CB" w14:textId="77777777" w:rsidR="008B55FB" w:rsidRPr="007D1B81" w:rsidRDefault="008B55FB" w:rsidP="00D70B5C">
      <w:pPr>
        <w:pStyle w:val="BodyText"/>
      </w:pPr>
      <w:r w:rsidRPr="007D1B81">
        <w:t>For assets valued using the market approach, consideration should be given to whether those assets are usually traded in or sold and, if so, whether an appropriate residual value has been determined.</w:t>
      </w:r>
    </w:p>
    <w:p w14:paraId="7D6BE4BD" w14:textId="4EDA33F0" w:rsidR="008B55FB" w:rsidRPr="007D1B81" w:rsidRDefault="008B55FB" w:rsidP="00D70B5C">
      <w:pPr>
        <w:pStyle w:val="BodyText"/>
      </w:pPr>
      <w:r w:rsidRPr="007D1B81">
        <w:t>For other assets</w:t>
      </w:r>
      <w:r w:rsidR="003F2E49">
        <w:t>,</w:t>
      </w:r>
      <w:r w:rsidRPr="007D1B81">
        <w:t xml:space="preserve"> a zero residual value would normally be assessed.</w:t>
      </w:r>
    </w:p>
    <w:p w14:paraId="2F331A93" w14:textId="77777777" w:rsidR="008B55FB" w:rsidRPr="007D1B81" w:rsidRDefault="008B55FB" w:rsidP="00D70B5C">
      <w:pPr>
        <w:pStyle w:val="BodyText"/>
      </w:pPr>
      <w:r w:rsidRPr="007D1B81">
        <w:t>The term ‘residual value’ is used for asset management planning and the calculation of depreciation expense.</w:t>
      </w:r>
    </w:p>
    <w:p w14:paraId="568F533E" w14:textId="013AEB6E" w:rsidR="008B55FB" w:rsidRPr="007D1B81" w:rsidRDefault="008B55FB" w:rsidP="00D70B5C">
      <w:pPr>
        <w:pStyle w:val="BodyText"/>
      </w:pPr>
      <w:r w:rsidRPr="007D1B81">
        <w:t xml:space="preserve">Local government tasks regarding </w:t>
      </w:r>
      <w:r w:rsidRPr="007D1B81">
        <w:rPr>
          <w:b/>
          <w:bCs/>
        </w:rPr>
        <w:t>residual value</w:t>
      </w:r>
      <w:r w:rsidRPr="007D1B81">
        <w:t xml:space="preserve"> are as follows:  </w:t>
      </w:r>
    </w:p>
    <w:tbl>
      <w:tblPr>
        <w:tblStyle w:val="TableGrid"/>
        <w:tblW w:w="9639" w:type="dxa"/>
        <w:tblLook w:val="04A0" w:firstRow="1" w:lastRow="0" w:firstColumn="1" w:lastColumn="0" w:noHBand="0" w:noVBand="1"/>
      </w:tblPr>
      <w:tblGrid>
        <w:gridCol w:w="9639"/>
      </w:tblGrid>
      <w:tr w:rsidR="008B55FB" w:rsidRPr="007D1B81" w14:paraId="6E13AE8D" w14:textId="77777777">
        <w:tc>
          <w:tcPr>
            <w:tcW w:w="9639" w:type="dxa"/>
            <w:shd w:val="clear" w:color="auto" w:fill="F2F2F2" w:themeFill="background1" w:themeFillShade="F2"/>
          </w:tcPr>
          <w:p w14:paraId="53794332" w14:textId="537714B4" w:rsidR="008B55FB" w:rsidRPr="00FF168B" w:rsidRDefault="008B55FB" w:rsidP="00FF168B">
            <w:pPr>
              <w:pStyle w:val="TableContent"/>
              <w:rPr>
                <w:b/>
                <w:bCs/>
                <w:sz w:val="24"/>
              </w:rPr>
            </w:pPr>
            <w:r w:rsidRPr="00FF168B">
              <w:rPr>
                <w:b/>
                <w:bCs/>
                <w:sz w:val="24"/>
              </w:rPr>
              <w:t xml:space="preserve">Local </w:t>
            </w:r>
            <w:r w:rsidR="00D30A4F">
              <w:rPr>
                <w:b/>
                <w:bCs/>
                <w:sz w:val="24"/>
              </w:rPr>
              <w:t>g</w:t>
            </w:r>
            <w:r w:rsidRPr="00FF168B">
              <w:rPr>
                <w:b/>
                <w:bCs/>
                <w:sz w:val="24"/>
              </w:rPr>
              <w:t xml:space="preserve">overnment </w:t>
            </w:r>
            <w:r w:rsidR="00D30A4F">
              <w:rPr>
                <w:b/>
                <w:bCs/>
                <w:sz w:val="24"/>
              </w:rPr>
              <w:t>t</w:t>
            </w:r>
            <w:r w:rsidRPr="00FF168B">
              <w:rPr>
                <w:b/>
                <w:bCs/>
                <w:sz w:val="24"/>
              </w:rPr>
              <w:t xml:space="preserve">asks </w:t>
            </w:r>
          </w:p>
        </w:tc>
      </w:tr>
      <w:tr w:rsidR="008B55FB" w:rsidRPr="007D1B81" w14:paraId="4C953651" w14:textId="77777777">
        <w:tc>
          <w:tcPr>
            <w:tcW w:w="9639" w:type="dxa"/>
          </w:tcPr>
          <w:p w14:paraId="041C4BD1" w14:textId="240768BD" w:rsidR="008B55FB" w:rsidRPr="00FF168B" w:rsidRDefault="008B55FB" w:rsidP="00FF168B">
            <w:pPr>
              <w:pStyle w:val="TableContent"/>
              <w:rPr>
                <w:sz w:val="24"/>
              </w:rPr>
            </w:pPr>
            <w:r w:rsidRPr="00FF168B">
              <w:rPr>
                <w:sz w:val="24"/>
              </w:rPr>
              <w:t>The local government must keep proper records to substantiate residual values for asset</w:t>
            </w:r>
            <w:r w:rsidR="003F2E49">
              <w:rPr>
                <w:sz w:val="24"/>
              </w:rPr>
              <w:t>s</w:t>
            </w:r>
            <w:r w:rsidRPr="00FF168B">
              <w:rPr>
                <w:sz w:val="24"/>
              </w:rPr>
              <w:t xml:space="preserve">. </w:t>
            </w:r>
          </w:p>
        </w:tc>
      </w:tr>
    </w:tbl>
    <w:p w14:paraId="72AC8594" w14:textId="77777777" w:rsidR="006C5223" w:rsidRPr="007D1B81" w:rsidRDefault="006C5223" w:rsidP="006C5223">
      <w:pPr>
        <w:pStyle w:val="Heading2"/>
        <w:rPr>
          <w:b w:val="0"/>
          <w:bCs w:val="0"/>
        </w:rPr>
      </w:pPr>
      <w:bookmarkStart w:id="77" w:name="_Toc170118976"/>
      <w:bookmarkStart w:id="78" w:name="_Toc207722743"/>
      <w:bookmarkStart w:id="79" w:name="_Toc223445076"/>
      <w:r w:rsidRPr="007D1B81">
        <w:t>Useful life and remaining useful life</w:t>
      </w:r>
      <w:bookmarkEnd w:id="77"/>
      <w:bookmarkEnd w:id="78"/>
      <w:bookmarkEnd w:id="79"/>
    </w:p>
    <w:p w14:paraId="5F8D6CAF" w14:textId="6B2512FC" w:rsidR="006C5223" w:rsidRPr="006C5223" w:rsidRDefault="006C5223" w:rsidP="00D70B5C">
      <w:pPr>
        <w:pStyle w:val="BodyText"/>
      </w:pPr>
      <w:r w:rsidRPr="006C5223">
        <w:t>There may be instances where useful life and remaining useful life are used as inputs to the valuation. In such cases, the local governments should assess the reasonableness of the useful li</w:t>
      </w:r>
      <w:r w:rsidR="003F2E49">
        <w:t>f</w:t>
      </w:r>
      <w:r w:rsidRPr="006C5223">
        <w:t xml:space="preserve">e assumptions for each asset and determine the appropriateness of the calculation or estimate of the remaining useful life for each asset. </w:t>
      </w:r>
    </w:p>
    <w:p w14:paraId="4F8F6165" w14:textId="713998C5" w:rsidR="006C5223" w:rsidRPr="006C5223" w:rsidRDefault="006C5223" w:rsidP="00D70B5C">
      <w:pPr>
        <w:pStyle w:val="BodyText"/>
      </w:pPr>
      <w:r w:rsidRPr="006C5223">
        <w:t>The useful life assumptions should be reflective of the local government’s experience, proposed asset management treatments and expected outcomes from those asset management treatments and strategies. A change in asset management treatment or maintenance regime will have a direct impact on an asset’s remaining useful life; however, such experience</w:t>
      </w:r>
      <w:r w:rsidR="003F2E49">
        <w:t>,</w:t>
      </w:r>
      <w:r w:rsidRPr="006C5223">
        <w:t xml:space="preserve"> whilst helpful</w:t>
      </w:r>
      <w:r w:rsidR="003F2E49">
        <w:t>,</w:t>
      </w:r>
      <w:r w:rsidRPr="006C5223">
        <w:t xml:space="preserve"> may not necessarily reflect future expectations. </w:t>
      </w:r>
    </w:p>
    <w:p w14:paraId="4A984824" w14:textId="0AFB5485" w:rsidR="006C5223" w:rsidRPr="006C5223" w:rsidRDefault="006C5223" w:rsidP="00D70B5C">
      <w:pPr>
        <w:pStyle w:val="BodyText"/>
      </w:pPr>
      <w:r w:rsidRPr="006C5223">
        <w:t xml:space="preserve">The useful life </w:t>
      </w:r>
      <w:r w:rsidR="003F2E49">
        <w:t>of</w:t>
      </w:r>
      <w:r w:rsidRPr="006C5223">
        <w:t xml:space="preserve"> specific assets may also need to be extended well beyond the typical useful life of other assets within the same hierarchy due to the assets existing age and estimated remaining useful life based on condition. For example, while the estimated total </w:t>
      </w:r>
      <w:r w:rsidRPr="006C5223">
        <w:lastRenderedPageBreak/>
        <w:t>useful life of an asset might be 80 years, if the age-to-date is already 100</w:t>
      </w:r>
      <w:r w:rsidR="003F2E49">
        <w:t>,</w:t>
      </w:r>
      <w:r w:rsidRPr="006C5223">
        <w:t xml:space="preserve"> and based on condition the remaining useful life is 30</w:t>
      </w:r>
      <w:r w:rsidR="003F2E49">
        <w:t>,</w:t>
      </w:r>
      <w:r w:rsidRPr="006C5223">
        <w:t xml:space="preserve"> the total useful life for that specific asset should be 130 and not 80.  </w:t>
      </w:r>
    </w:p>
    <w:p w14:paraId="4F146EDC" w14:textId="66E62065" w:rsidR="006C5223" w:rsidRPr="006C5223" w:rsidRDefault="006C5223" w:rsidP="00D70B5C">
      <w:pPr>
        <w:pStyle w:val="BodyText"/>
      </w:pPr>
      <w:r w:rsidRPr="006C5223">
        <w:t>The estimate of remaining useful life of the asset would normally be based on the condition of the asset. However, if the asset is earmarked for decommissioning, the remaining useful life should be based on the decommission date rather than condition. For example, if the estimated useful life is 80 years</w:t>
      </w:r>
      <w:r w:rsidR="003F2E49">
        <w:t>,</w:t>
      </w:r>
      <w:r w:rsidRPr="006C5223">
        <w:t xml:space="preserve"> and the age-to-date of the existing asset is 40 but a decision has been made to decommission the asset in 5 years, the total useful life should be 45 and not 80.  </w:t>
      </w:r>
    </w:p>
    <w:p w14:paraId="5DEDC955" w14:textId="77777777" w:rsidR="006C5223" w:rsidRPr="006C5223" w:rsidRDefault="006C5223" w:rsidP="00D70B5C">
      <w:pPr>
        <w:pStyle w:val="BodyText"/>
      </w:pPr>
      <w:r w:rsidRPr="006C5223">
        <w:t xml:space="preserve">If useful life or remaining useful life is one of the valuation inputs, calculations based on the estimated useful life less age-to-date run the risk of being a DRC approach rather than CRC approach. Care needs to be taken to ensure the valuation is based on the key characteristics relevant to market participants (i.e. all forms of obsolescence) and not depreciation only.  </w:t>
      </w:r>
    </w:p>
    <w:p w14:paraId="0651B2CD" w14:textId="77777777" w:rsidR="006C5223" w:rsidRPr="006C5223" w:rsidRDefault="006C5223" w:rsidP="00D70B5C">
      <w:pPr>
        <w:pStyle w:val="BodyText"/>
      </w:pPr>
      <w:r w:rsidRPr="006C5223">
        <w:t xml:space="preserve">Obtaining sufficient and appropriate evidence over the useful life and remaining useful life assumptions has traditionally been a challenge. </w:t>
      </w:r>
    </w:p>
    <w:p w14:paraId="07450BB0" w14:textId="77777777" w:rsidR="006C5223" w:rsidRPr="006C5223" w:rsidRDefault="006C5223" w:rsidP="00D70B5C">
      <w:pPr>
        <w:pStyle w:val="BodyText"/>
      </w:pPr>
      <w:r w:rsidRPr="006C5223">
        <w:t xml:space="preserve">Estimating the total useful life is extremely challenging, partly due to the long-life of many assets and an expectation that it may change from year-to-year due to changes in technology, demand and minimum service levels.  </w:t>
      </w:r>
    </w:p>
    <w:p w14:paraId="7EDE0EAA" w14:textId="77777777" w:rsidR="006C5223" w:rsidRPr="006C5223" w:rsidRDefault="006C5223" w:rsidP="00D70B5C">
      <w:pPr>
        <w:pStyle w:val="BodyText"/>
      </w:pPr>
      <w:r w:rsidRPr="006C5223">
        <w:t xml:space="preserve">Ultimately the estimate of useful life and remaining useful life is a professional judgement based on a range of assumptions and therefore, if used in the calculation of the fair value, should be classified as a level 3 input. The only exception would be if both the date of acquisition and date of decommissioning were known (observable evidence = level 2). </w:t>
      </w:r>
    </w:p>
    <w:p w14:paraId="27E584A6" w14:textId="77777777" w:rsidR="006C5223" w:rsidRPr="006C5223" w:rsidRDefault="006C5223" w:rsidP="00D70B5C">
      <w:pPr>
        <w:pStyle w:val="BodyText"/>
      </w:pPr>
      <w:r w:rsidRPr="006C5223">
        <w:t xml:space="preserve">Local government tasks regarding useful life and remaining useful life are as follows: </w:t>
      </w:r>
    </w:p>
    <w:tbl>
      <w:tblPr>
        <w:tblStyle w:val="TableGrid"/>
        <w:tblW w:w="9639" w:type="dxa"/>
        <w:tblLook w:val="04A0" w:firstRow="1" w:lastRow="0" w:firstColumn="1" w:lastColumn="0" w:noHBand="0" w:noVBand="1"/>
      </w:tblPr>
      <w:tblGrid>
        <w:gridCol w:w="9639"/>
      </w:tblGrid>
      <w:tr w:rsidR="006C5223" w:rsidRPr="007D1B81" w14:paraId="4F5CBD88" w14:textId="77777777">
        <w:trPr>
          <w:tblHeader/>
        </w:trPr>
        <w:tc>
          <w:tcPr>
            <w:tcW w:w="9639" w:type="dxa"/>
            <w:shd w:val="clear" w:color="auto" w:fill="F2F2F2" w:themeFill="background1" w:themeFillShade="F2"/>
          </w:tcPr>
          <w:p w14:paraId="2B1E9592" w14:textId="3ECED35E" w:rsidR="006C5223" w:rsidRPr="00BF4635" w:rsidRDefault="006C5223" w:rsidP="00BF4635">
            <w:pPr>
              <w:pStyle w:val="TableContent"/>
              <w:rPr>
                <w:b/>
                <w:bCs/>
                <w:sz w:val="24"/>
              </w:rPr>
            </w:pPr>
            <w:r w:rsidRPr="00BF4635">
              <w:rPr>
                <w:b/>
                <w:bCs/>
                <w:sz w:val="24"/>
              </w:rPr>
              <w:t xml:space="preserve">Local </w:t>
            </w:r>
            <w:r w:rsidR="00D30A4F">
              <w:rPr>
                <w:b/>
                <w:bCs/>
                <w:sz w:val="24"/>
              </w:rPr>
              <w:t>g</w:t>
            </w:r>
            <w:r w:rsidRPr="00BF4635">
              <w:rPr>
                <w:b/>
                <w:bCs/>
                <w:sz w:val="24"/>
              </w:rPr>
              <w:t xml:space="preserve">overnment </w:t>
            </w:r>
            <w:r w:rsidR="00D30A4F">
              <w:rPr>
                <w:b/>
                <w:bCs/>
                <w:sz w:val="24"/>
              </w:rPr>
              <w:t>t</w:t>
            </w:r>
            <w:r w:rsidRPr="00BF4635">
              <w:rPr>
                <w:b/>
                <w:bCs/>
                <w:sz w:val="24"/>
              </w:rPr>
              <w:t xml:space="preserve">asks </w:t>
            </w:r>
          </w:p>
        </w:tc>
      </w:tr>
      <w:tr w:rsidR="006C5223" w:rsidRPr="007D1B81" w14:paraId="7F98C372" w14:textId="77777777">
        <w:tc>
          <w:tcPr>
            <w:tcW w:w="9639" w:type="dxa"/>
          </w:tcPr>
          <w:p w14:paraId="33DFECCA" w14:textId="77777777" w:rsidR="006C5223" w:rsidRPr="005A7336" w:rsidRDefault="006C5223" w:rsidP="00BF4635">
            <w:pPr>
              <w:pStyle w:val="TableContent"/>
              <w:rPr>
                <w:b/>
                <w:bCs/>
                <w:sz w:val="24"/>
              </w:rPr>
            </w:pPr>
            <w:r w:rsidRPr="005A7336">
              <w:rPr>
                <w:b/>
                <w:bCs/>
                <w:sz w:val="24"/>
              </w:rPr>
              <w:t xml:space="preserve">Valuation commencement: </w:t>
            </w:r>
          </w:p>
          <w:p w14:paraId="308BC7D1" w14:textId="77777777" w:rsidR="006C5223" w:rsidRPr="00BF4635" w:rsidRDefault="006C5223" w:rsidP="00BF4635">
            <w:pPr>
              <w:pStyle w:val="TableContent"/>
              <w:rPr>
                <w:sz w:val="24"/>
              </w:rPr>
            </w:pPr>
            <w:r w:rsidRPr="00BF4635">
              <w:rPr>
                <w:sz w:val="24"/>
              </w:rPr>
              <w:t xml:space="preserve">The local government must provide the valuer with information regarding as asset’s useful life and remaining useful life if this data will be used as valuation inputs. </w:t>
            </w:r>
          </w:p>
          <w:p w14:paraId="7D7D6CDF" w14:textId="77777777" w:rsidR="006C5223" w:rsidRPr="005A7336" w:rsidRDefault="006C5223" w:rsidP="00BF4635">
            <w:pPr>
              <w:pStyle w:val="TableContent"/>
              <w:rPr>
                <w:b/>
                <w:bCs/>
                <w:sz w:val="24"/>
              </w:rPr>
            </w:pPr>
            <w:r w:rsidRPr="005A7336">
              <w:rPr>
                <w:b/>
                <w:bCs/>
                <w:sz w:val="24"/>
              </w:rPr>
              <w:t>Valuation review:</w:t>
            </w:r>
          </w:p>
          <w:p w14:paraId="4FC69FF2" w14:textId="77777777" w:rsidR="006C5223" w:rsidRPr="00BF4635" w:rsidRDefault="006C5223" w:rsidP="00BF4635">
            <w:pPr>
              <w:pStyle w:val="TableContent"/>
              <w:rPr>
                <w:sz w:val="24"/>
              </w:rPr>
            </w:pPr>
            <w:r w:rsidRPr="00BF4635">
              <w:rPr>
                <w:sz w:val="24"/>
              </w:rPr>
              <w:t>The local government should review the valuer’s assessment of useful life and remaining useful life by:</w:t>
            </w:r>
          </w:p>
          <w:p w14:paraId="11F2E75A" w14:textId="5C60E170" w:rsidR="006C5223" w:rsidRPr="00BF4635" w:rsidRDefault="006C5223">
            <w:pPr>
              <w:pStyle w:val="TableContent"/>
              <w:numPr>
                <w:ilvl w:val="0"/>
                <w:numId w:val="53"/>
              </w:numPr>
              <w:rPr>
                <w:sz w:val="24"/>
              </w:rPr>
            </w:pPr>
            <w:r w:rsidRPr="00BF4635">
              <w:rPr>
                <w:sz w:val="24"/>
              </w:rPr>
              <w:t xml:space="preserve">considering the valuer’s assessment of useful life and </w:t>
            </w:r>
            <w:r w:rsidR="00E4086F">
              <w:rPr>
                <w:sz w:val="24"/>
              </w:rPr>
              <w:t>remaining useful life</w:t>
            </w:r>
            <w:r w:rsidRPr="00BF4635">
              <w:rPr>
                <w:sz w:val="24"/>
              </w:rPr>
              <w:t xml:space="preserve"> with reference to its own interpretation of these items </w:t>
            </w:r>
          </w:p>
          <w:p w14:paraId="2EA21268" w14:textId="77777777" w:rsidR="006C5223" w:rsidRPr="00BF4635" w:rsidRDefault="006C5223">
            <w:pPr>
              <w:pStyle w:val="TableContent"/>
              <w:numPr>
                <w:ilvl w:val="0"/>
                <w:numId w:val="53"/>
              </w:numPr>
              <w:rPr>
                <w:sz w:val="24"/>
              </w:rPr>
            </w:pPr>
            <w:r w:rsidRPr="00BF4635">
              <w:rPr>
                <w:sz w:val="24"/>
              </w:rPr>
              <w:t>comparing the useful life assumptions adopted for assets to those used as the basis of local government’s asset management plans</w:t>
            </w:r>
          </w:p>
          <w:p w14:paraId="1AA8E7CA" w14:textId="77777777" w:rsidR="006C5223" w:rsidRPr="00BF4635" w:rsidRDefault="006C5223">
            <w:pPr>
              <w:pStyle w:val="TableContent"/>
              <w:numPr>
                <w:ilvl w:val="0"/>
                <w:numId w:val="53"/>
              </w:numPr>
              <w:rPr>
                <w:sz w:val="24"/>
              </w:rPr>
            </w:pPr>
            <w:r w:rsidRPr="00BF4635">
              <w:rPr>
                <w:sz w:val="24"/>
              </w:rPr>
              <w:lastRenderedPageBreak/>
              <w:t>comparing useful life assumptions with useful life assumptions adopted by comparable local governments (if available)</w:t>
            </w:r>
          </w:p>
          <w:p w14:paraId="5CD0F936" w14:textId="0BB55A23" w:rsidR="006C5223" w:rsidRPr="00BF4635" w:rsidRDefault="006C5223">
            <w:pPr>
              <w:pStyle w:val="TableContent"/>
              <w:numPr>
                <w:ilvl w:val="0"/>
                <w:numId w:val="53"/>
              </w:numPr>
              <w:rPr>
                <w:sz w:val="24"/>
              </w:rPr>
            </w:pPr>
            <w:r w:rsidRPr="00BF4635">
              <w:rPr>
                <w:sz w:val="24"/>
              </w:rPr>
              <w:t>ensuring remaining useful life is determined by condition or assessment of obsolescence rather than age-to-date</w:t>
            </w:r>
            <w:r w:rsidR="00E4086F">
              <w:rPr>
                <w:sz w:val="24"/>
              </w:rPr>
              <w:t>;</w:t>
            </w:r>
            <w:r w:rsidRPr="00BF4635">
              <w:rPr>
                <w:sz w:val="24"/>
              </w:rPr>
              <w:t xml:space="preserve"> </w:t>
            </w:r>
            <w:r w:rsidRPr="00FC7843">
              <w:rPr>
                <w:sz w:val="24"/>
              </w:rPr>
              <w:t>and</w:t>
            </w:r>
          </w:p>
          <w:p w14:paraId="57F57BBC" w14:textId="77777777" w:rsidR="006C5223" w:rsidRPr="00BF4635" w:rsidRDefault="006C5223">
            <w:pPr>
              <w:pStyle w:val="TableContent"/>
              <w:numPr>
                <w:ilvl w:val="0"/>
                <w:numId w:val="53"/>
              </w:numPr>
              <w:rPr>
                <w:sz w:val="24"/>
              </w:rPr>
            </w:pPr>
            <w:r w:rsidRPr="00BF4635">
              <w:rPr>
                <w:sz w:val="24"/>
              </w:rPr>
              <w:t xml:space="preserve">ensuring the useful life calculation for specific assets is not less than actual age-to-date plus remaining useful life. </w:t>
            </w:r>
          </w:p>
        </w:tc>
      </w:tr>
      <w:tr w:rsidR="006C5223" w:rsidRPr="007D1B81" w14:paraId="5D1B9D8B" w14:textId="77777777">
        <w:tc>
          <w:tcPr>
            <w:tcW w:w="9639" w:type="dxa"/>
          </w:tcPr>
          <w:p w14:paraId="228ED8B0" w14:textId="77777777" w:rsidR="006C5223" w:rsidRPr="00BF4635" w:rsidRDefault="006C5223" w:rsidP="006C5223">
            <w:pPr>
              <w:spacing w:before="60" w:after="60"/>
              <w:rPr>
                <w:rFonts w:cs="Arial"/>
                <w:sz w:val="24"/>
              </w:rPr>
            </w:pPr>
            <w:r w:rsidRPr="00BF4635">
              <w:rPr>
                <w:rFonts w:cs="Arial"/>
                <w:sz w:val="24"/>
              </w:rPr>
              <w:t xml:space="preserve">The local government must keep proper records of its review the valuer’s assessment of useful life and remaining useful life. </w:t>
            </w:r>
          </w:p>
        </w:tc>
      </w:tr>
    </w:tbl>
    <w:p w14:paraId="0777D3E3" w14:textId="77777777" w:rsidR="006C5223" w:rsidRPr="007D1B81" w:rsidRDefault="006C5223" w:rsidP="006C5223">
      <w:pPr>
        <w:pStyle w:val="Heading2"/>
        <w:rPr>
          <w:b w:val="0"/>
          <w:bCs w:val="0"/>
        </w:rPr>
      </w:pPr>
      <w:bookmarkStart w:id="80" w:name="_Toc170118977"/>
      <w:bookmarkStart w:id="81" w:name="_Toc207722744"/>
      <w:bookmarkStart w:id="82" w:name="_Toc223445077"/>
      <w:r w:rsidRPr="007D1B81">
        <w:t>Indices</w:t>
      </w:r>
      <w:bookmarkEnd w:id="80"/>
      <w:bookmarkEnd w:id="81"/>
      <w:bookmarkEnd w:id="82"/>
    </w:p>
    <w:p w14:paraId="1B085EA5" w14:textId="77777777" w:rsidR="006C5223" w:rsidRPr="007D1B81" w:rsidRDefault="006C5223" w:rsidP="00D70B5C">
      <w:pPr>
        <w:pStyle w:val="BodyText"/>
      </w:pPr>
      <w:r w:rsidRPr="007D1B81">
        <w:t xml:space="preserve">Indices may assist an entity to assess the fair value of an asset on an annual basis. The most relevant indices are calculated for different types of assets via analysis of comparable local government-specific projects. However, the local government may have limited projects and the cost of undertaking detailed analysis may exceed the cost of sourcing an index from either Australian Bureau of Statistics (ABS) or cost guides such as </w:t>
      </w:r>
      <w:proofErr w:type="spellStart"/>
      <w:r w:rsidRPr="007D1B81">
        <w:t>Rawlinsons</w:t>
      </w:r>
      <w:proofErr w:type="spellEnd"/>
      <w:r w:rsidRPr="007D1B81">
        <w:t>.</w:t>
      </w:r>
    </w:p>
    <w:p w14:paraId="2B2395BE" w14:textId="77777777" w:rsidR="006C5223" w:rsidRPr="007D1B81" w:rsidRDefault="006C5223" w:rsidP="00D70B5C">
      <w:pPr>
        <w:pStyle w:val="BodyText"/>
      </w:pPr>
      <w:r w:rsidRPr="007D1B81">
        <w:t xml:space="preserve">The ABS produces a variety of statistics including the consumer price index (CPI) and the producer price indexes (PPI). Both these indexes are published on a quarterly basis. Consequently, local governments can track price movements across the financial year which may assist in financial year end assessments of asset values. </w:t>
      </w:r>
    </w:p>
    <w:p w14:paraId="0F345D8A" w14:textId="77777777" w:rsidR="006C5223" w:rsidRPr="007D1B81" w:rsidRDefault="006C5223" w:rsidP="00D70B5C">
      <w:pPr>
        <w:pStyle w:val="BodyText"/>
      </w:pPr>
      <w:r w:rsidRPr="007D1B81">
        <w:t>However, some published indices are usually issued months after the end of financial year. Therefore, such indices may not be available when needed or are extremely generalised covering public and private sector assets. Consequently, it may not represent the nuances of public sector assets or specific locations.</w:t>
      </w:r>
    </w:p>
    <w:p w14:paraId="66F51D7E" w14:textId="77777777" w:rsidR="006C5223" w:rsidRPr="00A07F3E" w:rsidRDefault="006C5223" w:rsidP="00D70B5C">
      <w:pPr>
        <w:pStyle w:val="BodyText"/>
      </w:pPr>
      <w:r w:rsidRPr="00A07F3E">
        <w:t xml:space="preserve">Local government tasks regarding </w:t>
      </w:r>
      <w:r w:rsidRPr="00A07F3E">
        <w:rPr>
          <w:b/>
          <w:bCs/>
        </w:rPr>
        <w:t xml:space="preserve">indices </w:t>
      </w:r>
      <w:r w:rsidRPr="00A07F3E">
        <w:t xml:space="preserve">are as follows: </w:t>
      </w:r>
    </w:p>
    <w:tbl>
      <w:tblPr>
        <w:tblStyle w:val="TableGrid"/>
        <w:tblW w:w="9639" w:type="dxa"/>
        <w:tblLook w:val="04A0" w:firstRow="1" w:lastRow="0" w:firstColumn="1" w:lastColumn="0" w:noHBand="0" w:noVBand="1"/>
      </w:tblPr>
      <w:tblGrid>
        <w:gridCol w:w="9639"/>
      </w:tblGrid>
      <w:tr w:rsidR="006C5223" w:rsidRPr="00A07F3E" w14:paraId="2109CA7F" w14:textId="77777777" w:rsidTr="006A3B42">
        <w:trPr>
          <w:cantSplit/>
          <w:tblHeader/>
        </w:trPr>
        <w:tc>
          <w:tcPr>
            <w:tcW w:w="9639" w:type="dxa"/>
            <w:shd w:val="clear" w:color="auto" w:fill="F2F2F2" w:themeFill="background1" w:themeFillShade="F2"/>
          </w:tcPr>
          <w:p w14:paraId="64796AF9" w14:textId="60B1CFD3" w:rsidR="006C5223" w:rsidRPr="00B57B03" w:rsidRDefault="006C5223" w:rsidP="00B57B03">
            <w:pPr>
              <w:pStyle w:val="TableContent"/>
              <w:rPr>
                <w:b/>
                <w:bCs/>
                <w:sz w:val="24"/>
              </w:rPr>
            </w:pPr>
            <w:r w:rsidRPr="00B57B03">
              <w:rPr>
                <w:b/>
                <w:bCs/>
                <w:sz w:val="24"/>
              </w:rPr>
              <w:t xml:space="preserve">Local </w:t>
            </w:r>
            <w:r w:rsidR="00D30A4F">
              <w:rPr>
                <w:b/>
                <w:bCs/>
                <w:sz w:val="24"/>
              </w:rPr>
              <w:t>g</w:t>
            </w:r>
            <w:r w:rsidRPr="00B57B03">
              <w:rPr>
                <w:b/>
                <w:bCs/>
                <w:sz w:val="24"/>
              </w:rPr>
              <w:t xml:space="preserve">overnment </w:t>
            </w:r>
            <w:r w:rsidR="00D30A4F">
              <w:rPr>
                <w:b/>
                <w:bCs/>
                <w:sz w:val="24"/>
              </w:rPr>
              <w:t>t</w:t>
            </w:r>
            <w:r w:rsidRPr="00B57B03">
              <w:rPr>
                <w:b/>
                <w:bCs/>
                <w:sz w:val="24"/>
              </w:rPr>
              <w:t xml:space="preserve">asks </w:t>
            </w:r>
          </w:p>
        </w:tc>
      </w:tr>
      <w:tr w:rsidR="006C5223" w:rsidRPr="00A07F3E" w14:paraId="0D6B7961" w14:textId="77777777">
        <w:tc>
          <w:tcPr>
            <w:tcW w:w="9639" w:type="dxa"/>
          </w:tcPr>
          <w:p w14:paraId="0FAA1D2B" w14:textId="77777777" w:rsidR="006C5223" w:rsidRPr="00B57B03" w:rsidRDefault="006C5223" w:rsidP="00B57B03">
            <w:pPr>
              <w:pStyle w:val="TableContent"/>
              <w:rPr>
                <w:b/>
                <w:bCs/>
                <w:sz w:val="24"/>
              </w:rPr>
            </w:pPr>
            <w:r w:rsidRPr="00B57B03">
              <w:rPr>
                <w:b/>
                <w:bCs/>
                <w:sz w:val="24"/>
              </w:rPr>
              <w:t xml:space="preserve">Responsibility: </w:t>
            </w:r>
          </w:p>
          <w:p w14:paraId="0C2DA27D" w14:textId="77777777" w:rsidR="006C5223" w:rsidRPr="00B57B03" w:rsidRDefault="006C5223" w:rsidP="00B57B03">
            <w:pPr>
              <w:pStyle w:val="TableContent"/>
              <w:rPr>
                <w:sz w:val="24"/>
              </w:rPr>
            </w:pPr>
            <w:r w:rsidRPr="00B57B03">
              <w:rPr>
                <w:sz w:val="24"/>
              </w:rPr>
              <w:t xml:space="preserve">The local government must take responsibility to assess asset values using indexes. However, in rare circumstances an external valuer may have to be employed for this purpose. </w:t>
            </w:r>
          </w:p>
          <w:p w14:paraId="4DBF3ACD" w14:textId="77777777" w:rsidR="006C5223" w:rsidRPr="00B57B03" w:rsidRDefault="006C5223" w:rsidP="00B57B03">
            <w:pPr>
              <w:pStyle w:val="TableContent"/>
              <w:rPr>
                <w:b/>
                <w:bCs/>
                <w:sz w:val="24"/>
              </w:rPr>
            </w:pPr>
            <w:r w:rsidRPr="00B57B03">
              <w:rPr>
                <w:b/>
                <w:bCs/>
                <w:sz w:val="24"/>
              </w:rPr>
              <w:t>Review:</w:t>
            </w:r>
          </w:p>
          <w:p w14:paraId="3C3F9673" w14:textId="77777777" w:rsidR="006C5223" w:rsidRPr="00B57B03" w:rsidRDefault="006C5223" w:rsidP="00B57B03">
            <w:pPr>
              <w:pStyle w:val="TableContent"/>
              <w:rPr>
                <w:sz w:val="24"/>
              </w:rPr>
            </w:pPr>
            <w:r w:rsidRPr="00B57B03">
              <w:rPr>
                <w:sz w:val="24"/>
              </w:rPr>
              <w:t xml:space="preserve">Asset values measured internally by a local government must be reviewed by an independent internal assessor by: </w:t>
            </w:r>
          </w:p>
          <w:p w14:paraId="6E7B9AA8" w14:textId="77777777" w:rsidR="006C5223" w:rsidRPr="00B57B03" w:rsidRDefault="006C5223">
            <w:pPr>
              <w:pStyle w:val="TableContent"/>
              <w:numPr>
                <w:ilvl w:val="0"/>
                <w:numId w:val="54"/>
              </w:numPr>
              <w:rPr>
                <w:sz w:val="24"/>
              </w:rPr>
            </w:pPr>
            <w:r w:rsidRPr="00B57B03">
              <w:rPr>
                <w:sz w:val="24"/>
              </w:rPr>
              <w:t>considering the source of the index applied for validity (is it trustworthy- good reputation?)</w:t>
            </w:r>
          </w:p>
          <w:p w14:paraId="16E919EB" w14:textId="77777777" w:rsidR="006C5223" w:rsidRPr="00B57B03" w:rsidRDefault="006C5223">
            <w:pPr>
              <w:pStyle w:val="TableContent"/>
              <w:numPr>
                <w:ilvl w:val="0"/>
                <w:numId w:val="54"/>
              </w:numPr>
              <w:rPr>
                <w:sz w:val="24"/>
              </w:rPr>
            </w:pPr>
            <w:r w:rsidRPr="00B57B03">
              <w:rPr>
                <w:sz w:val="24"/>
              </w:rPr>
              <w:lastRenderedPageBreak/>
              <w:t>determining the appropriateness of the index (does the characteristics of the asset being valued match the characteristics of items disclosed in the index?)</w:t>
            </w:r>
          </w:p>
          <w:p w14:paraId="0793FBA8" w14:textId="474F9907" w:rsidR="006C5223" w:rsidRPr="00FC7843" w:rsidRDefault="006C5223">
            <w:pPr>
              <w:pStyle w:val="TableContent"/>
              <w:numPr>
                <w:ilvl w:val="0"/>
                <w:numId w:val="54"/>
              </w:numPr>
              <w:rPr>
                <w:sz w:val="24"/>
              </w:rPr>
            </w:pPr>
            <w:r w:rsidRPr="00B57B03">
              <w:rPr>
                <w:sz w:val="24"/>
              </w:rPr>
              <w:t>considering the time functionality of the index being used (is the time difference between the index publication date and the entity’s financial year end significant?)</w:t>
            </w:r>
            <w:r w:rsidR="00E4086F">
              <w:rPr>
                <w:sz w:val="24"/>
              </w:rPr>
              <w:t>;</w:t>
            </w:r>
            <w:r w:rsidRPr="00B57B03">
              <w:rPr>
                <w:sz w:val="24"/>
              </w:rPr>
              <w:t xml:space="preserve"> </w:t>
            </w:r>
            <w:r w:rsidRPr="00FC7843">
              <w:rPr>
                <w:sz w:val="24"/>
              </w:rPr>
              <w:t>and</w:t>
            </w:r>
          </w:p>
          <w:p w14:paraId="532A00BF" w14:textId="77777777" w:rsidR="006C5223" w:rsidRPr="00B57B03" w:rsidRDefault="006C5223">
            <w:pPr>
              <w:pStyle w:val="TableContent"/>
              <w:numPr>
                <w:ilvl w:val="0"/>
                <w:numId w:val="54"/>
              </w:numPr>
              <w:rPr>
                <w:sz w:val="24"/>
              </w:rPr>
            </w:pPr>
            <w:r w:rsidRPr="00B57B03">
              <w:rPr>
                <w:sz w:val="24"/>
              </w:rPr>
              <w:t xml:space="preserve">tracing a sample of asset values disclosed in the valuation work papers to the index used. </w:t>
            </w:r>
          </w:p>
        </w:tc>
      </w:tr>
      <w:tr w:rsidR="006C5223" w:rsidRPr="00A07F3E" w14:paraId="28896132" w14:textId="77777777">
        <w:tc>
          <w:tcPr>
            <w:tcW w:w="9639" w:type="dxa"/>
          </w:tcPr>
          <w:p w14:paraId="6F1C377B" w14:textId="77777777" w:rsidR="006C5223" w:rsidRPr="00B57B03" w:rsidRDefault="006C5223" w:rsidP="00B57B03">
            <w:pPr>
              <w:pStyle w:val="TableContent"/>
              <w:rPr>
                <w:sz w:val="24"/>
              </w:rPr>
            </w:pPr>
            <w:r w:rsidRPr="00B57B03">
              <w:rPr>
                <w:sz w:val="24"/>
              </w:rPr>
              <w:t xml:space="preserve">The local government must keep proper records regarding its review of the internal use of indices. </w:t>
            </w:r>
          </w:p>
        </w:tc>
      </w:tr>
    </w:tbl>
    <w:p w14:paraId="39628A37" w14:textId="77777777" w:rsidR="006C5223" w:rsidRPr="00A07F3E" w:rsidRDefault="006C5223" w:rsidP="006C5223">
      <w:pPr>
        <w:pStyle w:val="Heading2"/>
        <w:rPr>
          <w:b w:val="0"/>
          <w:bCs w:val="0"/>
        </w:rPr>
      </w:pPr>
      <w:bookmarkStart w:id="83" w:name="_Toc170118978"/>
      <w:bookmarkStart w:id="84" w:name="_Toc207722745"/>
      <w:bookmarkStart w:id="85" w:name="_Toc223445078"/>
      <w:r w:rsidRPr="00A07F3E">
        <w:t>Valuer’s repor</w:t>
      </w:r>
      <w:bookmarkEnd w:id="83"/>
      <w:r w:rsidRPr="00A07F3E">
        <w:t>t</w:t>
      </w:r>
      <w:bookmarkEnd w:id="84"/>
      <w:bookmarkEnd w:id="85"/>
    </w:p>
    <w:p w14:paraId="145D2BA9" w14:textId="53AE70BE" w:rsidR="006C5223" w:rsidRPr="00A07F3E" w:rsidRDefault="006C5223" w:rsidP="00D70B5C">
      <w:pPr>
        <w:pStyle w:val="BodyText"/>
      </w:pPr>
      <w:r w:rsidRPr="00A07F3E">
        <w:t>The valuer’s report will quantify asset values and will result in updating the accounting records of the local government. Consequently, it contributes to the fair presentation of the annual financial report. The valuer’s report should include, as a minimum</w:t>
      </w:r>
      <w:r w:rsidR="00E4086F">
        <w:t>,</w:t>
      </w:r>
      <w:r w:rsidRPr="00A07F3E">
        <w:t xml:space="preserve"> the following items: </w:t>
      </w:r>
    </w:p>
    <w:p w14:paraId="5560B767" w14:textId="77777777" w:rsidR="006C5223" w:rsidRPr="00A07F3E" w:rsidRDefault="006C5223" w:rsidP="00D70B5C">
      <w:pPr>
        <w:pStyle w:val="BodyText"/>
        <w:numPr>
          <w:ilvl w:val="0"/>
          <w:numId w:val="19"/>
        </w:numPr>
      </w:pPr>
      <w:r w:rsidRPr="00A07F3E">
        <w:t>identity of the valuer</w:t>
      </w:r>
    </w:p>
    <w:p w14:paraId="7A68CF6B" w14:textId="77777777" w:rsidR="006C5223" w:rsidRPr="00A07F3E" w:rsidRDefault="006C5223" w:rsidP="00D70B5C">
      <w:pPr>
        <w:pStyle w:val="BodyText"/>
        <w:numPr>
          <w:ilvl w:val="0"/>
          <w:numId w:val="19"/>
        </w:numPr>
      </w:pPr>
      <w:r w:rsidRPr="00A07F3E">
        <w:t>identity of the client</w:t>
      </w:r>
    </w:p>
    <w:p w14:paraId="21EA3662" w14:textId="77777777" w:rsidR="006C5223" w:rsidRPr="00A07F3E" w:rsidRDefault="006C5223" w:rsidP="00D70B5C">
      <w:pPr>
        <w:pStyle w:val="BodyText"/>
        <w:numPr>
          <w:ilvl w:val="0"/>
          <w:numId w:val="19"/>
        </w:numPr>
      </w:pPr>
      <w:r w:rsidRPr="00A07F3E">
        <w:t>objective of the valuation</w:t>
      </w:r>
    </w:p>
    <w:p w14:paraId="3135007B" w14:textId="77777777" w:rsidR="006C5223" w:rsidRPr="00A07F3E" w:rsidRDefault="006C5223" w:rsidP="00D70B5C">
      <w:pPr>
        <w:pStyle w:val="BodyText"/>
        <w:numPr>
          <w:ilvl w:val="0"/>
          <w:numId w:val="19"/>
        </w:numPr>
      </w:pPr>
      <w:r w:rsidRPr="00A07F3E">
        <w:t xml:space="preserve">agreed scope of works </w:t>
      </w:r>
    </w:p>
    <w:p w14:paraId="59602EF9" w14:textId="77777777" w:rsidR="006C5223" w:rsidRPr="00A07F3E" w:rsidRDefault="006C5223" w:rsidP="00D70B5C">
      <w:pPr>
        <w:pStyle w:val="BodyText"/>
        <w:numPr>
          <w:ilvl w:val="0"/>
          <w:numId w:val="19"/>
        </w:numPr>
      </w:pPr>
      <w:r w:rsidRPr="00A07F3E">
        <w:t>approach taken</w:t>
      </w:r>
    </w:p>
    <w:p w14:paraId="59F6DA73" w14:textId="76623376" w:rsidR="006C5223" w:rsidRPr="00A07F3E" w:rsidRDefault="006C5223" w:rsidP="00D70B5C">
      <w:pPr>
        <w:pStyle w:val="BodyText"/>
        <w:numPr>
          <w:ilvl w:val="0"/>
          <w:numId w:val="19"/>
        </w:numPr>
      </w:pPr>
      <w:r w:rsidRPr="00A07F3E">
        <w:t>statement regarding compliance with AAS (specifically the valuation approaches/</w:t>
      </w:r>
      <w:r w:rsidR="00E4086F">
        <w:t xml:space="preserve"> </w:t>
      </w:r>
      <w:r w:rsidRPr="00A07F3E">
        <w:t>techniques used)</w:t>
      </w:r>
    </w:p>
    <w:p w14:paraId="6E275F5E" w14:textId="77777777" w:rsidR="006C5223" w:rsidRPr="00A07F3E" w:rsidRDefault="006C5223" w:rsidP="00D70B5C">
      <w:pPr>
        <w:pStyle w:val="BodyText"/>
        <w:numPr>
          <w:ilvl w:val="0"/>
          <w:numId w:val="20"/>
        </w:numPr>
      </w:pPr>
      <w:r w:rsidRPr="00A07F3E">
        <w:t>statement regarding compliance with jurisdictional legislation</w:t>
      </w:r>
    </w:p>
    <w:p w14:paraId="77828112" w14:textId="2A5E5160" w:rsidR="006C5223" w:rsidRPr="00A07F3E" w:rsidRDefault="006C5223" w:rsidP="00D70B5C">
      <w:pPr>
        <w:pStyle w:val="BodyText"/>
        <w:numPr>
          <w:ilvl w:val="0"/>
          <w:numId w:val="20"/>
        </w:numPr>
      </w:pPr>
      <w:r w:rsidRPr="00A07F3E">
        <w:t>the assets valued and the source documents used to identify such assets</w:t>
      </w:r>
    </w:p>
    <w:p w14:paraId="649E8D57" w14:textId="77777777" w:rsidR="006C5223" w:rsidRPr="00A07F3E" w:rsidRDefault="006C5223" w:rsidP="00D70B5C">
      <w:pPr>
        <w:pStyle w:val="BodyText"/>
        <w:numPr>
          <w:ilvl w:val="0"/>
          <w:numId w:val="20"/>
        </w:numPr>
      </w:pPr>
      <w:r w:rsidRPr="00A07F3E">
        <w:t>date(s) of the valuation and valuer’s reporting date (if different)</w:t>
      </w:r>
    </w:p>
    <w:p w14:paraId="31A141E9" w14:textId="662802A3" w:rsidR="006C5223" w:rsidRPr="00FC7843" w:rsidRDefault="006C5223" w:rsidP="00D70B5C">
      <w:pPr>
        <w:pStyle w:val="BodyText"/>
        <w:numPr>
          <w:ilvl w:val="0"/>
          <w:numId w:val="20"/>
        </w:numPr>
      </w:pPr>
      <w:r w:rsidRPr="00A07F3E">
        <w:t>assumptions and inputs used and the sources for all valuation inputs</w:t>
      </w:r>
      <w:r w:rsidR="00E4086F">
        <w:t>;</w:t>
      </w:r>
      <w:r w:rsidRPr="00A07F3E">
        <w:t xml:space="preserve"> </w:t>
      </w:r>
      <w:r w:rsidRPr="00FC7843">
        <w:t>and</w:t>
      </w:r>
    </w:p>
    <w:p w14:paraId="126A526D" w14:textId="77777777" w:rsidR="006C5223" w:rsidRPr="00A07F3E" w:rsidRDefault="006C5223" w:rsidP="00D70B5C">
      <w:pPr>
        <w:pStyle w:val="BodyText"/>
        <w:numPr>
          <w:ilvl w:val="0"/>
          <w:numId w:val="20"/>
        </w:numPr>
      </w:pPr>
      <w:r w:rsidRPr="00A07F3E">
        <w:t xml:space="preserve">values of assets. </w:t>
      </w:r>
    </w:p>
    <w:p w14:paraId="13E8DDB7" w14:textId="77777777" w:rsidR="006C5223" w:rsidRPr="00A07F3E" w:rsidRDefault="006C5223" w:rsidP="00D70B5C">
      <w:pPr>
        <w:pStyle w:val="BodyText"/>
      </w:pPr>
      <w:bookmarkStart w:id="86" w:name="_Toc170118979"/>
      <w:r w:rsidRPr="00A07F3E">
        <w:t xml:space="preserve">Local government tasks regarding the </w:t>
      </w:r>
      <w:r w:rsidRPr="00A07F3E">
        <w:rPr>
          <w:b/>
        </w:rPr>
        <w:t>valuer’s report</w:t>
      </w:r>
      <w:r w:rsidRPr="00A07F3E">
        <w:t xml:space="preserve"> are as follows: </w:t>
      </w:r>
    </w:p>
    <w:tbl>
      <w:tblPr>
        <w:tblStyle w:val="TableGrid"/>
        <w:tblW w:w="9639" w:type="dxa"/>
        <w:tblLook w:val="04A0" w:firstRow="1" w:lastRow="0" w:firstColumn="1" w:lastColumn="0" w:noHBand="0" w:noVBand="1"/>
      </w:tblPr>
      <w:tblGrid>
        <w:gridCol w:w="9639"/>
      </w:tblGrid>
      <w:tr w:rsidR="006C5223" w:rsidRPr="00A07F3E" w14:paraId="60B30A44" w14:textId="77777777">
        <w:trPr>
          <w:tblHeader/>
        </w:trPr>
        <w:tc>
          <w:tcPr>
            <w:tcW w:w="9639" w:type="dxa"/>
            <w:shd w:val="clear" w:color="auto" w:fill="F2F2F2" w:themeFill="background1" w:themeFillShade="F2"/>
          </w:tcPr>
          <w:p w14:paraId="678E7F35" w14:textId="3931F3AB" w:rsidR="006C5223" w:rsidRPr="00EF0D92" w:rsidRDefault="006C5223" w:rsidP="00313AB2">
            <w:pPr>
              <w:pStyle w:val="TableContent"/>
              <w:rPr>
                <w:b/>
                <w:bCs/>
                <w:sz w:val="24"/>
              </w:rPr>
            </w:pPr>
            <w:r w:rsidRPr="00EF0D92">
              <w:rPr>
                <w:b/>
                <w:bCs/>
                <w:sz w:val="24"/>
              </w:rPr>
              <w:t xml:space="preserve">Local </w:t>
            </w:r>
            <w:r w:rsidR="00D30A4F">
              <w:rPr>
                <w:b/>
                <w:bCs/>
                <w:sz w:val="24"/>
              </w:rPr>
              <w:t>g</w:t>
            </w:r>
            <w:r w:rsidRPr="00EF0D92">
              <w:rPr>
                <w:b/>
                <w:bCs/>
                <w:sz w:val="24"/>
              </w:rPr>
              <w:t xml:space="preserve">overnment </w:t>
            </w:r>
            <w:r w:rsidR="00D30A4F">
              <w:rPr>
                <w:b/>
                <w:bCs/>
                <w:sz w:val="24"/>
              </w:rPr>
              <w:t>t</w:t>
            </w:r>
            <w:r w:rsidRPr="00EF0D92">
              <w:rPr>
                <w:b/>
                <w:bCs/>
                <w:sz w:val="24"/>
              </w:rPr>
              <w:t xml:space="preserve">asks </w:t>
            </w:r>
          </w:p>
        </w:tc>
      </w:tr>
      <w:tr w:rsidR="006C5223" w:rsidRPr="00A07F3E" w14:paraId="143EF431" w14:textId="77777777">
        <w:tc>
          <w:tcPr>
            <w:tcW w:w="9639" w:type="dxa"/>
          </w:tcPr>
          <w:p w14:paraId="4F9DAFC3" w14:textId="77777777" w:rsidR="006C5223" w:rsidRPr="00313AB2" w:rsidRDefault="006C5223" w:rsidP="00313AB2">
            <w:pPr>
              <w:pStyle w:val="TableContent"/>
              <w:rPr>
                <w:sz w:val="24"/>
              </w:rPr>
            </w:pPr>
            <w:r w:rsidRPr="00313AB2">
              <w:rPr>
                <w:sz w:val="24"/>
              </w:rPr>
              <w:t xml:space="preserve">The local government must examine the valuer’s report by: </w:t>
            </w:r>
          </w:p>
          <w:p w14:paraId="6F6CBC9B" w14:textId="77777777" w:rsidR="006C5223" w:rsidRPr="00313AB2" w:rsidRDefault="006C5223">
            <w:pPr>
              <w:pStyle w:val="TableContent"/>
              <w:numPr>
                <w:ilvl w:val="0"/>
                <w:numId w:val="55"/>
              </w:numPr>
              <w:rPr>
                <w:sz w:val="24"/>
              </w:rPr>
            </w:pPr>
            <w:r w:rsidRPr="00313AB2">
              <w:rPr>
                <w:sz w:val="24"/>
              </w:rPr>
              <w:t>comparing the agreed scope of works with the valuation report to determine the completeness of the valuer’s report</w:t>
            </w:r>
          </w:p>
          <w:p w14:paraId="398C6E4F" w14:textId="77777777" w:rsidR="006C5223" w:rsidRPr="00313AB2" w:rsidRDefault="006C5223">
            <w:pPr>
              <w:pStyle w:val="TableContent"/>
              <w:numPr>
                <w:ilvl w:val="0"/>
                <w:numId w:val="55"/>
              </w:numPr>
              <w:rPr>
                <w:sz w:val="24"/>
              </w:rPr>
            </w:pPr>
            <w:r w:rsidRPr="00313AB2">
              <w:rPr>
                <w:sz w:val="24"/>
              </w:rPr>
              <w:lastRenderedPageBreak/>
              <w:t>comparing the valuer’s report with the valuer’s work papers by tracing valuation amounts disclosed in the valuation report to the valuer’s work papers</w:t>
            </w:r>
          </w:p>
          <w:p w14:paraId="5B70AB08" w14:textId="77777777" w:rsidR="006C5223" w:rsidRPr="00313AB2" w:rsidRDefault="006C5223">
            <w:pPr>
              <w:pStyle w:val="TableContent"/>
              <w:numPr>
                <w:ilvl w:val="0"/>
                <w:numId w:val="55"/>
              </w:numPr>
              <w:rPr>
                <w:sz w:val="24"/>
              </w:rPr>
            </w:pPr>
            <w:r w:rsidRPr="00313AB2">
              <w:rPr>
                <w:sz w:val="24"/>
              </w:rPr>
              <w:t xml:space="preserve">examining the valuer’s finalised work papers by: </w:t>
            </w:r>
          </w:p>
          <w:p w14:paraId="0C5E460C" w14:textId="7F648F56" w:rsidR="006C5223" w:rsidRPr="00313AB2" w:rsidRDefault="006C5223">
            <w:pPr>
              <w:pStyle w:val="TableContent"/>
              <w:numPr>
                <w:ilvl w:val="0"/>
                <w:numId w:val="56"/>
              </w:numPr>
              <w:ind w:left="1071" w:hanging="357"/>
              <w:rPr>
                <w:sz w:val="24"/>
              </w:rPr>
            </w:pPr>
            <w:r w:rsidRPr="00313AB2">
              <w:rPr>
                <w:sz w:val="24"/>
              </w:rPr>
              <w:t>reperformance of calculations (sample basis)</w:t>
            </w:r>
            <w:r w:rsidR="00E4086F">
              <w:rPr>
                <w:sz w:val="24"/>
              </w:rPr>
              <w:t>;</w:t>
            </w:r>
            <w:r w:rsidRPr="00313AB2">
              <w:rPr>
                <w:sz w:val="24"/>
              </w:rPr>
              <w:t xml:space="preserve"> </w:t>
            </w:r>
            <w:r w:rsidRPr="00FC7843">
              <w:rPr>
                <w:sz w:val="24"/>
              </w:rPr>
              <w:t>and</w:t>
            </w:r>
          </w:p>
          <w:p w14:paraId="17B202AB" w14:textId="77777777" w:rsidR="006C5223" w:rsidRPr="00313AB2" w:rsidRDefault="006C5223">
            <w:pPr>
              <w:pStyle w:val="TableContent"/>
              <w:numPr>
                <w:ilvl w:val="0"/>
                <w:numId w:val="56"/>
              </w:numPr>
              <w:ind w:left="1071" w:hanging="357"/>
              <w:rPr>
                <w:sz w:val="24"/>
              </w:rPr>
            </w:pPr>
            <w:r w:rsidRPr="00313AB2">
              <w:rPr>
                <w:sz w:val="24"/>
              </w:rPr>
              <w:t>scrutiny for unusual results, zero values, negative results, etc.</w:t>
            </w:r>
          </w:p>
          <w:p w14:paraId="231D1877" w14:textId="77777777" w:rsidR="006C5223" w:rsidRPr="00313AB2" w:rsidRDefault="006C5223">
            <w:pPr>
              <w:pStyle w:val="TableContent"/>
              <w:numPr>
                <w:ilvl w:val="0"/>
                <w:numId w:val="57"/>
              </w:numPr>
              <w:rPr>
                <w:sz w:val="24"/>
              </w:rPr>
            </w:pPr>
            <w:r w:rsidRPr="00313AB2">
              <w:rPr>
                <w:sz w:val="24"/>
              </w:rPr>
              <w:t xml:space="preserve">comparing the valuer’s reported asset values for asset categories with the local government’s own records. Material differences identified between the valuer’s report and the local government’s records may be indicative of substantial movements in asset values from the previous revaluation. These material differences must be: </w:t>
            </w:r>
          </w:p>
          <w:p w14:paraId="2E404581" w14:textId="4FDBD0AD" w:rsidR="006C5223" w:rsidRPr="00313AB2" w:rsidRDefault="006C5223">
            <w:pPr>
              <w:pStyle w:val="TableContent"/>
              <w:numPr>
                <w:ilvl w:val="0"/>
                <w:numId w:val="58"/>
              </w:numPr>
              <w:ind w:left="1071" w:hanging="357"/>
              <w:rPr>
                <w:sz w:val="24"/>
              </w:rPr>
            </w:pPr>
            <w:r w:rsidRPr="00313AB2">
              <w:rPr>
                <w:sz w:val="24"/>
              </w:rPr>
              <w:t>documented and verifiable (supported by source documents)</w:t>
            </w:r>
            <w:r w:rsidR="00E4086F">
              <w:rPr>
                <w:sz w:val="24"/>
              </w:rPr>
              <w:t>;</w:t>
            </w:r>
            <w:r w:rsidRPr="00313AB2">
              <w:rPr>
                <w:sz w:val="24"/>
              </w:rPr>
              <w:t xml:space="preserve"> </w:t>
            </w:r>
            <w:r w:rsidRPr="00FC7843">
              <w:rPr>
                <w:sz w:val="24"/>
              </w:rPr>
              <w:t>and</w:t>
            </w:r>
          </w:p>
          <w:p w14:paraId="72B72925" w14:textId="77777777" w:rsidR="006C5223" w:rsidRPr="00313AB2" w:rsidRDefault="006C5223">
            <w:pPr>
              <w:pStyle w:val="TableContent"/>
              <w:numPr>
                <w:ilvl w:val="0"/>
                <w:numId w:val="58"/>
              </w:numPr>
              <w:ind w:left="1071" w:hanging="357"/>
              <w:rPr>
                <w:sz w:val="24"/>
              </w:rPr>
            </w:pPr>
            <w:r w:rsidRPr="00313AB2">
              <w:rPr>
                <w:sz w:val="24"/>
              </w:rPr>
              <w:t>considered to determine the application of AASB 108 Accounting Policies, Changes in Accounting Estimates and Errors (2021) regarding changes in accounting estimates and errors.</w:t>
            </w:r>
          </w:p>
          <w:p w14:paraId="77B274FD" w14:textId="77777777" w:rsidR="006C5223" w:rsidRPr="00313AB2" w:rsidRDefault="006C5223" w:rsidP="00313AB2">
            <w:pPr>
              <w:pStyle w:val="TableContent"/>
              <w:rPr>
                <w:sz w:val="24"/>
              </w:rPr>
            </w:pPr>
            <w:r w:rsidRPr="00313AB2">
              <w:rPr>
                <w:sz w:val="24"/>
              </w:rPr>
              <w:t>The Guidelines provide details as to the local government’s reviews of the valuer’s work papers throughout sections within Part B.</w:t>
            </w:r>
          </w:p>
        </w:tc>
      </w:tr>
      <w:tr w:rsidR="006C5223" w:rsidRPr="00A07F3E" w14:paraId="563CCC58" w14:textId="77777777">
        <w:tc>
          <w:tcPr>
            <w:tcW w:w="9639" w:type="dxa"/>
          </w:tcPr>
          <w:p w14:paraId="4E2AAD07" w14:textId="77777777" w:rsidR="006C5223" w:rsidRPr="00313AB2" w:rsidRDefault="006C5223" w:rsidP="00313AB2">
            <w:pPr>
              <w:pStyle w:val="TableContent"/>
              <w:rPr>
                <w:sz w:val="24"/>
              </w:rPr>
            </w:pPr>
            <w:r w:rsidRPr="00313AB2">
              <w:rPr>
                <w:sz w:val="24"/>
              </w:rPr>
              <w:t>The local government must keep proper records regarding its examination of the valuer’s report.</w:t>
            </w:r>
          </w:p>
        </w:tc>
      </w:tr>
    </w:tbl>
    <w:p w14:paraId="75782DE6" w14:textId="77777777" w:rsidR="006C5223" w:rsidRPr="00A07F3E" w:rsidRDefault="006C5223" w:rsidP="006C5223">
      <w:pPr>
        <w:pStyle w:val="Heading2"/>
        <w:rPr>
          <w:b w:val="0"/>
          <w:bCs w:val="0"/>
        </w:rPr>
      </w:pPr>
      <w:bookmarkStart w:id="87" w:name="_Toc207722746"/>
      <w:bookmarkStart w:id="88" w:name="_Toc223445079"/>
      <w:r w:rsidRPr="00A07F3E">
        <w:t>Documentation</w:t>
      </w:r>
      <w:bookmarkEnd w:id="86"/>
      <w:bookmarkEnd w:id="87"/>
      <w:bookmarkEnd w:id="88"/>
    </w:p>
    <w:p w14:paraId="1E85B9E8" w14:textId="77777777" w:rsidR="006C5223" w:rsidRPr="00A07F3E" w:rsidRDefault="006C5223" w:rsidP="00D70B5C">
      <w:pPr>
        <w:pStyle w:val="BodyText"/>
      </w:pPr>
      <w:r w:rsidRPr="00A07F3E">
        <w:t xml:space="preserve">Local governments must keep comprehensive documentation to support the valuation of non-financial assets. </w:t>
      </w:r>
    </w:p>
    <w:p w14:paraId="0B39BBBF" w14:textId="77777777" w:rsidR="006C5223" w:rsidRPr="00A07F3E" w:rsidRDefault="006C5223" w:rsidP="00D70B5C">
      <w:pPr>
        <w:pStyle w:val="BodyText"/>
      </w:pPr>
      <w:r w:rsidRPr="00A07F3E">
        <w:t xml:space="preserve">Specifically, local governments should record and keep documentary evidence which includes: </w:t>
      </w:r>
    </w:p>
    <w:p w14:paraId="40E44649" w14:textId="77777777" w:rsidR="006C5223" w:rsidRPr="00A07F3E" w:rsidRDefault="006C5223" w:rsidP="00D70B5C">
      <w:pPr>
        <w:pStyle w:val="BodyText"/>
        <w:numPr>
          <w:ilvl w:val="0"/>
          <w:numId w:val="21"/>
        </w:numPr>
      </w:pPr>
      <w:r w:rsidRPr="00A07F3E">
        <w:t>an overview of the local government’s valuer procurement process including details and weightings applied to the assessment criteria and confirmation that the valuer selected possesses the necessary qualification, skills and experience</w:t>
      </w:r>
    </w:p>
    <w:p w14:paraId="10692554" w14:textId="4C5DAAC8" w:rsidR="006C5223" w:rsidRPr="00A07F3E" w:rsidRDefault="006C5223" w:rsidP="00D70B5C">
      <w:pPr>
        <w:pStyle w:val="BodyText"/>
        <w:numPr>
          <w:ilvl w:val="0"/>
          <w:numId w:val="21"/>
        </w:numPr>
      </w:pPr>
      <w:r w:rsidRPr="00A07F3E">
        <w:t>proper records of its review of the valuer’s work</w:t>
      </w:r>
    </w:p>
    <w:p w14:paraId="2CC9D3F2" w14:textId="3EE14F32" w:rsidR="006C5223" w:rsidRPr="00FC7843" w:rsidRDefault="006C5223" w:rsidP="00D70B5C">
      <w:pPr>
        <w:pStyle w:val="BodyText"/>
        <w:numPr>
          <w:ilvl w:val="0"/>
          <w:numId w:val="21"/>
        </w:numPr>
      </w:pPr>
      <w:r w:rsidRPr="00A07F3E">
        <w:t>details of meetings with valuer and all electronic communications with the valuer</w:t>
      </w:r>
      <w:r w:rsidR="00E4086F">
        <w:t>;</w:t>
      </w:r>
      <w:r w:rsidRPr="00A07F3E">
        <w:t xml:space="preserve"> </w:t>
      </w:r>
      <w:r w:rsidRPr="00FC7843">
        <w:t>and</w:t>
      </w:r>
    </w:p>
    <w:p w14:paraId="55D4A8E1" w14:textId="77777777" w:rsidR="006C5223" w:rsidRPr="00A07F3E" w:rsidRDefault="006C5223" w:rsidP="00D70B5C">
      <w:pPr>
        <w:pStyle w:val="BodyText"/>
        <w:numPr>
          <w:ilvl w:val="0"/>
          <w:numId w:val="21"/>
        </w:numPr>
      </w:pPr>
      <w:r w:rsidRPr="00A07F3E">
        <w:t>actions taken because of the valuer’s report.</w:t>
      </w:r>
    </w:p>
    <w:p w14:paraId="1B902FFF" w14:textId="77777777" w:rsidR="00E4086F" w:rsidRDefault="00E4086F" w:rsidP="00D70B5C">
      <w:pPr>
        <w:pStyle w:val="BodyText"/>
      </w:pPr>
    </w:p>
    <w:p w14:paraId="3758C37D" w14:textId="77777777" w:rsidR="00E4086F" w:rsidRDefault="00E4086F" w:rsidP="00D70B5C">
      <w:pPr>
        <w:pStyle w:val="BodyText"/>
      </w:pPr>
    </w:p>
    <w:p w14:paraId="1B986FFD" w14:textId="77777777" w:rsidR="00E4086F" w:rsidRDefault="00E4086F" w:rsidP="00D70B5C">
      <w:pPr>
        <w:pStyle w:val="BodyText"/>
      </w:pPr>
    </w:p>
    <w:p w14:paraId="5A5FA1E5" w14:textId="6350534C" w:rsidR="006C5223" w:rsidRPr="00A07F3E" w:rsidRDefault="006C5223" w:rsidP="00D70B5C">
      <w:pPr>
        <w:pStyle w:val="BodyText"/>
      </w:pPr>
      <w:r w:rsidRPr="00A07F3E">
        <w:lastRenderedPageBreak/>
        <w:t xml:space="preserve">Local government tasks regarding </w:t>
      </w:r>
      <w:r w:rsidRPr="00A07F3E">
        <w:rPr>
          <w:b/>
          <w:bCs/>
        </w:rPr>
        <w:t>documentation</w:t>
      </w:r>
      <w:r w:rsidRPr="00A07F3E">
        <w:t xml:space="preserve"> are as follows:</w:t>
      </w:r>
    </w:p>
    <w:tbl>
      <w:tblPr>
        <w:tblStyle w:val="TableGrid"/>
        <w:tblW w:w="9639" w:type="dxa"/>
        <w:tblLook w:val="04A0" w:firstRow="1" w:lastRow="0" w:firstColumn="1" w:lastColumn="0" w:noHBand="0" w:noVBand="1"/>
      </w:tblPr>
      <w:tblGrid>
        <w:gridCol w:w="9639"/>
      </w:tblGrid>
      <w:tr w:rsidR="006C5223" w:rsidRPr="00A07F3E" w14:paraId="293A4FF1" w14:textId="77777777">
        <w:trPr>
          <w:tblHeader/>
        </w:trPr>
        <w:tc>
          <w:tcPr>
            <w:tcW w:w="9639" w:type="dxa"/>
            <w:shd w:val="clear" w:color="auto" w:fill="F2F2F2" w:themeFill="background1" w:themeFillShade="F2"/>
          </w:tcPr>
          <w:p w14:paraId="21D2A616" w14:textId="47063C63" w:rsidR="006C5223" w:rsidRPr="00EA4B27" w:rsidRDefault="006C5223" w:rsidP="00EA4B27">
            <w:pPr>
              <w:pStyle w:val="TableContent"/>
              <w:rPr>
                <w:b/>
                <w:bCs/>
                <w:sz w:val="24"/>
              </w:rPr>
            </w:pPr>
            <w:r w:rsidRPr="00EA4B27">
              <w:rPr>
                <w:b/>
                <w:bCs/>
                <w:sz w:val="24"/>
              </w:rPr>
              <w:t xml:space="preserve">Local </w:t>
            </w:r>
            <w:r w:rsidR="00D30A4F">
              <w:rPr>
                <w:b/>
                <w:bCs/>
                <w:sz w:val="24"/>
              </w:rPr>
              <w:t>g</w:t>
            </w:r>
            <w:r w:rsidRPr="00EA4B27">
              <w:rPr>
                <w:b/>
                <w:bCs/>
                <w:sz w:val="24"/>
              </w:rPr>
              <w:t xml:space="preserve">overnment </w:t>
            </w:r>
            <w:r w:rsidR="00D30A4F">
              <w:rPr>
                <w:b/>
                <w:bCs/>
                <w:sz w:val="24"/>
              </w:rPr>
              <w:t>t</w:t>
            </w:r>
            <w:r w:rsidRPr="00EA4B27">
              <w:rPr>
                <w:b/>
                <w:bCs/>
                <w:sz w:val="24"/>
              </w:rPr>
              <w:t xml:space="preserve">asks </w:t>
            </w:r>
          </w:p>
        </w:tc>
      </w:tr>
      <w:tr w:rsidR="006C5223" w:rsidRPr="00A07F3E" w14:paraId="1B689E7D" w14:textId="77777777">
        <w:tc>
          <w:tcPr>
            <w:tcW w:w="9639" w:type="dxa"/>
          </w:tcPr>
          <w:p w14:paraId="3D19A200" w14:textId="420D0D88" w:rsidR="006C5223" w:rsidRPr="00EA4B27" w:rsidRDefault="006C5223" w:rsidP="00EA4B27">
            <w:pPr>
              <w:pStyle w:val="TableContent"/>
              <w:rPr>
                <w:sz w:val="24"/>
              </w:rPr>
            </w:pPr>
            <w:r w:rsidRPr="00EA4B27">
              <w:rPr>
                <w:sz w:val="24"/>
              </w:rPr>
              <w:t>It is recommended that local government</w:t>
            </w:r>
            <w:r w:rsidR="00E4086F">
              <w:rPr>
                <w:sz w:val="24"/>
              </w:rPr>
              <w:t>s</w:t>
            </w:r>
            <w:r w:rsidRPr="00EA4B27">
              <w:rPr>
                <w:sz w:val="24"/>
              </w:rPr>
              <w:t xml:space="preserve"> create a valuation working file and populate it with relevant workpapers as noted in Part B of the Guidelines.</w:t>
            </w:r>
          </w:p>
        </w:tc>
      </w:tr>
    </w:tbl>
    <w:p w14:paraId="1794D5A3" w14:textId="77777777" w:rsidR="006C5223" w:rsidRPr="00A07F3E" w:rsidRDefault="006C5223" w:rsidP="006C5223">
      <w:pPr>
        <w:pStyle w:val="Heading2"/>
        <w:rPr>
          <w:b w:val="0"/>
          <w:bCs w:val="0"/>
        </w:rPr>
      </w:pPr>
      <w:bookmarkStart w:id="89" w:name="_Toc170118980"/>
      <w:bookmarkStart w:id="90" w:name="_Toc207722747"/>
      <w:bookmarkStart w:id="91" w:name="_Toc223445080"/>
      <w:r w:rsidRPr="00A07F3E">
        <w:t>Insurance valuations</w:t>
      </w:r>
      <w:bookmarkEnd w:id="89"/>
      <w:bookmarkEnd w:id="90"/>
      <w:bookmarkEnd w:id="91"/>
    </w:p>
    <w:p w14:paraId="43D498D8" w14:textId="77777777" w:rsidR="006C5223" w:rsidRPr="00A07F3E" w:rsidRDefault="006C5223" w:rsidP="00D70B5C">
      <w:pPr>
        <w:pStyle w:val="BodyText"/>
      </w:pPr>
      <w:r w:rsidRPr="00A07F3E">
        <w:t>Local governments may have a range of assets that they also insure. Typically, local governments take out insurance over buildings and associated structures and some forms of infrastructure assets. While roads and similar assets are not often insured, water treatment and processing facilities are sometimes covered under insurance policies.</w:t>
      </w:r>
    </w:p>
    <w:p w14:paraId="4DF86D03" w14:textId="0D8CDF44" w:rsidR="006C5223" w:rsidRPr="00A07F3E" w:rsidRDefault="006C5223" w:rsidP="00D70B5C">
      <w:pPr>
        <w:pStyle w:val="BodyText"/>
      </w:pPr>
      <w:r w:rsidRPr="00A07F3E">
        <w:t xml:space="preserve">The valuation of assets for insurance purposes may differ from the valuation of assets for financial reporting purposes. Insurance valuations focus on the replacement cost of assets. Fair value valuations </w:t>
      </w:r>
      <w:r w:rsidR="00E4086F">
        <w:t>are</w:t>
      </w:r>
      <w:r w:rsidRPr="00A07F3E">
        <w:t xml:space="preserve"> a ‘market-based measurement’ of the selling price of an asset (AASB 13 Fair Value Measurement (2022:6, paragraph 2). </w:t>
      </w:r>
    </w:p>
    <w:p w14:paraId="4E7ADE10" w14:textId="77F41116" w:rsidR="006C5223" w:rsidRPr="00A07F3E" w:rsidRDefault="006C5223" w:rsidP="00D70B5C">
      <w:pPr>
        <w:pStyle w:val="BodyText"/>
      </w:pPr>
      <w:r w:rsidRPr="00A07F3E">
        <w:t>Even with assets valued at fair value using the cost approach, the insurance valuation may be significantly different because of a range of additional costs required to reinstate the asset</w:t>
      </w:r>
      <w:r w:rsidR="00E4086F">
        <w:t>.</w:t>
      </w:r>
      <w:r w:rsidRPr="00A07F3E">
        <w:t xml:space="preserve"> </w:t>
      </w:r>
      <w:r w:rsidR="00E4086F">
        <w:t>T</w:t>
      </w:r>
      <w:r w:rsidRPr="00A07F3E">
        <w:t>he replacement cost is adjusted downwards for financial reporting but upwards for insurance.</w:t>
      </w:r>
    </w:p>
    <w:p w14:paraId="5AA5DAB6" w14:textId="4987AFDA" w:rsidR="006C5223" w:rsidRPr="00A07F3E" w:rsidRDefault="77A925F7" w:rsidP="00D70B5C">
      <w:pPr>
        <w:pStyle w:val="BodyText"/>
      </w:pPr>
      <w:r>
        <w:t xml:space="preserve">To provide efficiencies and to minimise the cost of additional valuation work, it is recommended that local governments consider undertaking relevant insurance valuations in conjunction with the financial reporting valuation process. Both valuation processes require consideration of the same factors, measurement of dimensions and an understanding of potential replacement costs. The extra effort for a valuer to determine the insurance valuation once they have calculated fair value using the cost approach is minimal. </w:t>
      </w:r>
    </w:p>
    <w:p w14:paraId="27C45C39" w14:textId="77777777" w:rsidR="006C5223" w:rsidRPr="00A07F3E" w:rsidRDefault="006C5223" w:rsidP="00D70B5C">
      <w:pPr>
        <w:pStyle w:val="BodyText"/>
      </w:pPr>
      <w:r w:rsidRPr="00A07F3E">
        <w:t>Essentially it requires adjusting the current replacement cost (used to calculate fair value) for a range of allowances, such as:</w:t>
      </w:r>
    </w:p>
    <w:p w14:paraId="3312C3F6" w14:textId="77777777" w:rsidR="006C5223" w:rsidRPr="00A07F3E" w:rsidRDefault="006C5223" w:rsidP="00D70B5C">
      <w:pPr>
        <w:pStyle w:val="BodyText"/>
        <w:numPr>
          <w:ilvl w:val="0"/>
          <w:numId w:val="22"/>
        </w:numPr>
      </w:pPr>
      <w:r w:rsidRPr="00A07F3E">
        <w:t>cost increases during the rebuilding period</w:t>
      </w:r>
    </w:p>
    <w:p w14:paraId="71F47241" w14:textId="6940681C" w:rsidR="006C5223" w:rsidRPr="00A07F3E" w:rsidRDefault="006C5223" w:rsidP="00D70B5C">
      <w:pPr>
        <w:pStyle w:val="BodyText"/>
        <w:numPr>
          <w:ilvl w:val="0"/>
          <w:numId w:val="22"/>
        </w:numPr>
      </w:pPr>
      <w:r w:rsidRPr="00A07F3E">
        <w:t>cost of demolition and removal of debris</w:t>
      </w:r>
      <w:r w:rsidR="00E4086F">
        <w:t>;</w:t>
      </w:r>
      <w:r w:rsidRPr="00A07F3E">
        <w:t xml:space="preserve"> </w:t>
      </w:r>
      <w:r w:rsidRPr="00FC7843">
        <w:t>and</w:t>
      </w:r>
    </w:p>
    <w:p w14:paraId="49D0292A" w14:textId="77777777" w:rsidR="006C5223" w:rsidRPr="00A07F3E" w:rsidRDefault="006C5223" w:rsidP="00D70B5C">
      <w:pPr>
        <w:pStyle w:val="BodyText"/>
        <w:numPr>
          <w:ilvl w:val="0"/>
          <w:numId w:val="22"/>
        </w:numPr>
      </w:pPr>
      <w:r w:rsidRPr="00A07F3E">
        <w:t xml:space="preserve">the following costs if not already included: </w:t>
      </w:r>
    </w:p>
    <w:p w14:paraId="51C80C58" w14:textId="77777777" w:rsidR="006C5223" w:rsidRPr="00A07F3E" w:rsidRDefault="006C5223">
      <w:pPr>
        <w:pStyle w:val="TableContent"/>
        <w:numPr>
          <w:ilvl w:val="0"/>
          <w:numId w:val="58"/>
        </w:numPr>
        <w:ind w:left="1071" w:hanging="357"/>
      </w:pPr>
      <w:r w:rsidRPr="00A07F3E">
        <w:t>cost of all relevant professional fees including, but not limited to, architects, engineers, solicitors, surveyors and planning consultants</w:t>
      </w:r>
    </w:p>
    <w:p w14:paraId="028E6EE1" w14:textId="30AF3CF1" w:rsidR="006C5223" w:rsidRPr="00A07F3E" w:rsidRDefault="006C5223">
      <w:pPr>
        <w:pStyle w:val="TableContent"/>
        <w:numPr>
          <w:ilvl w:val="0"/>
          <w:numId w:val="58"/>
        </w:numPr>
        <w:ind w:left="1071" w:hanging="357"/>
      </w:pPr>
      <w:r w:rsidRPr="00A07F3E">
        <w:t>any foreseeable associated or incidental costs</w:t>
      </w:r>
      <w:r w:rsidR="00E4086F">
        <w:t>;</w:t>
      </w:r>
      <w:r w:rsidRPr="00A07F3E">
        <w:t xml:space="preserve"> </w:t>
      </w:r>
      <w:r w:rsidRPr="00FC7843">
        <w:t>and</w:t>
      </w:r>
    </w:p>
    <w:p w14:paraId="2D405839" w14:textId="77777777" w:rsidR="006C5223" w:rsidRPr="00A07F3E" w:rsidRDefault="006C5223">
      <w:pPr>
        <w:pStyle w:val="TableContent"/>
        <w:numPr>
          <w:ilvl w:val="0"/>
          <w:numId w:val="58"/>
        </w:numPr>
        <w:ind w:left="1071" w:hanging="357"/>
      </w:pPr>
      <w:r w:rsidRPr="00A07F3E">
        <w:t>any additional costs due to planning restrictions or due to changes in regulations relating to fire, flood and occupational health and safety legislation.</w:t>
      </w:r>
    </w:p>
    <w:p w14:paraId="18855C2D" w14:textId="77777777" w:rsidR="006C5223" w:rsidRPr="00A07F3E" w:rsidRDefault="006C5223" w:rsidP="00D70B5C">
      <w:pPr>
        <w:pStyle w:val="BodyText"/>
      </w:pPr>
      <w:r w:rsidRPr="00A07F3E">
        <w:lastRenderedPageBreak/>
        <w:t>Some insurance companies may offer to provide their own valuations for the assets they are insuring. However, consideration needs to be given to whether this represents a conflict of interest by the insurance company as the level of cover provided by them and the associated premiums are linked directly to their own valuations. The use of a valuation provided by a valuer independent of the insurance company will provide a higher level of confidence that the values are not overstated (to achieve a higher premium) or understated (to ensure payouts are minimised). It is critical that entities ensure their insurance policies provide for the appropriate level of cover.</w:t>
      </w:r>
    </w:p>
    <w:p w14:paraId="4F2DF02E" w14:textId="135CE2C3" w:rsidR="006C5223" w:rsidRPr="00A07F3E" w:rsidRDefault="006C5223" w:rsidP="00D70B5C">
      <w:pPr>
        <w:pStyle w:val="BodyText"/>
      </w:pPr>
      <w:r w:rsidRPr="00A07F3E">
        <w:t>Similarly, the insurance companies may offer to provide the financial reporting valuations as part of the insurance valuation process. As with any financial reporting valuation, due consideration should also be given to the ability, qualifications and experience of the insurance valuer to undertake such valuations in accordance with the accounting standards. If they do not possess an expert understanding of the various accounting standards and concepts, they are unlikely to have the necessary skills and experience to undertake such valuations.</w:t>
      </w:r>
    </w:p>
    <w:p w14:paraId="3063F9A4" w14:textId="77777777" w:rsidR="006C5223" w:rsidRPr="00410278" w:rsidRDefault="006C5223" w:rsidP="006C5223">
      <w:pPr>
        <w:rPr>
          <w:rFonts w:ascii="Arial Rounded MT Bold" w:eastAsiaTheme="majorEastAsia" w:hAnsi="Arial Rounded MT Bold" w:cstheme="majorBidi"/>
          <w:color w:val="000000" w:themeColor="text1"/>
        </w:rPr>
      </w:pPr>
      <w:r>
        <w:br w:type="page"/>
      </w:r>
    </w:p>
    <w:p w14:paraId="5CECA97A" w14:textId="77777777" w:rsidR="00551466" w:rsidRDefault="00551466" w:rsidP="00551466">
      <w:pPr>
        <w:pStyle w:val="Heading1"/>
        <w:rPr>
          <w:szCs w:val="42"/>
        </w:rPr>
      </w:pPr>
      <w:bookmarkStart w:id="92" w:name="_Toc170118981"/>
      <w:bookmarkStart w:id="93" w:name="_Toc207722748"/>
      <w:bookmarkStart w:id="94" w:name="_Toc223445081"/>
      <w:r w:rsidRPr="00A07F3E">
        <w:rPr>
          <w:szCs w:val="42"/>
        </w:rPr>
        <w:lastRenderedPageBreak/>
        <w:t>Attachment A: Valuation under the accounting standards</w:t>
      </w:r>
      <w:bookmarkEnd w:id="92"/>
      <w:bookmarkEnd w:id="93"/>
      <w:bookmarkEnd w:id="94"/>
    </w:p>
    <w:p w14:paraId="24DA087F" w14:textId="61CCD906" w:rsidR="00042544" w:rsidRDefault="0011433F" w:rsidP="00EB57E0">
      <w:pPr>
        <w:pStyle w:val="BlockText"/>
      </w:pPr>
      <w:r w:rsidRPr="00A07F3E">
        <w:t>Attachment A provides guidance regarding the interpretation of AAS</w:t>
      </w:r>
      <w:r w:rsidR="00042544">
        <w:t xml:space="preserve">. </w:t>
      </w:r>
    </w:p>
    <w:p w14:paraId="1AD962FF" w14:textId="679A4871" w:rsidR="00551466" w:rsidRDefault="007771F1" w:rsidP="00EB57E0">
      <w:pPr>
        <w:pStyle w:val="BlockText"/>
      </w:pPr>
      <w:r>
        <w:t>Attachment A applies across all Australian jurisdictions. However,</w:t>
      </w:r>
      <w:r w:rsidRPr="007771F1">
        <w:t xml:space="preserve"> </w:t>
      </w:r>
      <w:r w:rsidRPr="009A058B">
        <w:t xml:space="preserve">Attachment A </w:t>
      </w:r>
      <w:r w:rsidRPr="00A07F3E">
        <w:t>does not consider jurisdictional legislation</w:t>
      </w:r>
      <w:r>
        <w:t xml:space="preserve"> </w:t>
      </w:r>
      <w:r w:rsidR="000B47B6">
        <w:t xml:space="preserve">which may override the guidance it provides. </w:t>
      </w:r>
      <w:r w:rsidR="00551466">
        <w:t xml:space="preserve">Consequently, </w:t>
      </w:r>
      <w:r w:rsidR="00551466" w:rsidRPr="00A07F3E">
        <w:t xml:space="preserve">if a conflict arises between jurisdictional legislation and the guidance provided in Attachment A, the jurisdictional legislation may take precedence. </w:t>
      </w:r>
    </w:p>
    <w:p w14:paraId="213CF7E9" w14:textId="318372D7" w:rsidR="00551466" w:rsidRPr="00551466" w:rsidRDefault="00551466" w:rsidP="00EB57E0">
      <w:pPr>
        <w:pStyle w:val="BlockText"/>
      </w:pPr>
      <w:r w:rsidRPr="009A058B">
        <w:t>Attachment A is applicable to WA, except as specifically excluded.</w:t>
      </w:r>
    </w:p>
    <w:p w14:paraId="587D0369" w14:textId="77777777" w:rsidR="00551466" w:rsidRPr="00A07F3E" w:rsidRDefault="00551466" w:rsidP="00551466">
      <w:pPr>
        <w:pStyle w:val="Heading2"/>
        <w:rPr>
          <w:b w:val="0"/>
          <w:bCs w:val="0"/>
        </w:rPr>
      </w:pPr>
      <w:bookmarkStart w:id="95" w:name="_Toc170118982"/>
      <w:bookmarkStart w:id="96" w:name="_Toc207722749"/>
      <w:bookmarkStart w:id="97" w:name="_Toc223445082"/>
      <w:r w:rsidRPr="00A07F3E">
        <w:t>Introduction</w:t>
      </w:r>
      <w:bookmarkEnd w:id="95"/>
      <w:bookmarkEnd w:id="96"/>
      <w:bookmarkEnd w:id="97"/>
      <w:r w:rsidRPr="00A07F3E">
        <w:t xml:space="preserve"> </w:t>
      </w:r>
    </w:p>
    <w:p w14:paraId="4EF8AE8E" w14:textId="6D7417D9" w:rsidR="00551466" w:rsidRPr="00A07F3E" w:rsidRDefault="00551466" w:rsidP="00D70B5C">
      <w:pPr>
        <w:pStyle w:val="BodyText"/>
      </w:pPr>
      <w:r w:rsidRPr="00A07F3E">
        <w:t>The objective of Attachment A is to provide guidance for compliance with AAS, exclusively from the perspective of the valuation of non-financial assets. It is not intended, nor should it be interpreted</w:t>
      </w:r>
      <w:r w:rsidR="00E4086F">
        <w:t>,</w:t>
      </w:r>
      <w:r w:rsidRPr="00A07F3E">
        <w:t xml:space="preserve"> as a complete guide regarding compliance with AAS. It should be noted that jurisdictional legislation may override the application of Attachment A. </w:t>
      </w:r>
    </w:p>
    <w:p w14:paraId="354D6E81" w14:textId="77777777" w:rsidR="00551466" w:rsidRPr="00A07F3E" w:rsidRDefault="00551466" w:rsidP="00D70B5C">
      <w:pPr>
        <w:pStyle w:val="BodyText"/>
      </w:pPr>
      <w:r w:rsidRPr="00A07F3E">
        <w:t xml:space="preserve">Accounting records are the exclusive domain of each specific entity. Consequently, each local government must ensure their accounting records comply with both AAS and any jurisdictional legislation. Local governments control a diverse range of asset types, ranging from land and buildings through to infrastructure and community assets. </w:t>
      </w:r>
    </w:p>
    <w:p w14:paraId="76951A6F" w14:textId="066319E4" w:rsidR="00551466" w:rsidRPr="00A07F3E" w:rsidRDefault="00551466" w:rsidP="00D70B5C">
      <w:pPr>
        <w:pStyle w:val="BodyText"/>
      </w:pPr>
      <w:r w:rsidRPr="00A07F3E">
        <w:t>The Guidelines address the following AAS:</w:t>
      </w:r>
    </w:p>
    <w:tbl>
      <w:tblPr>
        <w:tblStyle w:val="TableGrid"/>
        <w:tblW w:w="9639" w:type="dxa"/>
        <w:tblLook w:val="04A0" w:firstRow="1" w:lastRow="0" w:firstColumn="1" w:lastColumn="0" w:noHBand="0" w:noVBand="1"/>
      </w:tblPr>
      <w:tblGrid>
        <w:gridCol w:w="9639"/>
      </w:tblGrid>
      <w:tr w:rsidR="00551466" w:rsidRPr="00A07F3E" w14:paraId="6FA49741" w14:textId="77777777">
        <w:trPr>
          <w:tblHeader/>
        </w:trPr>
        <w:tc>
          <w:tcPr>
            <w:tcW w:w="9639" w:type="dxa"/>
            <w:shd w:val="clear" w:color="auto" w:fill="F2F2F2" w:themeFill="background1" w:themeFillShade="F2"/>
          </w:tcPr>
          <w:p w14:paraId="512410C8" w14:textId="77777777" w:rsidR="00551466" w:rsidRPr="00965203" w:rsidRDefault="00551466" w:rsidP="00965203">
            <w:pPr>
              <w:pStyle w:val="TableContent"/>
              <w:rPr>
                <w:b/>
                <w:bCs/>
                <w:sz w:val="24"/>
              </w:rPr>
            </w:pPr>
            <w:r w:rsidRPr="00965203">
              <w:rPr>
                <w:b/>
                <w:bCs/>
                <w:sz w:val="24"/>
              </w:rPr>
              <w:t>AASB Title</w:t>
            </w:r>
          </w:p>
        </w:tc>
      </w:tr>
      <w:tr w:rsidR="00551466" w:rsidRPr="00A07F3E" w14:paraId="248ED9FE" w14:textId="77777777">
        <w:tc>
          <w:tcPr>
            <w:tcW w:w="9639" w:type="dxa"/>
          </w:tcPr>
          <w:p w14:paraId="184B8736" w14:textId="77777777" w:rsidR="00551466" w:rsidRPr="00965203" w:rsidRDefault="00551466" w:rsidP="00965203">
            <w:pPr>
              <w:pStyle w:val="TableContent"/>
              <w:rPr>
                <w:sz w:val="24"/>
                <w:vertAlign w:val="superscript"/>
              </w:rPr>
            </w:pPr>
            <w:r w:rsidRPr="00965203">
              <w:rPr>
                <w:sz w:val="24"/>
              </w:rPr>
              <w:t>AASB 13 Fair Value Measurement (2022)</w:t>
            </w:r>
          </w:p>
        </w:tc>
      </w:tr>
      <w:tr w:rsidR="00551466" w:rsidRPr="00A07F3E" w14:paraId="183FE009" w14:textId="77777777">
        <w:tc>
          <w:tcPr>
            <w:tcW w:w="9639" w:type="dxa"/>
          </w:tcPr>
          <w:p w14:paraId="174DA1AB" w14:textId="77777777" w:rsidR="00551466" w:rsidRPr="00965203" w:rsidRDefault="00551466" w:rsidP="00965203">
            <w:pPr>
              <w:pStyle w:val="TableContent"/>
              <w:rPr>
                <w:sz w:val="24"/>
                <w:vertAlign w:val="superscript"/>
              </w:rPr>
            </w:pPr>
            <w:r w:rsidRPr="00965203">
              <w:rPr>
                <w:sz w:val="24"/>
              </w:rPr>
              <w:t>AASB 116 Property, Plant and Equipment (2022)</w:t>
            </w:r>
          </w:p>
        </w:tc>
      </w:tr>
      <w:tr w:rsidR="00551466" w:rsidRPr="00A07F3E" w14:paraId="58C07F7A" w14:textId="77777777">
        <w:tc>
          <w:tcPr>
            <w:tcW w:w="9639" w:type="dxa"/>
          </w:tcPr>
          <w:p w14:paraId="6582749C" w14:textId="77777777" w:rsidR="00551466" w:rsidRPr="00965203" w:rsidRDefault="00551466" w:rsidP="00965203">
            <w:pPr>
              <w:pStyle w:val="TableContent"/>
              <w:rPr>
                <w:sz w:val="24"/>
                <w:vertAlign w:val="superscript"/>
              </w:rPr>
            </w:pPr>
            <w:r w:rsidRPr="00965203">
              <w:rPr>
                <w:sz w:val="24"/>
              </w:rPr>
              <w:t>AASB 136 Impairment of Assets (2022)</w:t>
            </w:r>
          </w:p>
        </w:tc>
      </w:tr>
      <w:tr w:rsidR="00551466" w:rsidRPr="00A07F3E" w14:paraId="2668789F" w14:textId="77777777">
        <w:tc>
          <w:tcPr>
            <w:tcW w:w="9639" w:type="dxa"/>
          </w:tcPr>
          <w:p w14:paraId="6BE7605B" w14:textId="77777777" w:rsidR="00551466" w:rsidRPr="00965203" w:rsidRDefault="00551466" w:rsidP="00965203">
            <w:pPr>
              <w:pStyle w:val="TableContent"/>
              <w:rPr>
                <w:sz w:val="24"/>
                <w:vertAlign w:val="superscript"/>
              </w:rPr>
            </w:pPr>
            <w:r w:rsidRPr="00965203">
              <w:rPr>
                <w:sz w:val="24"/>
              </w:rPr>
              <w:t>AASB 140 Investment Property (2022)</w:t>
            </w:r>
          </w:p>
        </w:tc>
      </w:tr>
      <w:tr w:rsidR="00551466" w:rsidRPr="00A07F3E" w14:paraId="39BD36E0" w14:textId="77777777">
        <w:tc>
          <w:tcPr>
            <w:tcW w:w="9639" w:type="dxa"/>
          </w:tcPr>
          <w:p w14:paraId="10E84574" w14:textId="77777777" w:rsidR="00551466" w:rsidRPr="00965203" w:rsidRDefault="00551466" w:rsidP="00965203">
            <w:pPr>
              <w:pStyle w:val="TableContent"/>
              <w:rPr>
                <w:sz w:val="24"/>
              </w:rPr>
            </w:pPr>
            <w:r w:rsidRPr="00965203">
              <w:rPr>
                <w:sz w:val="24"/>
              </w:rPr>
              <w:t>AASB 108 Accounting Policies, Changes in Accounting Estimates and Errors (2021)</w:t>
            </w:r>
          </w:p>
        </w:tc>
      </w:tr>
      <w:tr w:rsidR="00551466" w:rsidRPr="00A07F3E" w14:paraId="306C4734" w14:textId="77777777">
        <w:tc>
          <w:tcPr>
            <w:tcW w:w="9639" w:type="dxa"/>
          </w:tcPr>
          <w:p w14:paraId="2AEF1102" w14:textId="77777777" w:rsidR="00551466" w:rsidRPr="00965203" w:rsidRDefault="00551466" w:rsidP="00965203">
            <w:pPr>
              <w:pStyle w:val="TableContent"/>
              <w:rPr>
                <w:sz w:val="24"/>
              </w:rPr>
            </w:pPr>
            <w:r w:rsidRPr="00965203">
              <w:rPr>
                <w:sz w:val="24"/>
              </w:rPr>
              <w:t>AASB 5 Non-current Assets Held for Sale and Discontinued Operations (2022)</w:t>
            </w:r>
          </w:p>
        </w:tc>
      </w:tr>
      <w:tr w:rsidR="00551466" w:rsidRPr="00A07F3E" w14:paraId="6F60F6C2" w14:textId="77777777">
        <w:tc>
          <w:tcPr>
            <w:tcW w:w="9639" w:type="dxa"/>
          </w:tcPr>
          <w:p w14:paraId="44F468B0" w14:textId="77777777" w:rsidR="00551466" w:rsidRPr="00965203" w:rsidRDefault="00551466" w:rsidP="00965203">
            <w:pPr>
              <w:pStyle w:val="TableContent"/>
              <w:rPr>
                <w:sz w:val="24"/>
              </w:rPr>
            </w:pPr>
            <w:r w:rsidRPr="00965203">
              <w:rPr>
                <w:sz w:val="24"/>
              </w:rPr>
              <w:t>AASB 137 Provisions, Contingent Liabilities and Contingent Assets (2022)</w:t>
            </w:r>
          </w:p>
        </w:tc>
      </w:tr>
      <w:tr w:rsidR="00551466" w:rsidRPr="00A07F3E" w14:paraId="4B590F44" w14:textId="77777777">
        <w:tc>
          <w:tcPr>
            <w:tcW w:w="9639" w:type="dxa"/>
          </w:tcPr>
          <w:p w14:paraId="75E773F9" w14:textId="77777777" w:rsidR="00551466" w:rsidRPr="00965203" w:rsidRDefault="00551466" w:rsidP="00965203">
            <w:pPr>
              <w:pStyle w:val="TableContent"/>
              <w:rPr>
                <w:sz w:val="24"/>
              </w:rPr>
            </w:pPr>
            <w:r w:rsidRPr="00965203">
              <w:rPr>
                <w:sz w:val="24"/>
              </w:rPr>
              <w:t>AASB 16 Leases (2022)</w:t>
            </w:r>
          </w:p>
        </w:tc>
      </w:tr>
      <w:tr w:rsidR="00551466" w:rsidRPr="00A07F3E" w14:paraId="7A8B71AE" w14:textId="77777777">
        <w:tc>
          <w:tcPr>
            <w:tcW w:w="9639" w:type="dxa"/>
          </w:tcPr>
          <w:p w14:paraId="32AB8EA0" w14:textId="77777777" w:rsidR="00551466" w:rsidRPr="00965203" w:rsidRDefault="00551466" w:rsidP="00965203">
            <w:pPr>
              <w:pStyle w:val="TableContent"/>
              <w:rPr>
                <w:sz w:val="24"/>
              </w:rPr>
            </w:pPr>
            <w:r w:rsidRPr="00965203">
              <w:rPr>
                <w:sz w:val="24"/>
              </w:rPr>
              <w:t>AASB 1051 Land Under Roads (2020)</w:t>
            </w:r>
          </w:p>
        </w:tc>
      </w:tr>
    </w:tbl>
    <w:p w14:paraId="3393E74C" w14:textId="77777777" w:rsidR="00E01055" w:rsidRDefault="00E01055" w:rsidP="00E01055">
      <w:pPr>
        <w:spacing w:after="160" w:line="278" w:lineRule="auto"/>
        <w:rPr>
          <w:rFonts w:cs="Arial"/>
        </w:rPr>
      </w:pPr>
      <w:r>
        <w:rPr>
          <w:rFonts w:cs="Arial"/>
        </w:rPr>
        <w:br w:type="page"/>
      </w:r>
    </w:p>
    <w:p w14:paraId="55169AE5" w14:textId="77777777" w:rsidR="008764AA" w:rsidRPr="00A07F3E" w:rsidRDefault="008764AA" w:rsidP="008764AA">
      <w:pPr>
        <w:pStyle w:val="Heading2"/>
        <w:rPr>
          <w:b w:val="0"/>
          <w:bCs w:val="0"/>
          <w:vertAlign w:val="superscript"/>
        </w:rPr>
      </w:pPr>
      <w:bookmarkStart w:id="98" w:name="_Toc170118983"/>
      <w:bookmarkStart w:id="99" w:name="_Toc207722750"/>
      <w:bookmarkStart w:id="100" w:name="_Toc223445083"/>
      <w:r w:rsidRPr="00A07F3E">
        <w:lastRenderedPageBreak/>
        <w:t>AASB 13 Fair Value Measurement</w:t>
      </w:r>
      <w:bookmarkEnd w:id="98"/>
      <w:r w:rsidRPr="00A07F3E">
        <w:t xml:space="preserve"> (2022)</w:t>
      </w:r>
      <w:bookmarkEnd w:id="99"/>
      <w:bookmarkEnd w:id="100"/>
    </w:p>
    <w:p w14:paraId="5F412B44" w14:textId="77777777" w:rsidR="008764AA" w:rsidRPr="00DF66A6" w:rsidRDefault="008764AA" w:rsidP="00DF66A6">
      <w:pPr>
        <w:pStyle w:val="Heading4"/>
      </w:pPr>
      <w:r w:rsidRPr="00DF66A6">
        <w:t>Definition of fair value</w:t>
      </w:r>
    </w:p>
    <w:p w14:paraId="6225B501" w14:textId="77777777" w:rsidR="008764AA" w:rsidRPr="00A07F3E" w:rsidRDefault="008764AA" w:rsidP="00D70B5C">
      <w:pPr>
        <w:pStyle w:val="BodyText"/>
      </w:pPr>
      <w:r w:rsidRPr="00A07F3E">
        <w:t xml:space="preserve">AASB 13 Fair Value Measurement (2022) defines fair value as follows: </w:t>
      </w:r>
    </w:p>
    <w:tbl>
      <w:tblPr>
        <w:tblStyle w:val="TableGrid"/>
        <w:tblW w:w="9639" w:type="dxa"/>
        <w:tblInd w:w="-5" w:type="dxa"/>
        <w:tblLayout w:type="fixed"/>
        <w:tblLook w:val="06A0" w:firstRow="1" w:lastRow="0" w:firstColumn="1" w:lastColumn="0" w:noHBand="1" w:noVBand="1"/>
      </w:tblPr>
      <w:tblGrid>
        <w:gridCol w:w="9639"/>
      </w:tblGrid>
      <w:tr w:rsidR="008764AA" w:rsidRPr="00A07F3E" w14:paraId="515C9348" w14:textId="77777777">
        <w:trPr>
          <w:trHeight w:val="300"/>
          <w:tblHeader/>
        </w:trPr>
        <w:tc>
          <w:tcPr>
            <w:tcW w:w="9072" w:type="dxa"/>
            <w:shd w:val="clear" w:color="auto" w:fill="F2F2F2" w:themeFill="background1" w:themeFillShade="F2"/>
          </w:tcPr>
          <w:p w14:paraId="5B9DD761" w14:textId="77777777" w:rsidR="008764AA" w:rsidRPr="008764AA" w:rsidRDefault="008764AA" w:rsidP="008764AA">
            <w:pPr>
              <w:pStyle w:val="TableContent"/>
              <w:rPr>
                <w:b/>
                <w:bCs/>
                <w:sz w:val="24"/>
              </w:rPr>
            </w:pPr>
            <w:r w:rsidRPr="008764AA">
              <w:rPr>
                <w:b/>
                <w:bCs/>
                <w:sz w:val="24"/>
              </w:rPr>
              <w:t>(AASB 2022:7)</w:t>
            </w:r>
          </w:p>
        </w:tc>
      </w:tr>
      <w:tr w:rsidR="008764AA" w:rsidRPr="00A07F3E" w14:paraId="5D4B5DA2" w14:textId="77777777">
        <w:trPr>
          <w:trHeight w:val="300"/>
        </w:trPr>
        <w:tc>
          <w:tcPr>
            <w:tcW w:w="9072" w:type="dxa"/>
          </w:tcPr>
          <w:p w14:paraId="678B1256" w14:textId="7F13A1CB" w:rsidR="008764AA" w:rsidRPr="00441BDF" w:rsidRDefault="008764AA" w:rsidP="00216155">
            <w:pPr>
              <w:pStyle w:val="TableContent"/>
              <w:ind w:left="284" w:hanging="284"/>
              <w:rPr>
                <w:i/>
                <w:iCs/>
                <w:sz w:val="24"/>
              </w:rPr>
            </w:pPr>
            <w:r w:rsidRPr="00441BDF">
              <w:rPr>
                <w:sz w:val="24"/>
              </w:rPr>
              <w:t>‘9 This Standard defines fair value as the price that would be received to sell an asset or paid to transfer a liability in an orderly transaction between market participants at the measurement date.’</w:t>
            </w:r>
          </w:p>
        </w:tc>
      </w:tr>
    </w:tbl>
    <w:p w14:paraId="2F53FB60" w14:textId="77777777" w:rsidR="008764AA" w:rsidRPr="00A07F3E" w:rsidRDefault="008764AA" w:rsidP="00D70B5C">
      <w:pPr>
        <w:pStyle w:val="BodyText"/>
        <w:rPr>
          <w:color w:val="FFFFFF" w:themeColor="background1"/>
        </w:rPr>
      </w:pPr>
      <w:r w:rsidRPr="00A07F3E">
        <w:t xml:space="preserve">AASB 13 Fair Value Measurement (2022) defines a ‘market participant’ and an ‘orderly transaction’ used in the definition of fair value as follows: </w:t>
      </w:r>
    </w:p>
    <w:tbl>
      <w:tblPr>
        <w:tblStyle w:val="TableGrid"/>
        <w:tblW w:w="9639" w:type="dxa"/>
        <w:tblInd w:w="-5" w:type="dxa"/>
        <w:tblLayout w:type="fixed"/>
        <w:tblLook w:val="06A0" w:firstRow="1" w:lastRow="0" w:firstColumn="1" w:lastColumn="0" w:noHBand="1" w:noVBand="1"/>
      </w:tblPr>
      <w:tblGrid>
        <w:gridCol w:w="9639"/>
      </w:tblGrid>
      <w:tr w:rsidR="008764AA" w:rsidRPr="00A07F3E" w14:paraId="6B37540A" w14:textId="77777777" w:rsidTr="04E1CD47">
        <w:trPr>
          <w:trHeight w:val="300"/>
          <w:tblHeader/>
        </w:trPr>
        <w:tc>
          <w:tcPr>
            <w:tcW w:w="9639" w:type="dxa"/>
            <w:shd w:val="clear" w:color="auto" w:fill="F2F2F2" w:themeFill="background2" w:themeFillShade="F2"/>
          </w:tcPr>
          <w:p w14:paraId="43DF5E74" w14:textId="77777777" w:rsidR="008764AA" w:rsidRPr="00215506" w:rsidRDefault="008764AA" w:rsidP="00215506">
            <w:pPr>
              <w:pStyle w:val="TableContent"/>
              <w:rPr>
                <w:b/>
                <w:bCs/>
                <w:sz w:val="24"/>
              </w:rPr>
            </w:pPr>
            <w:r w:rsidRPr="00215506">
              <w:rPr>
                <w:b/>
                <w:bCs/>
                <w:sz w:val="24"/>
              </w:rPr>
              <w:t>(AASB 2022:21-22)</w:t>
            </w:r>
          </w:p>
        </w:tc>
      </w:tr>
      <w:tr w:rsidR="008764AA" w:rsidRPr="00A07F3E" w14:paraId="63D4084C" w14:textId="77777777" w:rsidTr="04E1CD47">
        <w:trPr>
          <w:trHeight w:val="300"/>
        </w:trPr>
        <w:tc>
          <w:tcPr>
            <w:tcW w:w="9639" w:type="dxa"/>
            <w:tcBorders>
              <w:bottom w:val="single" w:sz="4" w:space="0" w:color="auto"/>
            </w:tcBorders>
          </w:tcPr>
          <w:p w14:paraId="44A003E9" w14:textId="2441941D" w:rsidR="008764AA" w:rsidRPr="00215506" w:rsidRDefault="00F34564" w:rsidP="04E1CD47">
            <w:pPr>
              <w:pStyle w:val="TableContent"/>
              <w:ind w:left="2268" w:hanging="2268"/>
              <w:rPr>
                <w:sz w:val="24"/>
              </w:rPr>
            </w:pPr>
            <w:r>
              <w:rPr>
                <w:b/>
                <w:bCs/>
                <w:sz w:val="24"/>
              </w:rPr>
              <w:t>‘</w:t>
            </w:r>
            <w:r w:rsidR="00D30A4F">
              <w:rPr>
                <w:b/>
                <w:bCs/>
                <w:sz w:val="24"/>
              </w:rPr>
              <w:t>M</w:t>
            </w:r>
            <w:r w:rsidR="5C3E9F13" w:rsidRPr="04E1CD47">
              <w:rPr>
                <w:b/>
                <w:bCs/>
                <w:sz w:val="24"/>
              </w:rPr>
              <w:t>arket participant</w:t>
            </w:r>
            <w:r w:rsidR="00D30A4F">
              <w:rPr>
                <w:b/>
                <w:bCs/>
                <w:sz w:val="24"/>
              </w:rPr>
              <w:t>:</w:t>
            </w:r>
            <w:r w:rsidR="5C3E9F13" w:rsidRPr="04E1CD47">
              <w:rPr>
                <w:sz w:val="24"/>
              </w:rPr>
              <w:t xml:space="preserve"> Buyers and sellers in the principal (or most advantageous) market for the asset or liability that have </w:t>
            </w:r>
            <w:proofErr w:type="gramStart"/>
            <w:r w:rsidR="5C3E9F13" w:rsidRPr="04E1CD47">
              <w:rPr>
                <w:sz w:val="24"/>
              </w:rPr>
              <w:t>all of</w:t>
            </w:r>
            <w:proofErr w:type="gramEnd"/>
            <w:r w:rsidR="5C3E9F13" w:rsidRPr="04E1CD47">
              <w:rPr>
                <w:sz w:val="24"/>
              </w:rPr>
              <w:t xml:space="preserve"> the following characteristics: </w:t>
            </w:r>
          </w:p>
          <w:p w14:paraId="49C2DA49" w14:textId="164FA778" w:rsidR="008764AA" w:rsidRPr="00215506" w:rsidRDefault="5C3E9F13" w:rsidP="04E1CD47">
            <w:pPr>
              <w:pStyle w:val="TableContent"/>
              <w:ind w:left="2665" w:hanging="397"/>
              <w:rPr>
                <w:sz w:val="24"/>
              </w:rPr>
            </w:pPr>
            <w:r w:rsidRPr="04E1CD47">
              <w:rPr>
                <w:sz w:val="24"/>
              </w:rPr>
              <w:t>(a) They are independent of each other, i</w:t>
            </w:r>
            <w:r w:rsidR="64AABB48" w:rsidRPr="04E1CD47">
              <w:rPr>
                <w:sz w:val="24"/>
              </w:rPr>
              <w:t>.</w:t>
            </w:r>
            <w:r w:rsidRPr="04E1CD47">
              <w:rPr>
                <w:sz w:val="24"/>
              </w:rPr>
              <w:t>e</w:t>
            </w:r>
            <w:r w:rsidR="7B8DD26C" w:rsidRPr="04E1CD47">
              <w:rPr>
                <w:sz w:val="24"/>
              </w:rPr>
              <w:t>.</w:t>
            </w:r>
            <w:r w:rsidRPr="04E1CD47">
              <w:rPr>
                <w:sz w:val="24"/>
              </w:rPr>
              <w:t xml:space="preserve"> they are not related parties as defined in AASB 124, although the price in a related party transaction may be used as an input to a fair value measurement if the entity has evidence that the transaction was entered into at market terms. </w:t>
            </w:r>
          </w:p>
          <w:p w14:paraId="533CF7C9" w14:textId="77777777" w:rsidR="008764AA" w:rsidRPr="00215506" w:rsidRDefault="008764AA" w:rsidP="007D0A91">
            <w:pPr>
              <w:pStyle w:val="TableContent"/>
              <w:ind w:left="2665" w:hanging="397"/>
              <w:rPr>
                <w:sz w:val="24"/>
              </w:rPr>
            </w:pPr>
            <w:r w:rsidRPr="00215506">
              <w:rPr>
                <w:sz w:val="24"/>
              </w:rPr>
              <w:t>(b) They are knowledgeable, having a reasonable understanding about the asset or liability and the transaction using all available information, including information that might be obtained through due diligence efforts that are usual and customary.</w:t>
            </w:r>
          </w:p>
          <w:p w14:paraId="64FACEFB" w14:textId="77777777" w:rsidR="008764AA" w:rsidRPr="00215506" w:rsidRDefault="008764AA" w:rsidP="007D0A91">
            <w:pPr>
              <w:pStyle w:val="TableContent"/>
              <w:ind w:left="2665" w:hanging="397"/>
              <w:rPr>
                <w:sz w:val="24"/>
              </w:rPr>
            </w:pPr>
            <w:r w:rsidRPr="00215506">
              <w:rPr>
                <w:sz w:val="24"/>
              </w:rPr>
              <w:t xml:space="preserve">(c) They </w:t>
            </w:r>
            <w:proofErr w:type="gramStart"/>
            <w:r w:rsidRPr="00215506">
              <w:rPr>
                <w:sz w:val="24"/>
              </w:rPr>
              <w:t>are able to</w:t>
            </w:r>
            <w:proofErr w:type="gramEnd"/>
            <w:r w:rsidRPr="00215506">
              <w:rPr>
                <w:sz w:val="24"/>
              </w:rPr>
              <w:t xml:space="preserve"> </w:t>
            </w:r>
            <w:proofErr w:type="gramStart"/>
            <w:r w:rsidRPr="00215506">
              <w:rPr>
                <w:sz w:val="24"/>
              </w:rPr>
              <w:t>enter into</w:t>
            </w:r>
            <w:proofErr w:type="gramEnd"/>
            <w:r w:rsidRPr="00215506">
              <w:rPr>
                <w:sz w:val="24"/>
              </w:rPr>
              <w:t xml:space="preserve"> a transaction for the asset or liability. </w:t>
            </w:r>
          </w:p>
          <w:p w14:paraId="04E361C8" w14:textId="7AC6EA02" w:rsidR="008764AA" w:rsidRPr="00215506" w:rsidRDefault="5C3E9F13" w:rsidP="04E1CD47">
            <w:pPr>
              <w:pStyle w:val="TableContent"/>
              <w:ind w:left="2665" w:hanging="397"/>
              <w:rPr>
                <w:sz w:val="24"/>
              </w:rPr>
            </w:pPr>
            <w:r w:rsidRPr="04E1CD47">
              <w:rPr>
                <w:sz w:val="24"/>
              </w:rPr>
              <w:t xml:space="preserve">(d) They are willing to </w:t>
            </w:r>
            <w:proofErr w:type="gramStart"/>
            <w:r w:rsidRPr="04E1CD47">
              <w:rPr>
                <w:sz w:val="24"/>
              </w:rPr>
              <w:t>enter into</w:t>
            </w:r>
            <w:proofErr w:type="gramEnd"/>
            <w:r w:rsidRPr="04E1CD47">
              <w:rPr>
                <w:sz w:val="24"/>
              </w:rPr>
              <w:t xml:space="preserve"> a transaction for the asset or liability, i</w:t>
            </w:r>
            <w:r w:rsidR="00FA3958">
              <w:rPr>
                <w:sz w:val="24"/>
              </w:rPr>
              <w:t>.</w:t>
            </w:r>
            <w:r w:rsidRPr="04E1CD47">
              <w:rPr>
                <w:sz w:val="24"/>
              </w:rPr>
              <w:t>e</w:t>
            </w:r>
            <w:r w:rsidR="00FA3958">
              <w:rPr>
                <w:sz w:val="24"/>
              </w:rPr>
              <w:t>.</w:t>
            </w:r>
            <w:r w:rsidRPr="04E1CD47">
              <w:rPr>
                <w:sz w:val="24"/>
              </w:rPr>
              <w:t xml:space="preserve"> they are motivated but not forced or otherwise compelled to do so.</w:t>
            </w:r>
            <w:r w:rsidR="00F34564">
              <w:rPr>
                <w:sz w:val="24"/>
              </w:rPr>
              <w:t>’</w:t>
            </w:r>
          </w:p>
          <w:p w14:paraId="222AED08" w14:textId="69D2FD8D" w:rsidR="008764AA" w:rsidRPr="00215506" w:rsidRDefault="00F34564" w:rsidP="04E1CD47">
            <w:pPr>
              <w:pStyle w:val="TableContent"/>
              <w:ind w:left="2268" w:hanging="2268"/>
              <w:rPr>
                <w:i/>
                <w:iCs/>
                <w:sz w:val="24"/>
              </w:rPr>
            </w:pPr>
            <w:r>
              <w:rPr>
                <w:b/>
                <w:bCs/>
                <w:sz w:val="24"/>
              </w:rPr>
              <w:t>‘</w:t>
            </w:r>
            <w:r w:rsidR="00D30A4F">
              <w:rPr>
                <w:b/>
                <w:bCs/>
                <w:sz w:val="24"/>
              </w:rPr>
              <w:t>O</w:t>
            </w:r>
            <w:r w:rsidR="5C3E9F13" w:rsidRPr="04E1CD47">
              <w:rPr>
                <w:b/>
                <w:bCs/>
                <w:sz w:val="24"/>
              </w:rPr>
              <w:t>rderly transaction</w:t>
            </w:r>
            <w:r w:rsidR="00D30A4F">
              <w:rPr>
                <w:b/>
                <w:bCs/>
                <w:sz w:val="24"/>
              </w:rPr>
              <w:t>:</w:t>
            </w:r>
            <w:r w:rsidR="5C3E9F13" w:rsidRPr="04E1CD47">
              <w:rPr>
                <w:sz w:val="24"/>
              </w:rPr>
              <w:t xml:space="preserve"> A transaction that assumes exposure to the market for a period before the measurement date to allow for marketing activities that are usual and customary for transactions involving such assets or liabilities; it is not a forced transaction (e</w:t>
            </w:r>
            <w:r w:rsidR="653A2C9C" w:rsidRPr="04E1CD47">
              <w:rPr>
                <w:sz w:val="24"/>
              </w:rPr>
              <w:t>.</w:t>
            </w:r>
            <w:r w:rsidR="5C3E9F13" w:rsidRPr="04E1CD47">
              <w:rPr>
                <w:sz w:val="24"/>
              </w:rPr>
              <w:t>g</w:t>
            </w:r>
            <w:r w:rsidR="01B107E7" w:rsidRPr="04E1CD47">
              <w:rPr>
                <w:sz w:val="24"/>
              </w:rPr>
              <w:t>.</w:t>
            </w:r>
            <w:r w:rsidR="5C3E9F13" w:rsidRPr="04E1CD47">
              <w:rPr>
                <w:sz w:val="24"/>
              </w:rPr>
              <w:t xml:space="preserve"> a forced liquidation or distress sale).</w:t>
            </w:r>
            <w:r>
              <w:rPr>
                <w:sz w:val="24"/>
              </w:rPr>
              <w:t>’</w:t>
            </w:r>
          </w:p>
        </w:tc>
      </w:tr>
      <w:tr w:rsidR="008764AA" w:rsidRPr="00A07F3E" w14:paraId="71ACA3CE" w14:textId="77777777" w:rsidTr="04E1CD47">
        <w:trPr>
          <w:trHeight w:val="300"/>
        </w:trPr>
        <w:tc>
          <w:tcPr>
            <w:tcW w:w="9639" w:type="dxa"/>
            <w:shd w:val="clear" w:color="auto" w:fill="F2F2F2" w:themeFill="background2" w:themeFillShade="F2"/>
          </w:tcPr>
          <w:p w14:paraId="584F34E2" w14:textId="77777777" w:rsidR="008764AA" w:rsidRPr="00215506" w:rsidRDefault="008764AA" w:rsidP="00215506">
            <w:pPr>
              <w:pStyle w:val="TableContent"/>
              <w:rPr>
                <w:b/>
                <w:bCs/>
                <w:sz w:val="24"/>
              </w:rPr>
            </w:pPr>
            <w:r w:rsidRPr="00215506">
              <w:rPr>
                <w:b/>
                <w:bCs/>
                <w:sz w:val="24"/>
              </w:rPr>
              <w:t>Interpretation (AASB 2022:21-22)</w:t>
            </w:r>
          </w:p>
        </w:tc>
      </w:tr>
      <w:tr w:rsidR="008764AA" w:rsidRPr="00A07F3E" w14:paraId="4E2C58B1" w14:textId="77777777" w:rsidTr="04E1CD47">
        <w:trPr>
          <w:trHeight w:val="300"/>
        </w:trPr>
        <w:tc>
          <w:tcPr>
            <w:tcW w:w="9639" w:type="dxa"/>
          </w:tcPr>
          <w:p w14:paraId="071510A6" w14:textId="77777777" w:rsidR="008764AA" w:rsidRPr="00215506" w:rsidRDefault="008764AA" w:rsidP="00215506">
            <w:pPr>
              <w:pStyle w:val="TableContent"/>
              <w:rPr>
                <w:sz w:val="24"/>
              </w:rPr>
            </w:pPr>
            <w:r w:rsidRPr="00215506">
              <w:rPr>
                <w:sz w:val="24"/>
              </w:rPr>
              <w:t xml:space="preserve">Fair value measurement is about establishing an objective and proper value for an asset (selling price). In other words, fair value measurement excludes bias. </w:t>
            </w:r>
          </w:p>
        </w:tc>
      </w:tr>
    </w:tbl>
    <w:p w14:paraId="3109AE6A" w14:textId="77777777" w:rsidR="00BC6D6A" w:rsidRDefault="00BC6D6A">
      <w:pPr>
        <w:spacing w:after="0" w:line="240" w:lineRule="auto"/>
        <w:rPr>
          <w:rFonts w:cs="Arial"/>
          <w:b/>
          <w:bCs/>
          <w:color w:val="000000"/>
        </w:rPr>
      </w:pPr>
      <w:r>
        <w:rPr>
          <w:rFonts w:cs="Arial"/>
          <w:b/>
          <w:bCs/>
          <w:color w:val="000000"/>
        </w:rPr>
        <w:br w:type="page"/>
      </w:r>
    </w:p>
    <w:p w14:paraId="16535479" w14:textId="48B3B3E8" w:rsidR="008764AA" w:rsidRPr="00A07F3E" w:rsidRDefault="008764AA" w:rsidP="004D21F9">
      <w:pPr>
        <w:pStyle w:val="Heading4"/>
      </w:pPr>
      <w:r w:rsidRPr="00A07F3E">
        <w:lastRenderedPageBreak/>
        <w:t>‘Highest and best use’ of non-financial assets</w:t>
      </w:r>
    </w:p>
    <w:p w14:paraId="15DC5517" w14:textId="77777777" w:rsidR="008764AA" w:rsidRPr="00A07F3E" w:rsidRDefault="008764AA" w:rsidP="00D70B5C">
      <w:pPr>
        <w:pStyle w:val="BodyText"/>
        <w:rPr>
          <w:b/>
          <w:bCs/>
        </w:rPr>
      </w:pPr>
      <w:r w:rsidRPr="00A07F3E">
        <w:t>AASB 13 Fair Value Measurement (2022) states regarding the ‘highest and best use’ for non-financial assets:</w:t>
      </w:r>
    </w:p>
    <w:tbl>
      <w:tblPr>
        <w:tblStyle w:val="TableGrid"/>
        <w:tblW w:w="9639" w:type="dxa"/>
        <w:tblInd w:w="-5" w:type="dxa"/>
        <w:tblLayout w:type="fixed"/>
        <w:tblLook w:val="06A0" w:firstRow="1" w:lastRow="0" w:firstColumn="1" w:lastColumn="0" w:noHBand="1" w:noVBand="1"/>
      </w:tblPr>
      <w:tblGrid>
        <w:gridCol w:w="9639"/>
      </w:tblGrid>
      <w:tr w:rsidR="008764AA" w:rsidRPr="00D17049" w14:paraId="16BABA5F" w14:textId="77777777" w:rsidTr="04E1CD47">
        <w:trPr>
          <w:trHeight w:val="300"/>
          <w:tblHeader/>
        </w:trPr>
        <w:tc>
          <w:tcPr>
            <w:tcW w:w="9639" w:type="dxa"/>
            <w:shd w:val="clear" w:color="auto" w:fill="F2F2F2" w:themeFill="background2" w:themeFillShade="F2"/>
          </w:tcPr>
          <w:p w14:paraId="40B9107F" w14:textId="77777777" w:rsidR="008764AA" w:rsidRPr="00B356D1" w:rsidRDefault="008764AA" w:rsidP="00D17049">
            <w:pPr>
              <w:pStyle w:val="TableContent"/>
              <w:rPr>
                <w:b/>
                <w:bCs/>
                <w:sz w:val="24"/>
              </w:rPr>
            </w:pPr>
            <w:r w:rsidRPr="00B356D1">
              <w:rPr>
                <w:b/>
                <w:bCs/>
                <w:sz w:val="24"/>
              </w:rPr>
              <w:t>(AASB 2022: 8)</w:t>
            </w:r>
          </w:p>
        </w:tc>
      </w:tr>
      <w:tr w:rsidR="008764AA" w:rsidRPr="00D17049" w14:paraId="6E242FEA" w14:textId="77777777" w:rsidTr="04E1CD47">
        <w:trPr>
          <w:trHeight w:val="300"/>
        </w:trPr>
        <w:tc>
          <w:tcPr>
            <w:tcW w:w="9639" w:type="dxa"/>
          </w:tcPr>
          <w:p w14:paraId="148C8703" w14:textId="52258870" w:rsidR="008764AA" w:rsidRPr="00441BDF" w:rsidRDefault="005B2E25" w:rsidP="04E1CD47">
            <w:pPr>
              <w:pStyle w:val="TableContent"/>
              <w:ind w:left="397" w:hanging="397"/>
              <w:rPr>
                <w:i/>
                <w:iCs/>
                <w:sz w:val="24"/>
              </w:rPr>
            </w:pPr>
            <w:r w:rsidRPr="00441BDF">
              <w:rPr>
                <w:i/>
                <w:iCs/>
                <w:sz w:val="24"/>
              </w:rPr>
              <w:t>‘</w:t>
            </w:r>
            <w:r w:rsidR="5C3E9F13" w:rsidRPr="00441BDF">
              <w:rPr>
                <w:sz w:val="24"/>
              </w:rPr>
              <w:t>27 A fair value measurement of a non-financial asset takes into account a market participant’s ability to generate economic benefits by using the asset in its highest and best use or by selling it to another market participant that would use the asset in its highest and best use.</w:t>
            </w:r>
            <w:r w:rsidR="008764AA" w:rsidRPr="00441BDF">
              <w:rPr>
                <w:sz w:val="24"/>
              </w:rPr>
              <w:t>’</w:t>
            </w:r>
          </w:p>
        </w:tc>
      </w:tr>
    </w:tbl>
    <w:tbl>
      <w:tblPr>
        <w:tblStyle w:val="TableGrid"/>
        <w:tblW w:w="0" w:type="auto"/>
        <w:tblLook w:val="04A0" w:firstRow="1" w:lastRow="0" w:firstColumn="1" w:lastColumn="0" w:noHBand="0" w:noVBand="1"/>
      </w:tblPr>
      <w:tblGrid>
        <w:gridCol w:w="9607"/>
      </w:tblGrid>
      <w:tr w:rsidR="008764AA" w:rsidRPr="00D17049" w14:paraId="5EF96B20" w14:textId="77777777">
        <w:tc>
          <w:tcPr>
            <w:tcW w:w="9607" w:type="dxa"/>
            <w:shd w:val="clear" w:color="auto" w:fill="F2F2F2" w:themeFill="background1" w:themeFillShade="F2"/>
          </w:tcPr>
          <w:p w14:paraId="7D4F1C30" w14:textId="77777777" w:rsidR="008764AA" w:rsidRPr="007D69B5" w:rsidRDefault="008764AA" w:rsidP="00D17049">
            <w:pPr>
              <w:pStyle w:val="TableContent"/>
              <w:rPr>
                <w:b/>
                <w:bCs/>
                <w:sz w:val="24"/>
              </w:rPr>
            </w:pPr>
            <w:r w:rsidRPr="007D69B5">
              <w:rPr>
                <w:b/>
                <w:bCs/>
                <w:sz w:val="24"/>
              </w:rPr>
              <w:t>Interpretation (AASB 2022: 8)</w:t>
            </w:r>
          </w:p>
        </w:tc>
      </w:tr>
      <w:tr w:rsidR="008764AA" w:rsidRPr="00D17049" w14:paraId="1CA27AD5" w14:textId="77777777">
        <w:tc>
          <w:tcPr>
            <w:tcW w:w="9607" w:type="dxa"/>
          </w:tcPr>
          <w:p w14:paraId="218F970C" w14:textId="77777777" w:rsidR="008764AA" w:rsidRPr="00D17049" w:rsidRDefault="008764AA" w:rsidP="00D17049">
            <w:pPr>
              <w:pStyle w:val="TableContent"/>
              <w:rPr>
                <w:sz w:val="24"/>
              </w:rPr>
            </w:pPr>
            <w:r w:rsidRPr="00D17049">
              <w:rPr>
                <w:sz w:val="24"/>
              </w:rPr>
              <w:t>A fair value measurement of a non-financial asset focuses on maximising the asset’s value by valuing the ‘highest and best use’ of the asset. Consequently, if an entity does not maximise the value of the non-financial asset in its own operational activities, it can sell it to another market participant who would apply the asset for its ‘highest and best use’. Therefore, it means a non-financial asset’s fair value measurement must consider alternative uses of the asset which may maximise its value.</w:t>
            </w:r>
          </w:p>
        </w:tc>
      </w:tr>
    </w:tbl>
    <w:p w14:paraId="204EFE32" w14:textId="77777777" w:rsidR="008764AA" w:rsidRPr="00BD7145" w:rsidRDefault="008764AA" w:rsidP="00BD7145">
      <w:pPr>
        <w:pStyle w:val="Heading4"/>
      </w:pPr>
      <w:r w:rsidRPr="00BD7145">
        <w:t>Criteria for ‘highest and best use’</w:t>
      </w:r>
    </w:p>
    <w:p w14:paraId="117A7C37" w14:textId="77777777" w:rsidR="008764AA" w:rsidRPr="00A07F3E" w:rsidRDefault="008764AA" w:rsidP="00D70B5C">
      <w:pPr>
        <w:pStyle w:val="BodyText"/>
      </w:pPr>
      <w:r w:rsidRPr="00A07F3E">
        <w:t>AASB 13 Fair Value Measurement (2022) states regarding ‘highest and best use’ criteria:</w:t>
      </w:r>
    </w:p>
    <w:tbl>
      <w:tblPr>
        <w:tblStyle w:val="TableGrid"/>
        <w:tblW w:w="9639" w:type="dxa"/>
        <w:tblLayout w:type="fixed"/>
        <w:tblLook w:val="06A0" w:firstRow="1" w:lastRow="0" w:firstColumn="1" w:lastColumn="0" w:noHBand="1" w:noVBand="1"/>
      </w:tblPr>
      <w:tblGrid>
        <w:gridCol w:w="9639"/>
      </w:tblGrid>
      <w:tr w:rsidR="008764AA" w:rsidRPr="00A07F3E" w14:paraId="3773CBF9" w14:textId="77777777" w:rsidTr="04E1CD47">
        <w:trPr>
          <w:trHeight w:val="300"/>
          <w:tblHeader/>
        </w:trPr>
        <w:tc>
          <w:tcPr>
            <w:tcW w:w="9639" w:type="dxa"/>
            <w:shd w:val="clear" w:color="auto" w:fill="F2F2F2" w:themeFill="background2" w:themeFillShade="F2"/>
          </w:tcPr>
          <w:p w14:paraId="22FBF85D" w14:textId="77777777" w:rsidR="008764AA" w:rsidRPr="00B10D65" w:rsidRDefault="008764AA" w:rsidP="00B10D65">
            <w:pPr>
              <w:pStyle w:val="TableContent"/>
              <w:rPr>
                <w:b/>
                <w:bCs/>
                <w:sz w:val="24"/>
              </w:rPr>
            </w:pPr>
            <w:r w:rsidRPr="00B10D65">
              <w:rPr>
                <w:b/>
                <w:bCs/>
                <w:sz w:val="24"/>
              </w:rPr>
              <w:t>(AASB 2022:8)</w:t>
            </w:r>
          </w:p>
        </w:tc>
      </w:tr>
      <w:tr w:rsidR="008764AA" w:rsidRPr="00A07F3E" w14:paraId="0CA3CE2C" w14:textId="77777777" w:rsidTr="04E1CD47">
        <w:trPr>
          <w:trHeight w:val="300"/>
        </w:trPr>
        <w:tc>
          <w:tcPr>
            <w:tcW w:w="9639" w:type="dxa"/>
          </w:tcPr>
          <w:p w14:paraId="7064CE2B" w14:textId="77777777" w:rsidR="008764AA" w:rsidRPr="00B10D65" w:rsidRDefault="008764AA" w:rsidP="04E1CD47">
            <w:pPr>
              <w:pStyle w:val="TableContent"/>
              <w:ind w:left="397" w:hanging="397"/>
              <w:rPr>
                <w:sz w:val="24"/>
              </w:rPr>
            </w:pPr>
            <w:r w:rsidRPr="04E1CD47">
              <w:rPr>
                <w:sz w:val="24"/>
              </w:rPr>
              <w:t>‘</w:t>
            </w:r>
            <w:r w:rsidR="5C3E9F13" w:rsidRPr="04E1CD47">
              <w:rPr>
                <w:sz w:val="24"/>
              </w:rPr>
              <w:t xml:space="preserve">28 The highest and best use of a non-financial asset </w:t>
            </w:r>
            <w:proofErr w:type="gramStart"/>
            <w:r w:rsidR="5C3E9F13" w:rsidRPr="04E1CD47">
              <w:rPr>
                <w:sz w:val="24"/>
              </w:rPr>
              <w:t>takes into account</w:t>
            </w:r>
            <w:proofErr w:type="gramEnd"/>
            <w:r w:rsidR="5C3E9F13" w:rsidRPr="04E1CD47">
              <w:rPr>
                <w:sz w:val="24"/>
              </w:rPr>
              <w:t xml:space="preserve"> the use of the asset that is physically possible, legally permissible and financially feasible, as follows: </w:t>
            </w:r>
          </w:p>
          <w:p w14:paraId="66464918" w14:textId="77777777" w:rsidR="008764AA" w:rsidRPr="00B10D65" w:rsidRDefault="008764AA" w:rsidP="00B10D65">
            <w:pPr>
              <w:pStyle w:val="TableContent"/>
              <w:ind w:left="794" w:hanging="397"/>
              <w:rPr>
                <w:sz w:val="24"/>
              </w:rPr>
            </w:pPr>
            <w:r w:rsidRPr="00B10D65">
              <w:rPr>
                <w:sz w:val="24"/>
              </w:rPr>
              <w:t xml:space="preserve">(a) A use that is physically </w:t>
            </w:r>
            <w:proofErr w:type="gramStart"/>
            <w:r w:rsidRPr="00B10D65">
              <w:rPr>
                <w:sz w:val="24"/>
              </w:rPr>
              <w:t>possible</w:t>
            </w:r>
            <w:proofErr w:type="gramEnd"/>
            <w:r w:rsidRPr="00B10D65">
              <w:rPr>
                <w:sz w:val="24"/>
              </w:rPr>
              <w:t xml:space="preserve"> </w:t>
            </w:r>
            <w:proofErr w:type="gramStart"/>
            <w:r w:rsidRPr="00B10D65">
              <w:rPr>
                <w:sz w:val="24"/>
              </w:rPr>
              <w:t>takes into account</w:t>
            </w:r>
            <w:proofErr w:type="gramEnd"/>
            <w:r w:rsidRPr="00B10D65">
              <w:rPr>
                <w:sz w:val="24"/>
              </w:rPr>
              <w:t xml:space="preserve"> the physical characteristics of the asset that market participants would </w:t>
            </w:r>
            <w:proofErr w:type="gramStart"/>
            <w:r w:rsidRPr="00B10D65">
              <w:rPr>
                <w:sz w:val="24"/>
              </w:rPr>
              <w:t>take into account</w:t>
            </w:r>
            <w:proofErr w:type="gramEnd"/>
            <w:r w:rsidRPr="00B10D65">
              <w:rPr>
                <w:sz w:val="24"/>
              </w:rPr>
              <w:t xml:space="preserve"> when pricing the asset (</w:t>
            </w:r>
            <w:proofErr w:type="spellStart"/>
            <w:r w:rsidRPr="00B10D65">
              <w:rPr>
                <w:sz w:val="24"/>
              </w:rPr>
              <w:t>eg</w:t>
            </w:r>
            <w:proofErr w:type="spellEnd"/>
            <w:r w:rsidRPr="00B10D65">
              <w:rPr>
                <w:sz w:val="24"/>
              </w:rPr>
              <w:t xml:space="preserve"> the location or size of a property). </w:t>
            </w:r>
          </w:p>
          <w:p w14:paraId="316F1920" w14:textId="77777777" w:rsidR="008764AA" w:rsidRPr="00B10D65" w:rsidRDefault="008764AA" w:rsidP="00B10D65">
            <w:pPr>
              <w:pStyle w:val="TableContent"/>
              <w:ind w:left="794" w:hanging="397"/>
              <w:rPr>
                <w:sz w:val="24"/>
              </w:rPr>
            </w:pPr>
            <w:r w:rsidRPr="00B10D65">
              <w:rPr>
                <w:sz w:val="24"/>
              </w:rPr>
              <w:t xml:space="preserve">(b) A use that is legally permissible </w:t>
            </w:r>
            <w:proofErr w:type="gramStart"/>
            <w:r w:rsidRPr="00B10D65">
              <w:rPr>
                <w:sz w:val="24"/>
              </w:rPr>
              <w:t>takes into account</w:t>
            </w:r>
            <w:proofErr w:type="gramEnd"/>
            <w:r w:rsidRPr="00B10D65">
              <w:rPr>
                <w:sz w:val="24"/>
              </w:rPr>
              <w:t xml:space="preserve"> any legal restrictions on the use of the asset that market participants would </w:t>
            </w:r>
            <w:proofErr w:type="gramStart"/>
            <w:r w:rsidRPr="00B10D65">
              <w:rPr>
                <w:sz w:val="24"/>
              </w:rPr>
              <w:t>take into account</w:t>
            </w:r>
            <w:proofErr w:type="gramEnd"/>
            <w:r w:rsidRPr="00B10D65">
              <w:rPr>
                <w:sz w:val="24"/>
              </w:rPr>
              <w:t xml:space="preserve"> when pricing the asset (</w:t>
            </w:r>
            <w:proofErr w:type="spellStart"/>
            <w:r w:rsidRPr="00B10D65">
              <w:rPr>
                <w:sz w:val="24"/>
              </w:rPr>
              <w:t>eg</w:t>
            </w:r>
            <w:proofErr w:type="spellEnd"/>
            <w:r w:rsidRPr="00B10D65">
              <w:rPr>
                <w:sz w:val="24"/>
              </w:rPr>
              <w:t xml:space="preserve"> the zoning regulations applicable to a property). </w:t>
            </w:r>
          </w:p>
          <w:p w14:paraId="0E23C0B0" w14:textId="77777777" w:rsidR="008764AA" w:rsidRPr="00B10D65" w:rsidRDefault="5C3E9F13" w:rsidP="04E1CD47">
            <w:pPr>
              <w:pStyle w:val="TableContent"/>
              <w:ind w:left="794" w:hanging="397"/>
              <w:rPr>
                <w:sz w:val="24"/>
              </w:rPr>
            </w:pPr>
            <w:r w:rsidRPr="04E1CD47">
              <w:rPr>
                <w:sz w:val="24"/>
              </w:rPr>
              <w:t>(c) A use that is financially feasible takes into account whether a use of the asset that is physically possible and legally permissible generates adequate income or cash flows (taking into account the costs of converting the asset to that use) to produce an investment return that market participants would require from an investment in that asset put to that use.</w:t>
            </w:r>
            <w:r w:rsidR="008764AA" w:rsidRPr="04E1CD47">
              <w:rPr>
                <w:sz w:val="24"/>
              </w:rPr>
              <w:t>’</w:t>
            </w:r>
          </w:p>
        </w:tc>
      </w:tr>
    </w:tbl>
    <w:p w14:paraId="5BFABADF" w14:textId="77777777" w:rsidR="00D92BA1" w:rsidRDefault="00D92BA1" w:rsidP="04E1CD47">
      <w:pPr>
        <w:pStyle w:val="TableContent"/>
        <w:ind w:left="851" w:hanging="851"/>
        <w:sectPr w:rsidR="00D92BA1" w:rsidSect="00F57F84">
          <w:pgSz w:w="11920" w:h="16840"/>
          <w:pgMar w:top="1440" w:right="863" w:bottom="1440" w:left="1440" w:header="720" w:footer="282" w:gutter="0"/>
          <w:cols w:space="720"/>
        </w:sectPr>
      </w:pPr>
    </w:p>
    <w:tbl>
      <w:tblPr>
        <w:tblStyle w:val="TableGrid"/>
        <w:tblW w:w="9639" w:type="dxa"/>
        <w:tblLayout w:type="fixed"/>
        <w:tblLook w:val="06A0" w:firstRow="1" w:lastRow="0" w:firstColumn="1" w:lastColumn="0" w:noHBand="1" w:noVBand="1"/>
      </w:tblPr>
      <w:tblGrid>
        <w:gridCol w:w="9639"/>
      </w:tblGrid>
      <w:tr w:rsidR="008764AA" w:rsidRPr="00A07F3E" w14:paraId="1E68C16A" w14:textId="77777777" w:rsidTr="04E1CD47">
        <w:trPr>
          <w:trHeight w:val="300"/>
          <w:tblHeader/>
        </w:trPr>
        <w:tc>
          <w:tcPr>
            <w:tcW w:w="9639" w:type="dxa"/>
            <w:shd w:val="clear" w:color="auto" w:fill="F2F2F2" w:themeFill="background2" w:themeFillShade="F2"/>
          </w:tcPr>
          <w:p w14:paraId="640B3E7A" w14:textId="77777777" w:rsidR="008764AA" w:rsidRPr="00BC6D6A" w:rsidRDefault="008764AA" w:rsidP="00BC6D6A">
            <w:pPr>
              <w:pStyle w:val="TableContent"/>
              <w:rPr>
                <w:b/>
                <w:bCs/>
                <w:sz w:val="24"/>
              </w:rPr>
            </w:pPr>
            <w:r w:rsidRPr="00BC6D6A">
              <w:rPr>
                <w:b/>
                <w:bCs/>
                <w:sz w:val="24"/>
              </w:rPr>
              <w:lastRenderedPageBreak/>
              <w:t>Interpretation (AASB 2022: 8)</w:t>
            </w:r>
          </w:p>
        </w:tc>
      </w:tr>
      <w:tr w:rsidR="008764AA" w:rsidRPr="00A07F3E" w14:paraId="5B4AA014" w14:textId="77777777" w:rsidTr="04E1CD47">
        <w:trPr>
          <w:trHeight w:val="300"/>
        </w:trPr>
        <w:tc>
          <w:tcPr>
            <w:tcW w:w="9639" w:type="dxa"/>
          </w:tcPr>
          <w:p w14:paraId="33D0B2FC" w14:textId="77777777" w:rsidR="008764AA" w:rsidRPr="002917D9" w:rsidRDefault="008764AA" w:rsidP="00BC6D6A">
            <w:pPr>
              <w:pStyle w:val="TableContent"/>
              <w:rPr>
                <w:sz w:val="24"/>
              </w:rPr>
            </w:pPr>
            <w:r w:rsidRPr="002917D9">
              <w:rPr>
                <w:sz w:val="24"/>
              </w:rPr>
              <w:t>Paragraph 28:</w:t>
            </w:r>
          </w:p>
          <w:p w14:paraId="686F3F37" w14:textId="77777777" w:rsidR="008764AA" w:rsidRPr="00BC6D6A" w:rsidRDefault="008764AA" w:rsidP="00BC6D6A">
            <w:pPr>
              <w:pStyle w:val="TableContent"/>
              <w:rPr>
                <w:color w:val="000000"/>
                <w:sz w:val="24"/>
              </w:rPr>
            </w:pPr>
            <w:r w:rsidRPr="00BC6D6A">
              <w:rPr>
                <w:color w:val="000000"/>
                <w:sz w:val="24"/>
              </w:rPr>
              <w:t xml:space="preserve">‘Highest and best use’ is based on 3 criteria, being a market participant’s consideration as to an </w:t>
            </w:r>
            <w:proofErr w:type="gramStart"/>
            <w:r w:rsidRPr="00BC6D6A">
              <w:rPr>
                <w:color w:val="000000"/>
                <w:sz w:val="24"/>
              </w:rPr>
              <w:t>asset’s</w:t>
            </w:r>
            <w:proofErr w:type="gramEnd"/>
            <w:r w:rsidRPr="00BC6D6A">
              <w:rPr>
                <w:color w:val="000000"/>
                <w:sz w:val="24"/>
              </w:rPr>
              <w:t xml:space="preserve">: </w:t>
            </w:r>
          </w:p>
          <w:p w14:paraId="0ED920BD" w14:textId="77777777" w:rsidR="008764AA" w:rsidRPr="00BC6D6A" w:rsidRDefault="008764AA">
            <w:pPr>
              <w:pStyle w:val="TableContent"/>
              <w:numPr>
                <w:ilvl w:val="0"/>
                <w:numId w:val="59"/>
              </w:numPr>
              <w:ind w:left="714" w:hanging="357"/>
              <w:rPr>
                <w:color w:val="000000"/>
                <w:sz w:val="24"/>
              </w:rPr>
            </w:pPr>
            <w:r w:rsidRPr="00BC6D6A">
              <w:rPr>
                <w:color w:val="000000"/>
                <w:sz w:val="24"/>
              </w:rPr>
              <w:t>physically possible use</w:t>
            </w:r>
          </w:p>
          <w:p w14:paraId="3AC99A86" w14:textId="76968F99" w:rsidR="008764AA" w:rsidRPr="00ED4BA9" w:rsidRDefault="008764AA">
            <w:pPr>
              <w:pStyle w:val="TableContent"/>
              <w:numPr>
                <w:ilvl w:val="0"/>
                <w:numId w:val="59"/>
              </w:numPr>
              <w:rPr>
                <w:color w:val="000000"/>
                <w:sz w:val="24"/>
              </w:rPr>
            </w:pPr>
            <w:r w:rsidRPr="00BC6D6A">
              <w:rPr>
                <w:color w:val="000000"/>
                <w:sz w:val="24"/>
              </w:rPr>
              <w:t>legally permissible use</w:t>
            </w:r>
            <w:r w:rsidR="00441BDF">
              <w:rPr>
                <w:color w:val="000000"/>
                <w:sz w:val="24"/>
              </w:rPr>
              <w:t>;</w:t>
            </w:r>
            <w:r w:rsidRPr="00BC6D6A">
              <w:rPr>
                <w:color w:val="000000"/>
                <w:sz w:val="24"/>
              </w:rPr>
              <w:t xml:space="preserve"> </w:t>
            </w:r>
            <w:r w:rsidRPr="00ED4BA9">
              <w:rPr>
                <w:color w:val="000000"/>
                <w:sz w:val="24"/>
              </w:rPr>
              <w:t>and</w:t>
            </w:r>
          </w:p>
          <w:p w14:paraId="198D42DC" w14:textId="3522369E" w:rsidR="008764AA" w:rsidRPr="00C86BBC" w:rsidRDefault="008764AA">
            <w:pPr>
              <w:pStyle w:val="TableContent"/>
              <w:numPr>
                <w:ilvl w:val="0"/>
                <w:numId w:val="59"/>
              </w:numPr>
              <w:rPr>
                <w:color w:val="000000"/>
                <w:sz w:val="24"/>
              </w:rPr>
            </w:pPr>
            <w:r w:rsidRPr="00BC6D6A">
              <w:rPr>
                <w:color w:val="000000"/>
                <w:sz w:val="24"/>
              </w:rPr>
              <w:t>financially feasible (i.e. adequate income or cash flow to produce a required investment return).</w:t>
            </w:r>
          </w:p>
        </w:tc>
      </w:tr>
    </w:tbl>
    <w:p w14:paraId="3E032E22" w14:textId="4899988F" w:rsidR="008764AA" w:rsidRPr="00C83608" w:rsidRDefault="5C3E9F13" w:rsidP="00BD7145">
      <w:pPr>
        <w:pStyle w:val="Heading4"/>
      </w:pPr>
      <w:r w:rsidRPr="00255880">
        <w:t>C</w:t>
      </w:r>
      <w:r>
        <w:t>urrent use of a non-financial asset is presumed to be the ‘highest and best use’</w:t>
      </w:r>
    </w:p>
    <w:p w14:paraId="1B0D9383" w14:textId="77777777" w:rsidR="008764AA" w:rsidRPr="00C83608" w:rsidRDefault="008764AA" w:rsidP="00D70B5C">
      <w:pPr>
        <w:pStyle w:val="BodyText"/>
      </w:pPr>
      <w:r w:rsidRPr="00C83608">
        <w:t>AASB 13 Fair Value Measurement</w:t>
      </w:r>
      <w:r w:rsidRPr="00C83608">
        <w:rPr>
          <w:vertAlign w:val="superscript"/>
        </w:rPr>
        <w:t xml:space="preserve"> </w:t>
      </w:r>
      <w:r w:rsidRPr="00C83608">
        <w:t>(2022) links current use to ‘highest and best use’:</w:t>
      </w:r>
      <w:r w:rsidRPr="00C83608">
        <w:rPr>
          <w:lang w:val="en-US"/>
        </w:rPr>
        <w:t xml:space="preserve"> </w:t>
      </w:r>
    </w:p>
    <w:tbl>
      <w:tblPr>
        <w:tblStyle w:val="TableGrid"/>
        <w:tblW w:w="9639" w:type="dxa"/>
        <w:tblLayout w:type="fixed"/>
        <w:tblLook w:val="06A0" w:firstRow="1" w:lastRow="0" w:firstColumn="1" w:lastColumn="0" w:noHBand="1" w:noVBand="1"/>
      </w:tblPr>
      <w:tblGrid>
        <w:gridCol w:w="9639"/>
      </w:tblGrid>
      <w:tr w:rsidR="008764AA" w:rsidRPr="00A22E83" w14:paraId="365E9E86" w14:textId="77777777" w:rsidTr="00C658C6">
        <w:trPr>
          <w:trHeight w:val="300"/>
          <w:tblHeader/>
        </w:trPr>
        <w:tc>
          <w:tcPr>
            <w:tcW w:w="9639" w:type="dxa"/>
            <w:shd w:val="clear" w:color="auto" w:fill="F2F2F2" w:themeFill="background1" w:themeFillShade="F2"/>
          </w:tcPr>
          <w:p w14:paraId="72E0D52A" w14:textId="77777777" w:rsidR="008764AA" w:rsidRPr="00A22E83" w:rsidRDefault="008764AA" w:rsidP="00A22E83">
            <w:pPr>
              <w:pStyle w:val="TableContent"/>
              <w:rPr>
                <w:b/>
                <w:bCs/>
                <w:sz w:val="24"/>
              </w:rPr>
            </w:pPr>
            <w:r w:rsidRPr="00A22E83">
              <w:rPr>
                <w:b/>
                <w:bCs/>
                <w:sz w:val="24"/>
              </w:rPr>
              <w:t>(AASB 2022:9)</w:t>
            </w:r>
          </w:p>
        </w:tc>
      </w:tr>
      <w:tr w:rsidR="008764AA" w:rsidRPr="00A22E83" w14:paraId="466103BB" w14:textId="77777777" w:rsidTr="0068410A">
        <w:trPr>
          <w:trHeight w:val="300"/>
        </w:trPr>
        <w:tc>
          <w:tcPr>
            <w:tcW w:w="9639" w:type="dxa"/>
            <w:tcBorders>
              <w:bottom w:val="single" w:sz="4" w:space="0" w:color="000000"/>
            </w:tcBorders>
          </w:tcPr>
          <w:p w14:paraId="66F454AB" w14:textId="27A4C2BB" w:rsidR="008764AA" w:rsidRPr="00A22E83" w:rsidRDefault="008764AA" w:rsidP="00A22E83">
            <w:pPr>
              <w:pStyle w:val="TableContent"/>
              <w:ind w:left="397" w:hanging="397"/>
              <w:rPr>
                <w:i/>
                <w:iCs/>
                <w:sz w:val="24"/>
              </w:rPr>
            </w:pPr>
            <w:r w:rsidRPr="00A22E83">
              <w:rPr>
                <w:i/>
                <w:iCs/>
                <w:sz w:val="24"/>
              </w:rPr>
              <w:t xml:space="preserve">‘29 </w:t>
            </w:r>
            <w:r w:rsidRPr="00A22E83">
              <w:rPr>
                <w:sz w:val="24"/>
              </w:rPr>
              <w:t>Highest and best use is determined from the perspective of market participants, even if the entity intends a different use. However, an entity’s current use of a non-financial asset is presumed to be its highest and best use unless market or other factors suggest that a different use by market participants would maximise the value of the asset.’</w:t>
            </w:r>
          </w:p>
        </w:tc>
      </w:tr>
      <w:tr w:rsidR="00DA19BA" w:rsidRPr="00A22E83" w14:paraId="3BF9483B" w14:textId="77777777" w:rsidTr="0068410A">
        <w:trPr>
          <w:trHeight w:val="300"/>
        </w:trPr>
        <w:tc>
          <w:tcPr>
            <w:tcW w:w="9639" w:type="dxa"/>
            <w:shd w:val="clear" w:color="auto" w:fill="F2F2F2" w:themeFill="background1" w:themeFillShade="F2"/>
          </w:tcPr>
          <w:p w14:paraId="56F62514" w14:textId="12617106" w:rsidR="00DA19BA" w:rsidRPr="00A22E83" w:rsidRDefault="00DA19BA" w:rsidP="00A22E83">
            <w:pPr>
              <w:pStyle w:val="TableContent"/>
              <w:ind w:left="397" w:hanging="397"/>
              <w:rPr>
                <w:i/>
                <w:iCs/>
              </w:rPr>
            </w:pPr>
            <w:r w:rsidRPr="00A22E83">
              <w:rPr>
                <w:b/>
                <w:bCs/>
                <w:sz w:val="24"/>
              </w:rPr>
              <w:t>Interpretation (AASB 2022:9)</w:t>
            </w:r>
          </w:p>
        </w:tc>
      </w:tr>
      <w:tr w:rsidR="00DA19BA" w:rsidRPr="00A22E83" w14:paraId="048A53CF" w14:textId="77777777" w:rsidTr="00C658C6">
        <w:trPr>
          <w:trHeight w:val="300"/>
        </w:trPr>
        <w:tc>
          <w:tcPr>
            <w:tcW w:w="9639" w:type="dxa"/>
          </w:tcPr>
          <w:p w14:paraId="607F2880" w14:textId="77777777" w:rsidR="00DA19BA" w:rsidRPr="00A22E83" w:rsidRDefault="00DA19BA" w:rsidP="00DA19BA">
            <w:pPr>
              <w:pStyle w:val="TableContent"/>
              <w:rPr>
                <w:sz w:val="24"/>
              </w:rPr>
            </w:pPr>
            <w:r>
              <w:rPr>
                <w:sz w:val="24"/>
              </w:rPr>
              <w:t xml:space="preserve">Paragraph 29: </w:t>
            </w:r>
            <w:r w:rsidRPr="00A22E83">
              <w:rPr>
                <w:sz w:val="24"/>
              </w:rPr>
              <w:t xml:space="preserve"> </w:t>
            </w:r>
          </w:p>
          <w:p w14:paraId="0941B2CF" w14:textId="77777777" w:rsidR="00DA19BA" w:rsidRPr="00A22E83" w:rsidRDefault="00DA19BA">
            <w:pPr>
              <w:pStyle w:val="TableContent"/>
              <w:numPr>
                <w:ilvl w:val="0"/>
                <w:numId w:val="60"/>
              </w:numPr>
              <w:rPr>
                <w:sz w:val="24"/>
              </w:rPr>
            </w:pPr>
            <w:r w:rsidRPr="04E1CD47">
              <w:rPr>
                <w:sz w:val="24"/>
              </w:rPr>
              <w:t>confirms having a market perspective to the non-financial asset’s ‘highest and best use’</w:t>
            </w:r>
          </w:p>
          <w:p w14:paraId="38756FCA" w14:textId="090FE728" w:rsidR="00DA19BA" w:rsidRPr="00A22E83" w:rsidRDefault="00DA19BA">
            <w:pPr>
              <w:pStyle w:val="TableContent"/>
              <w:numPr>
                <w:ilvl w:val="0"/>
                <w:numId w:val="60"/>
              </w:numPr>
              <w:rPr>
                <w:sz w:val="24"/>
              </w:rPr>
            </w:pPr>
            <w:r w:rsidRPr="00A22E83">
              <w:rPr>
                <w:sz w:val="24"/>
              </w:rPr>
              <w:t>explicitly states the rebuttable presumption that a non-financial asset’s current use is its ‘highest and best use’</w:t>
            </w:r>
            <w:r w:rsidR="00441BDF">
              <w:rPr>
                <w:sz w:val="24"/>
              </w:rPr>
              <w:t>;</w:t>
            </w:r>
            <w:r w:rsidRPr="00A22E83">
              <w:rPr>
                <w:sz w:val="24"/>
              </w:rPr>
              <w:t xml:space="preserve"> </w:t>
            </w:r>
            <w:r w:rsidRPr="00ED4BA9">
              <w:rPr>
                <w:sz w:val="24"/>
              </w:rPr>
              <w:t>and</w:t>
            </w:r>
          </w:p>
          <w:p w14:paraId="6554E2B6" w14:textId="66509686" w:rsidR="00DA19BA" w:rsidRPr="00A22E83" w:rsidRDefault="00DA19BA">
            <w:pPr>
              <w:pStyle w:val="TableContent"/>
              <w:numPr>
                <w:ilvl w:val="0"/>
                <w:numId w:val="60"/>
              </w:numPr>
              <w:rPr>
                <w:i/>
                <w:iCs/>
              </w:rPr>
            </w:pPr>
            <w:r w:rsidRPr="00A22E83">
              <w:rPr>
                <w:sz w:val="24"/>
              </w:rPr>
              <w:t>confirms a non-financial asset’s fair value measurement must consider alternative uses of the asset which may maximise its value. However, paragraphs Aus29.1 and Aus29.2 limit consideration of alternative uses for non-financial assets by not-for-profit public sector entities to only two specific occasions</w:t>
            </w:r>
            <w:r w:rsidR="00441BDF">
              <w:rPr>
                <w:sz w:val="24"/>
              </w:rPr>
              <w:t>.</w:t>
            </w:r>
          </w:p>
        </w:tc>
      </w:tr>
    </w:tbl>
    <w:p w14:paraId="67DE0E9A" w14:textId="77777777" w:rsidR="00565FD9" w:rsidRDefault="00565FD9">
      <w:pPr>
        <w:spacing w:after="0" w:line="240" w:lineRule="auto"/>
        <w:rPr>
          <w:rFonts w:cs="Arial"/>
          <w:b/>
          <w:bCs/>
          <w:szCs w:val="28"/>
        </w:rPr>
      </w:pPr>
      <w:r>
        <w:br w:type="page"/>
      </w:r>
    </w:p>
    <w:p w14:paraId="63E7836D" w14:textId="2610A6DC" w:rsidR="00395D65" w:rsidRDefault="00F80806" w:rsidP="00311C30">
      <w:pPr>
        <w:pStyle w:val="Heading4"/>
      </w:pPr>
      <w:r>
        <w:lastRenderedPageBreak/>
        <w:t xml:space="preserve">December 2022 changes </w:t>
      </w:r>
      <w:r w:rsidR="00395D65">
        <w:t>to AASB 13 Fair Value Measurement (2022)</w:t>
      </w:r>
    </w:p>
    <w:p w14:paraId="61CBC6AD" w14:textId="1FB334F0" w:rsidR="00CD4181" w:rsidRPr="00531070" w:rsidRDefault="0015777C" w:rsidP="00A50F99">
      <w:pPr>
        <w:pStyle w:val="Heading4"/>
      </w:pPr>
      <w:r w:rsidRPr="00531070">
        <w:t>December 2022</w:t>
      </w:r>
      <w:r w:rsidR="008F3AF4" w:rsidRPr="00531070">
        <w:t>: ‘asset’s service capacity’</w:t>
      </w:r>
    </w:p>
    <w:p w14:paraId="3202831D" w14:textId="42CB49AC" w:rsidR="008F3AF4" w:rsidRPr="008F3AF4" w:rsidRDefault="008F3AF4" w:rsidP="008F3AF4">
      <w:pPr>
        <w:rPr>
          <w:highlight w:val="yellow"/>
        </w:rPr>
      </w:pPr>
      <w:r w:rsidRPr="008354AA">
        <w:t>The December 2022 changes to AASB 13 Fair Value Measurement</w:t>
      </w:r>
      <w:r w:rsidRPr="008354AA">
        <w:rPr>
          <w:vertAlign w:val="superscript"/>
        </w:rPr>
        <w:t xml:space="preserve"> </w:t>
      </w:r>
      <w:r w:rsidRPr="008354AA">
        <w:t>(2022) added paragraph</w:t>
      </w:r>
      <w:r>
        <w:t xml:space="preserve"> Aus28.1 </w:t>
      </w:r>
      <w:r w:rsidRPr="008354AA">
        <w:t>to the guidance given in paragraph 2</w:t>
      </w:r>
      <w:r w:rsidR="003130BF">
        <w:t>8</w:t>
      </w:r>
      <w:r w:rsidRPr="008354AA">
        <w:t xml:space="preserve"> in relation to</w:t>
      </w:r>
      <w:r w:rsidR="00DD65D4">
        <w:t xml:space="preserve"> financial feasibility: </w:t>
      </w:r>
    </w:p>
    <w:tbl>
      <w:tblPr>
        <w:tblStyle w:val="TableGrid"/>
        <w:tblW w:w="9639" w:type="dxa"/>
        <w:tblLayout w:type="fixed"/>
        <w:tblLook w:val="06A0" w:firstRow="1" w:lastRow="0" w:firstColumn="1" w:lastColumn="0" w:noHBand="1" w:noVBand="1"/>
      </w:tblPr>
      <w:tblGrid>
        <w:gridCol w:w="9639"/>
      </w:tblGrid>
      <w:tr w:rsidR="00DD65D4" w:rsidRPr="04E1CD47" w14:paraId="4FE732DA" w14:textId="77777777" w:rsidTr="00AE7F33">
        <w:trPr>
          <w:trHeight w:val="300"/>
        </w:trPr>
        <w:tc>
          <w:tcPr>
            <w:tcW w:w="9639" w:type="dxa"/>
            <w:tcBorders>
              <w:bottom w:val="single" w:sz="4" w:space="0" w:color="auto"/>
            </w:tcBorders>
            <w:shd w:val="clear" w:color="auto" w:fill="F2F2F2" w:themeFill="background1" w:themeFillShade="F2"/>
          </w:tcPr>
          <w:p w14:paraId="5FF1877A" w14:textId="77777777" w:rsidR="00DD65D4" w:rsidRPr="04E1CD47" w:rsidRDefault="00DD65D4" w:rsidP="00BD1EF1">
            <w:pPr>
              <w:pStyle w:val="TableContent"/>
              <w:ind w:left="851" w:hanging="851"/>
            </w:pPr>
            <w:r w:rsidRPr="00B10D65">
              <w:rPr>
                <w:b/>
                <w:bCs/>
                <w:sz w:val="24"/>
              </w:rPr>
              <w:t>(AASB 2022:8)</w:t>
            </w:r>
          </w:p>
        </w:tc>
      </w:tr>
      <w:tr w:rsidR="00DD65D4" w:rsidRPr="00B10D65" w14:paraId="7A2CB6C1" w14:textId="77777777" w:rsidTr="00AE7F33">
        <w:trPr>
          <w:trHeight w:val="300"/>
        </w:trPr>
        <w:tc>
          <w:tcPr>
            <w:tcW w:w="9639" w:type="dxa"/>
            <w:tcBorders>
              <w:bottom w:val="single" w:sz="4" w:space="0" w:color="auto"/>
            </w:tcBorders>
          </w:tcPr>
          <w:p w14:paraId="7396C5BC" w14:textId="77777777" w:rsidR="00DD65D4" w:rsidRPr="00B10D65" w:rsidRDefault="00DD65D4" w:rsidP="00BD1EF1">
            <w:pPr>
              <w:pStyle w:val="TableContent"/>
              <w:ind w:left="1021" w:hanging="1021"/>
              <w:rPr>
                <w:sz w:val="24"/>
              </w:rPr>
            </w:pPr>
            <w:r w:rsidRPr="04E1CD47">
              <w:rPr>
                <w:sz w:val="24"/>
              </w:rPr>
              <w:t>‘Aus28.1 Notwithstanding paragraph 28(c), for a non-financial asset of a not-for-profit public sector entity not held primarily for its ability to generate net cash inflows, an asset’s use is financially feasible if market participants (including, but not limited to, other not-for-profit public sector entities) would be willing to invest in the asset’s service capacity, considering both the capability of the asset to be used to provide needed goods or services to beneficiaries and the resulting cost of those goods or services.’</w:t>
            </w:r>
          </w:p>
        </w:tc>
      </w:tr>
      <w:tr w:rsidR="00DD65D4" w:rsidRPr="00BC6D6A" w14:paraId="689E7C28" w14:textId="77777777" w:rsidTr="00C86BBC">
        <w:trPr>
          <w:trHeight w:val="300"/>
          <w:tblHeader/>
        </w:trPr>
        <w:tc>
          <w:tcPr>
            <w:tcW w:w="9639" w:type="dxa"/>
            <w:tcBorders>
              <w:bottom w:val="single" w:sz="4" w:space="0" w:color="000000"/>
            </w:tcBorders>
            <w:shd w:val="clear" w:color="auto" w:fill="F2F2F2" w:themeFill="background2" w:themeFillShade="F2"/>
          </w:tcPr>
          <w:p w14:paraId="206BF4E3" w14:textId="77777777" w:rsidR="00DD65D4" w:rsidRPr="00BC6D6A" w:rsidRDefault="00DD65D4" w:rsidP="00BD1EF1">
            <w:pPr>
              <w:pStyle w:val="TableContent"/>
              <w:rPr>
                <w:b/>
                <w:bCs/>
                <w:sz w:val="24"/>
              </w:rPr>
            </w:pPr>
            <w:r w:rsidRPr="00BC6D6A">
              <w:rPr>
                <w:b/>
                <w:bCs/>
                <w:sz w:val="24"/>
              </w:rPr>
              <w:t>Interpretation (AASB 2022: 8)</w:t>
            </w:r>
          </w:p>
        </w:tc>
      </w:tr>
      <w:tr w:rsidR="00531070" w:rsidRPr="00BC6D6A" w14:paraId="3D9D308B" w14:textId="77777777" w:rsidTr="00C86BBC">
        <w:trPr>
          <w:trHeight w:val="300"/>
          <w:tblHeader/>
        </w:trPr>
        <w:tc>
          <w:tcPr>
            <w:tcW w:w="9639" w:type="dxa"/>
            <w:shd w:val="clear" w:color="auto" w:fill="FFFFFF" w:themeFill="background1"/>
          </w:tcPr>
          <w:p w14:paraId="04409B94" w14:textId="3CAB7224" w:rsidR="00531070" w:rsidRPr="00BC6D6A" w:rsidRDefault="00531070" w:rsidP="00BD1EF1">
            <w:pPr>
              <w:pStyle w:val="TableContent"/>
              <w:rPr>
                <w:b/>
                <w:bCs/>
              </w:rPr>
            </w:pPr>
            <w:r w:rsidRPr="00BC6D6A">
              <w:rPr>
                <w:sz w:val="24"/>
              </w:rPr>
              <w:t xml:space="preserve">Net cash inflows mean more money is coming into a local government than money is going out from using an asset. However, a local government’s objective is service </w:t>
            </w:r>
            <w:r w:rsidRPr="00A07F3E">
              <w:rPr>
                <w:sz w:val="24"/>
              </w:rPr>
              <w:t xml:space="preserve">delivery and not profit. Consequently, even though a local government may levy charges for using an asset for service delivery, it may not result in net cash inflows. Therefore, a </w:t>
            </w:r>
            <w:r w:rsidR="00441BDF">
              <w:rPr>
                <w:sz w:val="24"/>
              </w:rPr>
              <w:t>f</w:t>
            </w:r>
            <w:r w:rsidRPr="00A07F3E">
              <w:rPr>
                <w:sz w:val="24"/>
              </w:rPr>
              <w:t>air value measurement of a non-financial asset of a local government must consider the service capacity of the asset and not limit the asset’s value to its directly attributable ‘</w:t>
            </w:r>
            <w:r w:rsidRPr="00A07F3E">
              <w:rPr>
                <w:i/>
                <w:iCs/>
                <w:sz w:val="24"/>
              </w:rPr>
              <w:t>net cash inflows’</w:t>
            </w:r>
            <w:r w:rsidRPr="00A07F3E">
              <w:rPr>
                <w:sz w:val="24"/>
              </w:rPr>
              <w:t>.</w:t>
            </w:r>
          </w:p>
        </w:tc>
      </w:tr>
    </w:tbl>
    <w:p w14:paraId="051BA495" w14:textId="09C80AF0" w:rsidR="00A50F99" w:rsidRDefault="00C75592" w:rsidP="00A50F99">
      <w:pPr>
        <w:pStyle w:val="Heading4"/>
      </w:pPr>
      <w:r w:rsidRPr="000C73E1">
        <w:t>December 2022 changes</w:t>
      </w:r>
      <w:r w:rsidR="000E1E02" w:rsidRPr="000C73E1">
        <w:t xml:space="preserve">: </w:t>
      </w:r>
      <w:r w:rsidR="00A50F99" w:rsidRPr="000C73E1">
        <w:t>rules</w:t>
      </w:r>
      <w:r w:rsidR="00470B56" w:rsidRPr="000C73E1">
        <w:t xml:space="preserve"> regarding ‘highest and best use’ measurement</w:t>
      </w:r>
    </w:p>
    <w:p w14:paraId="1372E668" w14:textId="61FB69ED" w:rsidR="008764AA" w:rsidRPr="008354AA" w:rsidRDefault="5C3E9F13" w:rsidP="00D70B5C">
      <w:pPr>
        <w:pStyle w:val="BodyText"/>
        <w:rPr>
          <w:color w:val="000000"/>
        </w:rPr>
      </w:pPr>
      <w:r w:rsidRPr="008354AA">
        <w:t>The December 2022 changes to AASB 13 Fair Value Measurement</w:t>
      </w:r>
      <w:r w:rsidRPr="008354AA">
        <w:rPr>
          <w:vertAlign w:val="superscript"/>
        </w:rPr>
        <w:t xml:space="preserve"> </w:t>
      </w:r>
      <w:r w:rsidRPr="008354AA">
        <w:t>(2022) added paragraphs Aus29.1 and Aus29.2 to the guidance given in paragraph 29 in relation to</w:t>
      </w:r>
      <w:r w:rsidRPr="008354AA">
        <w:rPr>
          <w:lang w:val="en-US"/>
        </w:rPr>
        <w:t xml:space="preserve"> ‘highest and best use’:</w:t>
      </w:r>
    </w:p>
    <w:tbl>
      <w:tblPr>
        <w:tblStyle w:val="TableGrid"/>
        <w:tblW w:w="9607" w:type="dxa"/>
        <w:tblLook w:val="04A0" w:firstRow="1" w:lastRow="0" w:firstColumn="1" w:lastColumn="0" w:noHBand="0" w:noVBand="1"/>
      </w:tblPr>
      <w:tblGrid>
        <w:gridCol w:w="9607"/>
      </w:tblGrid>
      <w:tr w:rsidR="008764AA" w:rsidRPr="00C83608" w14:paraId="599C97A1" w14:textId="77777777" w:rsidTr="00BF570B">
        <w:trPr>
          <w:tblHeader/>
        </w:trPr>
        <w:tc>
          <w:tcPr>
            <w:tcW w:w="9607" w:type="dxa"/>
            <w:tcBorders>
              <w:bottom w:val="single" w:sz="4" w:space="0" w:color="auto"/>
            </w:tcBorders>
            <w:shd w:val="clear" w:color="auto" w:fill="F2F2F2" w:themeFill="background2" w:themeFillShade="F2"/>
          </w:tcPr>
          <w:p w14:paraId="39FDD336" w14:textId="64793DB2" w:rsidR="008764AA" w:rsidRPr="00A8724D" w:rsidRDefault="5C3E9F13" w:rsidP="00BD1EF1">
            <w:pPr>
              <w:pStyle w:val="TableContent"/>
              <w:rPr>
                <w:b/>
                <w:bCs/>
                <w:sz w:val="24"/>
              </w:rPr>
            </w:pPr>
            <w:r w:rsidRPr="04E1CD47">
              <w:rPr>
                <w:b/>
                <w:bCs/>
                <w:sz w:val="24"/>
              </w:rPr>
              <w:t>(AASB 2022: 9)</w:t>
            </w:r>
          </w:p>
        </w:tc>
      </w:tr>
      <w:tr w:rsidR="008764AA" w:rsidRPr="00C83608" w14:paraId="516F7493" w14:textId="77777777" w:rsidTr="00BF570B">
        <w:tc>
          <w:tcPr>
            <w:tcW w:w="9607" w:type="dxa"/>
            <w:tcBorders>
              <w:bottom w:val="single" w:sz="4" w:space="0" w:color="auto"/>
            </w:tcBorders>
          </w:tcPr>
          <w:p w14:paraId="6771F399" w14:textId="77777777" w:rsidR="008764AA" w:rsidRPr="00BD1EF1" w:rsidRDefault="008764AA" w:rsidP="00BD1EF1">
            <w:pPr>
              <w:pStyle w:val="TableContent"/>
              <w:rPr>
                <w:sz w:val="24"/>
              </w:rPr>
            </w:pPr>
            <w:r w:rsidRPr="00BD1EF1">
              <w:rPr>
                <w:sz w:val="24"/>
              </w:rPr>
              <w:t xml:space="preserve">‘Aus29.1 Notwithstanding paragraph 29, a not-for-profit public sector entity is required to consider whether, for a non-financial asset not held primarily for its ability to generate net cash inflows, the asset’s highest and best use differs from its current use only when, at the measurement date, it is: </w:t>
            </w:r>
          </w:p>
          <w:p w14:paraId="199B14F1" w14:textId="77777777" w:rsidR="008764AA" w:rsidRPr="00BD1EF1" w:rsidRDefault="008764AA" w:rsidP="00F34564">
            <w:pPr>
              <w:pStyle w:val="TableContent"/>
              <w:ind w:left="397" w:hanging="397"/>
              <w:rPr>
                <w:sz w:val="24"/>
              </w:rPr>
            </w:pPr>
            <w:r w:rsidRPr="00BD1EF1">
              <w:rPr>
                <w:sz w:val="24"/>
              </w:rPr>
              <w:t xml:space="preserve">(a) classified as held for sale or held for distribution to owners in accordance with AASB 5 Non-current Assets Held for Sale and Discontinued Operations; or </w:t>
            </w:r>
          </w:p>
          <w:p w14:paraId="6D7F2BA7" w14:textId="32FE59E6" w:rsidR="008764AA" w:rsidRPr="00BD1EF1" w:rsidRDefault="008764AA" w:rsidP="00F34564">
            <w:pPr>
              <w:pStyle w:val="TableContent"/>
              <w:ind w:left="397" w:hanging="397"/>
              <w:rPr>
                <w:sz w:val="24"/>
              </w:rPr>
            </w:pPr>
            <w:r w:rsidRPr="00BD1EF1">
              <w:rPr>
                <w:sz w:val="24"/>
              </w:rPr>
              <w:t>(b) highly probable that the asset will be used for an alternative purpose to its current use, in accordance with paragraph Aus29.2.</w:t>
            </w:r>
            <w:r w:rsidR="00E77955" w:rsidRPr="00BD1EF1">
              <w:rPr>
                <w:sz w:val="24"/>
              </w:rPr>
              <w:t>’</w:t>
            </w:r>
          </w:p>
          <w:p w14:paraId="42BA9829" w14:textId="2382C7EA" w:rsidR="008764AA" w:rsidRPr="00BD1EF1" w:rsidRDefault="00E77955" w:rsidP="00BD1EF1">
            <w:pPr>
              <w:pStyle w:val="TableContent"/>
              <w:rPr>
                <w:sz w:val="24"/>
              </w:rPr>
            </w:pPr>
            <w:r w:rsidRPr="00BD1EF1">
              <w:rPr>
                <w:sz w:val="24"/>
              </w:rPr>
              <w:lastRenderedPageBreak/>
              <w:t>‘</w:t>
            </w:r>
            <w:r w:rsidR="008764AA" w:rsidRPr="00BD1EF1">
              <w:rPr>
                <w:sz w:val="24"/>
              </w:rPr>
              <w:t xml:space="preserve">Aus29.2 For the purposes of paragraph Aus29.1(b), it is highly probable that the asset will be used for an alternative purpose to its current use when, at the measurement date, all the following conditions are met: </w:t>
            </w:r>
          </w:p>
          <w:p w14:paraId="0B6C255B" w14:textId="77777777" w:rsidR="008764AA" w:rsidRPr="00BD1EF1" w:rsidRDefault="008764AA" w:rsidP="00F34564">
            <w:pPr>
              <w:pStyle w:val="TableContent"/>
              <w:ind w:left="397" w:hanging="397"/>
              <w:rPr>
                <w:sz w:val="24"/>
              </w:rPr>
            </w:pPr>
            <w:r w:rsidRPr="00BD1EF1">
              <w:rPr>
                <w:sz w:val="24"/>
              </w:rPr>
              <w:t>(a) the alternative purpose for the asset is physically possible, legally permissible and financially feasible in accordance with paragraphs 28 and Aus28.</w:t>
            </w:r>
            <w:proofErr w:type="gramStart"/>
            <w:r w:rsidRPr="00BD1EF1">
              <w:rPr>
                <w:sz w:val="24"/>
              </w:rPr>
              <w:t>1;</w:t>
            </w:r>
            <w:proofErr w:type="gramEnd"/>
            <w:r w:rsidRPr="00BD1EF1">
              <w:rPr>
                <w:sz w:val="24"/>
              </w:rPr>
              <w:t xml:space="preserve"> </w:t>
            </w:r>
          </w:p>
          <w:p w14:paraId="126044A4" w14:textId="77777777" w:rsidR="008764AA" w:rsidRPr="00BD1EF1" w:rsidRDefault="008764AA" w:rsidP="00F34564">
            <w:pPr>
              <w:pStyle w:val="TableContent"/>
              <w:ind w:left="397" w:hanging="397"/>
              <w:rPr>
                <w:sz w:val="24"/>
              </w:rPr>
            </w:pPr>
            <w:r w:rsidRPr="00BD1EF1">
              <w:rPr>
                <w:sz w:val="24"/>
              </w:rPr>
              <w:t xml:space="preserve">(b) the appropriate level of management is committed to a plan to change the use of the asset to that alternative purpose, and an active programme to complete the plan has been </w:t>
            </w:r>
            <w:proofErr w:type="gramStart"/>
            <w:r w:rsidRPr="00BD1EF1">
              <w:rPr>
                <w:sz w:val="24"/>
              </w:rPr>
              <w:t>initiated;</w:t>
            </w:r>
            <w:proofErr w:type="gramEnd"/>
            <w:r w:rsidRPr="00BD1EF1">
              <w:rPr>
                <w:sz w:val="24"/>
              </w:rPr>
              <w:t xml:space="preserve"> </w:t>
            </w:r>
          </w:p>
          <w:p w14:paraId="1235F151" w14:textId="77777777" w:rsidR="00041951" w:rsidRPr="00BD1EF1" w:rsidRDefault="00041951" w:rsidP="00F34564">
            <w:pPr>
              <w:pStyle w:val="TableContent"/>
              <w:ind w:left="397" w:hanging="397"/>
              <w:rPr>
                <w:sz w:val="24"/>
              </w:rPr>
            </w:pPr>
            <w:r w:rsidRPr="00BD1EF1">
              <w:rPr>
                <w:sz w:val="24"/>
              </w:rPr>
              <w:t xml:space="preserve">(c) any approvals required to change the asset’s use have been obtained; and </w:t>
            </w:r>
          </w:p>
          <w:p w14:paraId="09D87E3C" w14:textId="3A776A92" w:rsidR="00041951" w:rsidRPr="00BD1EF1" w:rsidRDefault="00041951" w:rsidP="00F34564">
            <w:pPr>
              <w:pStyle w:val="TableContent"/>
              <w:ind w:left="397" w:hanging="397"/>
              <w:rPr>
                <w:sz w:val="24"/>
              </w:rPr>
            </w:pPr>
            <w:r w:rsidRPr="00BD1EF1">
              <w:rPr>
                <w:sz w:val="24"/>
              </w:rPr>
              <w:t>(d) based on reasonably available information, it is highly probable that the current use of the asset will cease under the plan within one year.’</w:t>
            </w:r>
          </w:p>
        </w:tc>
      </w:tr>
      <w:tr w:rsidR="0031010E" w:rsidRPr="00C215AB" w14:paraId="1EB16F4E" w14:textId="77777777" w:rsidTr="00BF570B">
        <w:tc>
          <w:tcPr>
            <w:tcW w:w="9607" w:type="dxa"/>
            <w:shd w:val="clear" w:color="auto" w:fill="F2F2F2" w:themeFill="background1" w:themeFillShade="F2"/>
          </w:tcPr>
          <w:p w14:paraId="0B5D8B30" w14:textId="77777777" w:rsidR="0031010E" w:rsidRPr="00BD1EF1" w:rsidRDefault="0031010E" w:rsidP="00BD1EF1">
            <w:pPr>
              <w:pStyle w:val="TableContent"/>
              <w:rPr>
                <w:b/>
                <w:bCs/>
                <w:sz w:val="24"/>
              </w:rPr>
            </w:pPr>
            <w:r w:rsidRPr="00BD1EF1">
              <w:rPr>
                <w:b/>
                <w:bCs/>
                <w:sz w:val="24"/>
              </w:rPr>
              <w:t>Interpretation: (AASB 2022: 9)</w:t>
            </w:r>
          </w:p>
        </w:tc>
      </w:tr>
      <w:tr w:rsidR="0031010E" w:rsidRPr="00C215AB" w14:paraId="716A7BDB" w14:textId="77777777" w:rsidTr="00BF570B">
        <w:tc>
          <w:tcPr>
            <w:tcW w:w="9607" w:type="dxa"/>
          </w:tcPr>
          <w:p w14:paraId="1807C606" w14:textId="77777777" w:rsidR="0031010E" w:rsidRPr="00BD1EF1" w:rsidRDefault="0031010E" w:rsidP="00BD1EF1">
            <w:pPr>
              <w:pStyle w:val="TableContent"/>
              <w:rPr>
                <w:sz w:val="24"/>
              </w:rPr>
            </w:pPr>
            <w:r w:rsidRPr="00BD1EF1">
              <w:rPr>
                <w:sz w:val="24"/>
              </w:rPr>
              <w:t xml:space="preserve">Aus29.1: </w:t>
            </w:r>
          </w:p>
          <w:p w14:paraId="35E14770" w14:textId="6666F819" w:rsidR="009571DE" w:rsidRPr="00BD1EF1" w:rsidRDefault="009571DE" w:rsidP="00BD1EF1">
            <w:pPr>
              <w:pStyle w:val="TableContent"/>
              <w:rPr>
                <w:bCs/>
                <w:sz w:val="24"/>
              </w:rPr>
            </w:pPr>
            <w:r w:rsidRPr="00BD1EF1">
              <w:rPr>
                <w:bCs/>
                <w:sz w:val="24"/>
              </w:rPr>
              <w:t>If a local government currently uses a non-financial asset (for example</w:t>
            </w:r>
            <w:r w:rsidR="00441BDF">
              <w:rPr>
                <w:bCs/>
                <w:sz w:val="24"/>
              </w:rPr>
              <w:t>,</w:t>
            </w:r>
            <w:r w:rsidRPr="00BD1EF1">
              <w:rPr>
                <w:bCs/>
                <w:sz w:val="24"/>
              </w:rPr>
              <w:t xml:space="preserve"> land) not to generate net cash inflows [but for a public sector community use (PSCU)], value the land applying the market approach considering the current PSCU as being the land’s ‘highest and best use’ (AASB2022:9) except if one of the two exceptions applies. </w:t>
            </w:r>
          </w:p>
          <w:p w14:paraId="7D44A0FA" w14:textId="291CB21E" w:rsidR="0031010E" w:rsidRPr="00BD1EF1" w:rsidRDefault="0031010E" w:rsidP="00BD1EF1">
            <w:pPr>
              <w:pStyle w:val="TableContent"/>
              <w:rPr>
                <w:sz w:val="24"/>
              </w:rPr>
            </w:pPr>
            <w:r w:rsidRPr="00BD1EF1">
              <w:rPr>
                <w:sz w:val="24"/>
              </w:rPr>
              <w:t xml:space="preserve">This paragraph reinforces the rebuttable presumption that a non-financial asset’s current use is its ‘highest and best use’ except for the 2 listed circumstances. Consequently, except for the 2 listed exceptions, a </w:t>
            </w:r>
            <w:r w:rsidR="00441BDF" w:rsidRPr="00BD1EF1">
              <w:rPr>
                <w:sz w:val="24"/>
              </w:rPr>
              <w:t>not-for-profit</w:t>
            </w:r>
            <w:r w:rsidRPr="00BD1EF1">
              <w:rPr>
                <w:sz w:val="24"/>
              </w:rPr>
              <w:t xml:space="preserve"> public sector entity does not need to consider whether ‘a different use by market participants would maximise the value of the asset’. Therefore, it reduces undue cost and effort for not-for-profit public sector entities. </w:t>
            </w:r>
          </w:p>
          <w:p w14:paraId="4CE09DFE" w14:textId="77777777" w:rsidR="0031010E" w:rsidRPr="00BD1EF1" w:rsidRDefault="0031010E" w:rsidP="00BD1EF1">
            <w:pPr>
              <w:pStyle w:val="TableContent"/>
              <w:rPr>
                <w:sz w:val="24"/>
              </w:rPr>
            </w:pPr>
            <w:r w:rsidRPr="00BD1EF1">
              <w:rPr>
                <w:sz w:val="24"/>
              </w:rPr>
              <w:t>Paragraph Aus29.1 identifies 2 sets of circumstances where a local government must consider whether an asset’s ‘highest and best use’ differs from its current use:</w:t>
            </w:r>
          </w:p>
          <w:p w14:paraId="6019E6D3" w14:textId="77777777" w:rsidR="0031010E" w:rsidRPr="00BD1EF1" w:rsidRDefault="0031010E" w:rsidP="00BD1EF1">
            <w:pPr>
              <w:pStyle w:val="TableContent"/>
              <w:rPr>
                <w:sz w:val="24"/>
              </w:rPr>
            </w:pPr>
            <w:r w:rsidRPr="00BD1EF1">
              <w:rPr>
                <w:sz w:val="24"/>
              </w:rPr>
              <w:t>Aus29.1(a)</w:t>
            </w:r>
          </w:p>
          <w:p w14:paraId="5CB9066A" w14:textId="77777777" w:rsidR="0031010E" w:rsidRPr="00BD1EF1" w:rsidRDefault="0031010E" w:rsidP="00BD1EF1">
            <w:pPr>
              <w:pStyle w:val="TableContent"/>
              <w:rPr>
                <w:sz w:val="24"/>
              </w:rPr>
            </w:pPr>
            <w:r w:rsidRPr="00BD1EF1">
              <w:rPr>
                <w:sz w:val="24"/>
              </w:rPr>
              <w:t>A fair value measurement of the asset must appraise the ‘highest and best use’ thereof. Consequently, whether holding the asset for sale or holding the asset for distribution to shareholders is its ‘highest and best use’. If so, a fair value measurement of the asset must be determined in accordance with AASB 5 Non-current Assets Held for Sale and Discontinued Operations (2022).</w:t>
            </w:r>
          </w:p>
          <w:p w14:paraId="41380193" w14:textId="77777777" w:rsidR="0031010E" w:rsidRPr="00BD1EF1" w:rsidRDefault="0031010E" w:rsidP="00BD1EF1">
            <w:pPr>
              <w:pStyle w:val="TableContent"/>
              <w:rPr>
                <w:sz w:val="24"/>
              </w:rPr>
            </w:pPr>
            <w:r w:rsidRPr="00BD1EF1">
              <w:rPr>
                <w:sz w:val="24"/>
              </w:rPr>
              <w:t>Aus 29.1 (b)</w:t>
            </w:r>
          </w:p>
          <w:p w14:paraId="1CA141EA" w14:textId="03917C9F" w:rsidR="0031010E" w:rsidRPr="00BD1EF1" w:rsidRDefault="0031010E" w:rsidP="00BD1EF1">
            <w:pPr>
              <w:pStyle w:val="TableContent"/>
              <w:rPr>
                <w:sz w:val="24"/>
              </w:rPr>
            </w:pPr>
            <w:r w:rsidRPr="00BD1EF1">
              <w:rPr>
                <w:sz w:val="24"/>
              </w:rPr>
              <w:t xml:space="preserve">A fair value measurement of the asset must appraise the ‘highest and best use’ thereof. Consequently, whether the highly probable alternative use for the asset is its ‘highest and best use’. If </w:t>
            </w:r>
            <w:r w:rsidR="00EB77EE" w:rsidRPr="00BD1EF1">
              <w:rPr>
                <w:sz w:val="24"/>
              </w:rPr>
              <w:t xml:space="preserve">so, </w:t>
            </w:r>
            <w:r w:rsidR="0030610A" w:rsidRPr="00BD1EF1">
              <w:rPr>
                <w:sz w:val="24"/>
              </w:rPr>
              <w:t>a f</w:t>
            </w:r>
            <w:r w:rsidRPr="00BD1EF1">
              <w:rPr>
                <w:sz w:val="24"/>
              </w:rPr>
              <w:t>air value measurement of the asset must be determined based on the highly probable alternative use for the asset.</w:t>
            </w:r>
          </w:p>
        </w:tc>
      </w:tr>
    </w:tbl>
    <w:p w14:paraId="2F7132CF" w14:textId="77777777" w:rsidR="008354AA" w:rsidRDefault="008354AA">
      <w:pPr>
        <w:spacing w:after="0" w:line="240" w:lineRule="auto"/>
        <w:rPr>
          <w:rFonts w:cs="Arial"/>
          <w:b/>
          <w:bCs/>
          <w:szCs w:val="28"/>
          <w:highlight w:val="yellow"/>
        </w:rPr>
      </w:pPr>
      <w:r>
        <w:rPr>
          <w:highlight w:val="yellow"/>
        </w:rPr>
        <w:br w:type="page"/>
      </w:r>
    </w:p>
    <w:p w14:paraId="48C43B5A" w14:textId="235330E6" w:rsidR="00D36EA4" w:rsidRPr="00F40AAF" w:rsidRDefault="00D0784A" w:rsidP="00D0784A">
      <w:pPr>
        <w:pStyle w:val="Heading4"/>
      </w:pPr>
      <w:r w:rsidRPr="00F40AAF">
        <w:lastRenderedPageBreak/>
        <w:t xml:space="preserve">December 2022 changes: </w:t>
      </w:r>
      <w:r w:rsidR="00183FC8" w:rsidRPr="00F40AAF">
        <w:t>d</w:t>
      </w:r>
      <w:r w:rsidR="00470B56" w:rsidRPr="00F40AAF">
        <w:t>isclos</w:t>
      </w:r>
      <w:r w:rsidR="00D36EA4" w:rsidRPr="00F40AAF">
        <w:t>u</w:t>
      </w:r>
      <w:r w:rsidR="00470B56" w:rsidRPr="00F40AAF">
        <w:t xml:space="preserve">re </w:t>
      </w:r>
      <w:r w:rsidR="00D36EA4" w:rsidRPr="00F40AAF">
        <w:t>rules</w:t>
      </w:r>
    </w:p>
    <w:p w14:paraId="00EF6C81" w14:textId="5272AF9A" w:rsidR="004E3D6F" w:rsidRPr="00F40AAF" w:rsidRDefault="005F6DB1" w:rsidP="00D70B5C">
      <w:pPr>
        <w:pStyle w:val="BodyText"/>
      </w:pPr>
      <w:r w:rsidRPr="00F40AAF">
        <w:t>The December 2022 changes to AASB 13 Fair Value Measurement</w:t>
      </w:r>
      <w:r w:rsidRPr="00F40AAF">
        <w:rPr>
          <w:vertAlign w:val="superscript"/>
        </w:rPr>
        <w:t xml:space="preserve"> </w:t>
      </w:r>
      <w:r w:rsidRPr="00F40AAF">
        <w:t xml:space="preserve">(2022) added paragraph Aus93.2 </w:t>
      </w:r>
      <w:r w:rsidR="003B740F" w:rsidRPr="00F40AAF">
        <w:t>t</w:t>
      </w:r>
      <w:r w:rsidRPr="00F40AAF">
        <w:t xml:space="preserve">o the guidance given in paragraph </w:t>
      </w:r>
      <w:r w:rsidR="003B740F" w:rsidRPr="00F40AAF">
        <w:t>93</w:t>
      </w:r>
      <w:r w:rsidR="00DB3D03" w:rsidRPr="00F40AAF">
        <w:t>(</w:t>
      </w:r>
      <w:proofErr w:type="spellStart"/>
      <w:r w:rsidR="00DB3D03" w:rsidRPr="00F40AAF">
        <w:t>i</w:t>
      </w:r>
      <w:proofErr w:type="spellEnd"/>
      <w:r w:rsidR="00DB3D03" w:rsidRPr="00F40AAF">
        <w:t xml:space="preserve">) </w:t>
      </w:r>
      <w:r w:rsidR="00271CC2" w:rsidRPr="00F40AAF">
        <w:t>in re</w:t>
      </w:r>
      <w:r w:rsidRPr="00F40AAF">
        <w:t>lation to</w:t>
      </w:r>
      <w:r w:rsidRPr="00F40AAF">
        <w:rPr>
          <w:lang w:val="en-US"/>
        </w:rPr>
        <w:t xml:space="preserve"> </w:t>
      </w:r>
      <w:r w:rsidR="00271CC2" w:rsidRPr="00F40AAF">
        <w:rPr>
          <w:lang w:val="en-US"/>
        </w:rPr>
        <w:t>disclos</w:t>
      </w:r>
      <w:r w:rsidR="0065308B" w:rsidRPr="00F40AAF">
        <w:rPr>
          <w:lang w:val="en-US"/>
        </w:rPr>
        <w:t>u</w:t>
      </w:r>
      <w:r w:rsidR="00271CC2" w:rsidRPr="00F40AAF">
        <w:rPr>
          <w:lang w:val="en-US"/>
        </w:rPr>
        <w:t>re requirements</w:t>
      </w:r>
      <w:r w:rsidR="0065308B" w:rsidRPr="00F40AAF">
        <w:rPr>
          <w:lang w:val="en-US"/>
        </w:rPr>
        <w:t xml:space="preserve">: </w:t>
      </w:r>
    </w:p>
    <w:tbl>
      <w:tblPr>
        <w:tblStyle w:val="TableGrid"/>
        <w:tblW w:w="9639" w:type="dxa"/>
        <w:shd w:val="clear" w:color="auto" w:fill="F2F2F2" w:themeFill="background1" w:themeFillShade="F2"/>
        <w:tblLook w:val="04A0" w:firstRow="1" w:lastRow="0" w:firstColumn="1" w:lastColumn="0" w:noHBand="0" w:noVBand="1"/>
      </w:tblPr>
      <w:tblGrid>
        <w:gridCol w:w="9639"/>
      </w:tblGrid>
      <w:tr w:rsidR="0065308B" w:rsidRPr="00F40AAF" w14:paraId="024702F7" w14:textId="77777777" w:rsidTr="00F71DB0">
        <w:trPr>
          <w:tblHeader/>
        </w:trPr>
        <w:tc>
          <w:tcPr>
            <w:tcW w:w="9639" w:type="dxa"/>
            <w:tcBorders>
              <w:bottom w:val="single" w:sz="4" w:space="0" w:color="auto"/>
            </w:tcBorders>
            <w:shd w:val="clear" w:color="auto" w:fill="F2F2F2" w:themeFill="background1" w:themeFillShade="F2"/>
          </w:tcPr>
          <w:p w14:paraId="05D61DEF" w14:textId="1AF0F037" w:rsidR="0065308B" w:rsidRPr="00F40AAF" w:rsidRDefault="0065308B" w:rsidP="00F40AAF">
            <w:pPr>
              <w:pStyle w:val="TableContent"/>
              <w:rPr>
                <w:b/>
                <w:bCs/>
                <w:sz w:val="24"/>
              </w:rPr>
            </w:pPr>
            <w:r w:rsidRPr="00F40AAF">
              <w:rPr>
                <w:b/>
                <w:bCs/>
                <w:sz w:val="24"/>
              </w:rPr>
              <w:t xml:space="preserve">(AASB 2022: </w:t>
            </w:r>
            <w:r w:rsidR="00F555FD" w:rsidRPr="00F40AAF">
              <w:rPr>
                <w:b/>
                <w:bCs/>
                <w:sz w:val="24"/>
              </w:rPr>
              <w:t>17</w:t>
            </w:r>
            <w:r w:rsidR="00C363F6" w:rsidRPr="00F40AAF">
              <w:rPr>
                <w:b/>
                <w:bCs/>
                <w:sz w:val="24"/>
              </w:rPr>
              <w:t>-18</w:t>
            </w:r>
            <w:r w:rsidRPr="00F40AAF">
              <w:rPr>
                <w:b/>
                <w:bCs/>
                <w:sz w:val="24"/>
              </w:rPr>
              <w:t>)</w:t>
            </w:r>
          </w:p>
        </w:tc>
      </w:tr>
      <w:tr w:rsidR="0065308B" w:rsidRPr="00F40AAF" w14:paraId="6ECE16C3" w14:textId="77777777" w:rsidTr="00F71DB0">
        <w:tc>
          <w:tcPr>
            <w:tcW w:w="9639" w:type="dxa"/>
            <w:shd w:val="clear" w:color="auto" w:fill="F2F2F2" w:themeFill="background1" w:themeFillShade="F2"/>
          </w:tcPr>
          <w:p w14:paraId="43F0469D" w14:textId="77777777" w:rsidR="0065308B" w:rsidRPr="00F40AAF" w:rsidRDefault="00D0645A" w:rsidP="00F40AAF">
            <w:pPr>
              <w:pStyle w:val="TableContent"/>
              <w:shd w:val="clear" w:color="auto" w:fill="FFFFFF" w:themeFill="background1"/>
              <w:ind w:left="397" w:hanging="397"/>
              <w:rPr>
                <w:sz w:val="24"/>
              </w:rPr>
            </w:pPr>
            <w:r w:rsidRPr="00F40AAF">
              <w:rPr>
                <w:sz w:val="24"/>
              </w:rPr>
              <w:t>‘</w:t>
            </w:r>
            <w:r w:rsidR="00956ADD" w:rsidRPr="00F40AAF">
              <w:rPr>
                <w:sz w:val="24"/>
              </w:rPr>
              <w:t>93 To meet the objectives in paragraph 91, an entity shall disclose, at a minimum, the following information for each class of assets and liabilities (see paragraph 94 for information on determining appropriate classes of assets and liabilities) measured at fair value (including measurements based on fair value within the scope of this Standard) in the statement of financial position after initial recognition:</w:t>
            </w:r>
          </w:p>
          <w:p w14:paraId="7FE77DB2" w14:textId="4F47D449" w:rsidR="00E32584" w:rsidRPr="00F40AAF" w:rsidRDefault="00E32584" w:rsidP="00F40AAF">
            <w:pPr>
              <w:pStyle w:val="TableContent"/>
              <w:shd w:val="clear" w:color="auto" w:fill="FFFFFF" w:themeFill="background1"/>
              <w:ind w:left="964" w:hanging="964"/>
              <w:rPr>
                <w:sz w:val="24"/>
              </w:rPr>
            </w:pPr>
            <w:r w:rsidRPr="00F40AAF">
              <w:rPr>
                <w:sz w:val="24"/>
              </w:rPr>
              <w:t xml:space="preserve">      …</w:t>
            </w:r>
            <w:r w:rsidR="00FE731F" w:rsidRPr="00F40AAF">
              <w:rPr>
                <w:sz w:val="24"/>
              </w:rPr>
              <w:t>(</w:t>
            </w:r>
            <w:proofErr w:type="spellStart"/>
            <w:r w:rsidR="00FE731F" w:rsidRPr="00F40AAF">
              <w:rPr>
                <w:sz w:val="24"/>
              </w:rPr>
              <w:t>i</w:t>
            </w:r>
            <w:proofErr w:type="spellEnd"/>
            <w:proofErr w:type="gramStart"/>
            <w:r w:rsidR="00FE731F" w:rsidRPr="00F40AAF">
              <w:rPr>
                <w:sz w:val="24"/>
              </w:rPr>
              <w:t>)  for</w:t>
            </w:r>
            <w:proofErr w:type="gramEnd"/>
            <w:r w:rsidR="00FE731F" w:rsidRPr="00F40AAF">
              <w:rPr>
                <w:sz w:val="24"/>
              </w:rPr>
              <w:t xml:space="preserve"> recurring and non-recurring fair value measurements, if the highest and best use of a nonfinancial asset differs from its current use, an entity shall disclose that fact and why the nonfinancial asset is being used in a manner that differs from its highest and best use.</w:t>
            </w:r>
            <w:r w:rsidR="00F71DB0" w:rsidRPr="00F40AAF">
              <w:rPr>
                <w:sz w:val="24"/>
              </w:rPr>
              <w:t>’</w:t>
            </w:r>
          </w:p>
        </w:tc>
      </w:tr>
      <w:tr w:rsidR="00F71DB0" w:rsidRPr="00F40AAF" w14:paraId="05E676F9" w14:textId="77777777" w:rsidTr="00716DC1">
        <w:tc>
          <w:tcPr>
            <w:tcW w:w="9639" w:type="dxa"/>
            <w:tcBorders>
              <w:bottom w:val="single" w:sz="4" w:space="0" w:color="000000"/>
            </w:tcBorders>
            <w:shd w:val="clear" w:color="auto" w:fill="F2F2F2" w:themeFill="background1" w:themeFillShade="F2"/>
          </w:tcPr>
          <w:p w14:paraId="6D73934A" w14:textId="2DDF7E05" w:rsidR="00F71DB0" w:rsidRPr="00F40AAF" w:rsidRDefault="00330103" w:rsidP="00F40AAF">
            <w:pPr>
              <w:pStyle w:val="TableContent"/>
              <w:ind w:left="397" w:hanging="397"/>
              <w:rPr>
                <w:b/>
                <w:bCs/>
                <w:sz w:val="24"/>
              </w:rPr>
            </w:pPr>
            <w:r w:rsidRPr="00F40AAF">
              <w:rPr>
                <w:b/>
                <w:bCs/>
                <w:sz w:val="24"/>
              </w:rPr>
              <w:t>(AASB 2022:</w:t>
            </w:r>
            <w:r w:rsidR="009F18AA" w:rsidRPr="00F40AAF">
              <w:rPr>
                <w:b/>
                <w:bCs/>
                <w:sz w:val="24"/>
              </w:rPr>
              <w:t xml:space="preserve"> 19)</w:t>
            </w:r>
          </w:p>
        </w:tc>
      </w:tr>
      <w:tr w:rsidR="00F71DB0" w:rsidRPr="00F40AAF" w14:paraId="40FF1EEB" w14:textId="77777777" w:rsidTr="00716DC1">
        <w:tc>
          <w:tcPr>
            <w:tcW w:w="9639" w:type="dxa"/>
            <w:shd w:val="clear" w:color="auto" w:fill="FFFFFF" w:themeFill="background1"/>
          </w:tcPr>
          <w:p w14:paraId="372C7E89" w14:textId="75F5A84A" w:rsidR="00F71DB0" w:rsidRPr="00F40AAF" w:rsidRDefault="00716DC1" w:rsidP="00F40AAF">
            <w:pPr>
              <w:pStyle w:val="TableContent"/>
              <w:ind w:left="851" w:hanging="851"/>
            </w:pPr>
            <w:r w:rsidRPr="00F40AAF">
              <w:t>‘</w:t>
            </w:r>
            <w:r w:rsidR="00F02900" w:rsidRPr="00F40AAF">
              <w:rPr>
                <w:sz w:val="24"/>
                <w:shd w:val="clear" w:color="auto" w:fill="FFFFFF" w:themeFill="background1"/>
              </w:rPr>
              <w:t>Aus93.2 For a non-financial asset of a not-for-profit public sector entity not held primarily for its ability to generate net cash inflows, the information in paragraph 93(</w:t>
            </w:r>
            <w:proofErr w:type="spellStart"/>
            <w:r w:rsidR="00F02900" w:rsidRPr="00F40AAF">
              <w:rPr>
                <w:sz w:val="24"/>
                <w:shd w:val="clear" w:color="auto" w:fill="FFFFFF" w:themeFill="background1"/>
              </w:rPr>
              <w:t>i</w:t>
            </w:r>
            <w:proofErr w:type="spellEnd"/>
            <w:r w:rsidR="00F02900" w:rsidRPr="00F40AAF">
              <w:rPr>
                <w:sz w:val="24"/>
                <w:shd w:val="clear" w:color="auto" w:fill="FFFFFF" w:themeFill="background1"/>
              </w:rPr>
              <w:t>) is required to be disclosed only if the entity has determined that the asset’s highest and best use differs from its current use. Such an entity is required to consider whether this difference exists only when, in accordance with paragraphs Aus29.1 and Aus29.2, at the measurement date, the asset is classified as held for sale or held for distribution to owners in accordance with AASB 5 or it is highly probable that the asset will be used for an alternative purpose to its current use.</w:t>
            </w:r>
            <w:r w:rsidRPr="00F40AAF">
              <w:rPr>
                <w:sz w:val="24"/>
                <w:shd w:val="clear" w:color="auto" w:fill="FFFFFF" w:themeFill="background1"/>
              </w:rPr>
              <w:t>’</w:t>
            </w:r>
          </w:p>
        </w:tc>
      </w:tr>
      <w:tr w:rsidR="00F71DB0" w:rsidRPr="00CC40C1" w14:paraId="691A8A20" w14:textId="77777777" w:rsidTr="00205C52">
        <w:tc>
          <w:tcPr>
            <w:tcW w:w="9639" w:type="dxa"/>
            <w:tcBorders>
              <w:bottom w:val="single" w:sz="4" w:space="0" w:color="000000"/>
            </w:tcBorders>
            <w:shd w:val="clear" w:color="auto" w:fill="F2F2F2" w:themeFill="background1" w:themeFillShade="F2"/>
          </w:tcPr>
          <w:p w14:paraId="5FE4D70A" w14:textId="31E3E7D4" w:rsidR="00F71DB0" w:rsidRPr="00076041" w:rsidRDefault="00716DC1" w:rsidP="00F40AAF">
            <w:pPr>
              <w:pStyle w:val="TableContent"/>
              <w:ind w:left="397" w:hanging="397"/>
              <w:rPr>
                <w:b/>
                <w:bCs/>
                <w:sz w:val="24"/>
              </w:rPr>
            </w:pPr>
            <w:r w:rsidRPr="00F40AAF">
              <w:rPr>
                <w:b/>
                <w:bCs/>
                <w:sz w:val="24"/>
              </w:rPr>
              <w:t>Interpretation:(AASB 2022: 19)</w:t>
            </w:r>
          </w:p>
        </w:tc>
      </w:tr>
      <w:tr w:rsidR="00076041" w:rsidRPr="00CC40C1" w14:paraId="6F4BFA43" w14:textId="77777777" w:rsidTr="00205C52">
        <w:tc>
          <w:tcPr>
            <w:tcW w:w="9639" w:type="dxa"/>
            <w:tcBorders>
              <w:bottom w:val="single" w:sz="4" w:space="0" w:color="auto"/>
            </w:tcBorders>
            <w:shd w:val="clear" w:color="auto" w:fill="FFFFFF" w:themeFill="background1"/>
          </w:tcPr>
          <w:p w14:paraId="24DA8C7A" w14:textId="5DB09093" w:rsidR="00076041" w:rsidRPr="002933FE" w:rsidRDefault="007144EC" w:rsidP="00F40AAF">
            <w:pPr>
              <w:pStyle w:val="TableContent"/>
              <w:rPr>
                <w:sz w:val="24"/>
              </w:rPr>
            </w:pPr>
            <w:r w:rsidRPr="002933FE">
              <w:rPr>
                <w:sz w:val="24"/>
              </w:rPr>
              <w:t xml:space="preserve">A </w:t>
            </w:r>
            <w:r w:rsidR="008C69D2" w:rsidRPr="002933FE">
              <w:rPr>
                <w:sz w:val="24"/>
              </w:rPr>
              <w:t>‘</w:t>
            </w:r>
            <w:r w:rsidRPr="002933FE">
              <w:rPr>
                <w:sz w:val="24"/>
              </w:rPr>
              <w:t xml:space="preserve">not </w:t>
            </w:r>
            <w:r w:rsidR="00441BDF" w:rsidRPr="002933FE">
              <w:rPr>
                <w:sz w:val="24"/>
              </w:rPr>
              <w:t>for-profit public-sector</w:t>
            </w:r>
            <w:r w:rsidR="00DA2541" w:rsidRPr="00DA2541">
              <w:rPr>
                <w:sz w:val="24"/>
              </w:rPr>
              <w:t xml:space="preserve"> entit</w:t>
            </w:r>
            <w:r w:rsidR="008C69D2" w:rsidRPr="002933FE">
              <w:rPr>
                <w:sz w:val="24"/>
              </w:rPr>
              <w:t>y’ w</w:t>
            </w:r>
            <w:r w:rsidR="00DA2541" w:rsidRPr="00DA2541">
              <w:rPr>
                <w:sz w:val="24"/>
              </w:rPr>
              <w:t xml:space="preserve">ith non-financial assets not held primarily </w:t>
            </w:r>
            <w:r w:rsidR="00B941F2" w:rsidRPr="002933FE">
              <w:rPr>
                <w:sz w:val="24"/>
              </w:rPr>
              <w:t>‘</w:t>
            </w:r>
            <w:r w:rsidR="00DA2541" w:rsidRPr="00DA2541">
              <w:rPr>
                <w:sz w:val="24"/>
              </w:rPr>
              <w:t>to generate net cash inflows</w:t>
            </w:r>
            <w:r w:rsidR="00B941F2" w:rsidRPr="002933FE">
              <w:rPr>
                <w:sz w:val="24"/>
              </w:rPr>
              <w:t>’</w:t>
            </w:r>
            <w:r w:rsidR="00DA2541" w:rsidRPr="00DA2541">
              <w:rPr>
                <w:sz w:val="24"/>
              </w:rPr>
              <w:t xml:space="preserve"> are only required to comply with AASB 13 paragraph</w:t>
            </w:r>
            <w:r w:rsidR="00CC6AF2" w:rsidRPr="002933FE">
              <w:rPr>
                <w:sz w:val="24"/>
              </w:rPr>
              <w:t xml:space="preserve"> </w:t>
            </w:r>
            <w:r w:rsidR="00DA2541" w:rsidRPr="00DA2541">
              <w:rPr>
                <w:sz w:val="24"/>
              </w:rPr>
              <w:t>93(</w:t>
            </w:r>
            <w:proofErr w:type="spellStart"/>
            <w:r w:rsidR="00DA2541" w:rsidRPr="00DA2541">
              <w:rPr>
                <w:sz w:val="24"/>
              </w:rPr>
              <w:t>i</w:t>
            </w:r>
            <w:proofErr w:type="spellEnd"/>
            <w:r w:rsidR="00DA2541" w:rsidRPr="00DA2541">
              <w:rPr>
                <w:sz w:val="24"/>
              </w:rPr>
              <w:t xml:space="preserve">) </w:t>
            </w:r>
            <w:r w:rsidR="00397E1C">
              <w:rPr>
                <w:sz w:val="24"/>
              </w:rPr>
              <w:t xml:space="preserve">(AASB 2022) </w:t>
            </w:r>
            <w:r w:rsidR="00DA2541" w:rsidRPr="00DA2541">
              <w:rPr>
                <w:sz w:val="24"/>
              </w:rPr>
              <w:t xml:space="preserve">if </w:t>
            </w:r>
            <w:r w:rsidR="0041765D" w:rsidRPr="002933FE">
              <w:rPr>
                <w:sz w:val="24"/>
              </w:rPr>
              <w:t xml:space="preserve">the two exceptions in </w:t>
            </w:r>
            <w:r w:rsidR="00DA2541" w:rsidRPr="00DA2541">
              <w:rPr>
                <w:sz w:val="24"/>
              </w:rPr>
              <w:t>AASB 13 paragraphs Aus29.1 and Aus29.2 appl</w:t>
            </w:r>
            <w:r w:rsidR="00441BDF">
              <w:rPr>
                <w:sz w:val="24"/>
              </w:rPr>
              <w:t>y</w:t>
            </w:r>
            <w:r w:rsidR="00DA2541" w:rsidRPr="00DA2541">
              <w:rPr>
                <w:sz w:val="24"/>
              </w:rPr>
              <w:t xml:space="preserve">. </w:t>
            </w:r>
            <w:r w:rsidR="00CF6D25">
              <w:rPr>
                <w:sz w:val="24"/>
              </w:rPr>
              <w:t>In</w:t>
            </w:r>
            <w:r w:rsidR="00397E1C">
              <w:rPr>
                <w:sz w:val="24"/>
              </w:rPr>
              <w:t xml:space="preserve"> </w:t>
            </w:r>
            <w:r w:rsidR="00CF6D25">
              <w:rPr>
                <w:sz w:val="24"/>
              </w:rPr>
              <w:t xml:space="preserve">other words, if the two above-mentioned </w:t>
            </w:r>
            <w:r w:rsidR="00B934D8">
              <w:rPr>
                <w:sz w:val="24"/>
              </w:rPr>
              <w:t xml:space="preserve">exceptions do not apply, the local government does not have any disclosure </w:t>
            </w:r>
            <w:r w:rsidR="003833FF">
              <w:rPr>
                <w:sz w:val="24"/>
              </w:rPr>
              <w:t>requirements in terms of AASB 13 paragraph 93(</w:t>
            </w:r>
            <w:proofErr w:type="spellStart"/>
            <w:r w:rsidR="003833FF">
              <w:rPr>
                <w:sz w:val="24"/>
              </w:rPr>
              <w:t>i</w:t>
            </w:r>
            <w:proofErr w:type="spellEnd"/>
            <w:r w:rsidR="003833FF">
              <w:rPr>
                <w:sz w:val="24"/>
              </w:rPr>
              <w:t>)</w:t>
            </w:r>
            <w:r w:rsidR="006A2A47">
              <w:rPr>
                <w:sz w:val="24"/>
              </w:rPr>
              <w:t xml:space="preserve"> (AASB 2022)</w:t>
            </w:r>
            <w:r w:rsidR="003833FF">
              <w:rPr>
                <w:sz w:val="24"/>
              </w:rPr>
              <w:t>.</w:t>
            </w:r>
          </w:p>
        </w:tc>
      </w:tr>
    </w:tbl>
    <w:p w14:paraId="320B51BB" w14:textId="77777777" w:rsidR="00B2414C" w:rsidRDefault="00B2414C">
      <w:pPr>
        <w:spacing w:after="0" w:line="240" w:lineRule="auto"/>
        <w:rPr>
          <w:rFonts w:cs="Arial"/>
          <w:b/>
          <w:bCs/>
          <w:szCs w:val="28"/>
        </w:rPr>
      </w:pPr>
      <w:r>
        <w:br w:type="page"/>
      </w:r>
    </w:p>
    <w:p w14:paraId="1DB6B3E1" w14:textId="19AB03A3" w:rsidR="00B73FAF" w:rsidRPr="00531070" w:rsidRDefault="00B73FAF" w:rsidP="00B73FAF">
      <w:pPr>
        <w:pStyle w:val="Heading4"/>
      </w:pPr>
      <w:r w:rsidRPr="00531070">
        <w:lastRenderedPageBreak/>
        <w:t>December 2022</w:t>
      </w:r>
      <w:r w:rsidR="00A16896">
        <w:t xml:space="preserve"> changes</w:t>
      </w:r>
      <w:r w:rsidRPr="00531070">
        <w:t xml:space="preserve">: </w:t>
      </w:r>
      <w:r>
        <w:t>implementation date</w:t>
      </w:r>
      <w:r w:rsidRPr="00531070">
        <w:t>’</w:t>
      </w:r>
    </w:p>
    <w:p w14:paraId="18BDE607" w14:textId="7C1211DF" w:rsidR="008354AA" w:rsidRPr="004E3D6F" w:rsidRDefault="00DC709E" w:rsidP="00D70B5C">
      <w:pPr>
        <w:pStyle w:val="BodyText"/>
      </w:pPr>
      <w:r w:rsidRPr="00F40AAF">
        <w:t>The December 2022 changes to AASB 13 Fair Value Measurement</w:t>
      </w:r>
      <w:r w:rsidRPr="00F40AAF">
        <w:rPr>
          <w:vertAlign w:val="superscript"/>
        </w:rPr>
        <w:t xml:space="preserve"> </w:t>
      </w:r>
      <w:r w:rsidRPr="00F40AAF">
        <w:t>(2022) added paragraph Aus</w:t>
      </w:r>
      <w:r w:rsidR="000B59D4">
        <w:t xml:space="preserve">C6.1 to </w:t>
      </w:r>
      <w:r w:rsidR="00A75CFD">
        <w:t xml:space="preserve">Appendix C: </w:t>
      </w:r>
    </w:p>
    <w:tbl>
      <w:tblPr>
        <w:tblStyle w:val="TableGrid"/>
        <w:tblW w:w="9639" w:type="dxa"/>
        <w:shd w:val="clear" w:color="auto" w:fill="F2F2F2" w:themeFill="background1" w:themeFillShade="F2"/>
        <w:tblLook w:val="04A0" w:firstRow="1" w:lastRow="0" w:firstColumn="1" w:lastColumn="0" w:noHBand="0" w:noVBand="1"/>
      </w:tblPr>
      <w:tblGrid>
        <w:gridCol w:w="9639"/>
      </w:tblGrid>
      <w:tr w:rsidR="001F6E91" w:rsidRPr="00F40AAF" w14:paraId="1731F0C4" w14:textId="77777777" w:rsidTr="00AE7F33">
        <w:tc>
          <w:tcPr>
            <w:tcW w:w="9639" w:type="dxa"/>
            <w:tcBorders>
              <w:bottom w:val="single" w:sz="4" w:space="0" w:color="000000"/>
            </w:tcBorders>
            <w:shd w:val="clear" w:color="auto" w:fill="F2F2F2" w:themeFill="background1" w:themeFillShade="F2"/>
          </w:tcPr>
          <w:p w14:paraId="6C6FC6FE" w14:textId="72AAA0BD" w:rsidR="001F6E91" w:rsidRPr="00F40AAF" w:rsidRDefault="001F6E91" w:rsidP="00AE7F33">
            <w:pPr>
              <w:pStyle w:val="TableContent"/>
              <w:ind w:left="397" w:hanging="397"/>
              <w:rPr>
                <w:b/>
                <w:bCs/>
                <w:sz w:val="24"/>
              </w:rPr>
            </w:pPr>
            <w:r w:rsidRPr="00F40AAF">
              <w:rPr>
                <w:b/>
                <w:bCs/>
                <w:sz w:val="24"/>
              </w:rPr>
              <w:t xml:space="preserve">(AASB 2022: </w:t>
            </w:r>
            <w:r w:rsidR="000E624E">
              <w:rPr>
                <w:b/>
                <w:bCs/>
                <w:sz w:val="24"/>
              </w:rPr>
              <w:t>33</w:t>
            </w:r>
            <w:r w:rsidRPr="00F40AAF">
              <w:rPr>
                <w:b/>
                <w:bCs/>
                <w:sz w:val="24"/>
              </w:rPr>
              <w:t>)</w:t>
            </w:r>
          </w:p>
        </w:tc>
      </w:tr>
      <w:tr w:rsidR="001F6E91" w:rsidRPr="00F40AAF" w14:paraId="5FA5BAAC" w14:textId="77777777" w:rsidTr="00AE7F33">
        <w:tc>
          <w:tcPr>
            <w:tcW w:w="9639" w:type="dxa"/>
            <w:shd w:val="clear" w:color="auto" w:fill="FFFFFF" w:themeFill="background1"/>
          </w:tcPr>
          <w:p w14:paraId="01152F38" w14:textId="4241ACE5" w:rsidR="00545D64" w:rsidRDefault="001F6E91" w:rsidP="00545D64">
            <w:pPr>
              <w:pStyle w:val="TableContent"/>
              <w:ind w:left="1021" w:hanging="1021"/>
              <w:rPr>
                <w:sz w:val="24"/>
              </w:rPr>
            </w:pPr>
            <w:r w:rsidRPr="00F40AAF">
              <w:t>‘</w:t>
            </w:r>
            <w:r w:rsidR="00406660" w:rsidRPr="00406660">
              <w:rPr>
                <w:sz w:val="24"/>
              </w:rPr>
              <w:t>AusC6.1 AASB 2022-10 Amendments to Australian Accounting Standards – Fair Value Measurement of Non-Financial Assets of Not-for-Profit Public Sector Entities amended AASB 13 for application by not-for-profit public sector entities</w:t>
            </w:r>
            <w:proofErr w:type="gramStart"/>
            <w:r w:rsidR="008D7C4A">
              <w:rPr>
                <w:sz w:val="24"/>
              </w:rPr>
              <w:t>…..</w:t>
            </w:r>
            <w:proofErr w:type="gramEnd"/>
            <w:r w:rsidR="00406660" w:rsidRPr="00406660">
              <w:rPr>
                <w:sz w:val="24"/>
              </w:rPr>
              <w:t xml:space="preserve"> </w:t>
            </w:r>
          </w:p>
          <w:p w14:paraId="71EE57A8" w14:textId="1D8471E6" w:rsidR="001F6E91" w:rsidRPr="00F40AAF" w:rsidRDefault="00406660" w:rsidP="0036579C">
            <w:pPr>
              <w:pStyle w:val="TableContent"/>
              <w:ind w:left="1021"/>
            </w:pPr>
            <w:r w:rsidRPr="00406660">
              <w:rPr>
                <w:sz w:val="24"/>
              </w:rPr>
              <w:t>A not-for-profit public sector entity shall apply those amendments prospectively for annual periods beginning on or after 1 January 2024</w:t>
            </w:r>
            <w:r w:rsidR="0036579C">
              <w:rPr>
                <w:sz w:val="24"/>
              </w:rPr>
              <w:t>….</w:t>
            </w:r>
            <w:r w:rsidR="00F34564">
              <w:rPr>
                <w:sz w:val="24"/>
              </w:rPr>
              <w:t>’</w:t>
            </w:r>
          </w:p>
        </w:tc>
      </w:tr>
      <w:tr w:rsidR="001F6E91" w:rsidRPr="00076041" w14:paraId="6CD3F183" w14:textId="77777777" w:rsidTr="00AE7F33">
        <w:tc>
          <w:tcPr>
            <w:tcW w:w="9639" w:type="dxa"/>
            <w:tcBorders>
              <w:bottom w:val="single" w:sz="4" w:space="0" w:color="000000"/>
            </w:tcBorders>
            <w:shd w:val="clear" w:color="auto" w:fill="F2F2F2" w:themeFill="background1" w:themeFillShade="F2"/>
          </w:tcPr>
          <w:p w14:paraId="73F72F06" w14:textId="5A1F06E4" w:rsidR="001F6E91" w:rsidRPr="00076041" w:rsidRDefault="001F6E91" w:rsidP="00AE7F33">
            <w:pPr>
              <w:pStyle w:val="TableContent"/>
              <w:ind w:left="397" w:hanging="397"/>
              <w:rPr>
                <w:b/>
                <w:bCs/>
                <w:sz w:val="24"/>
              </w:rPr>
            </w:pPr>
            <w:r w:rsidRPr="00F40AAF">
              <w:rPr>
                <w:b/>
                <w:bCs/>
                <w:sz w:val="24"/>
              </w:rPr>
              <w:t xml:space="preserve">Interpretation:(AASB 2022: </w:t>
            </w:r>
            <w:r w:rsidR="00F34564">
              <w:rPr>
                <w:b/>
                <w:bCs/>
                <w:sz w:val="24"/>
              </w:rPr>
              <w:t>33</w:t>
            </w:r>
            <w:r w:rsidRPr="00F40AAF">
              <w:rPr>
                <w:b/>
                <w:bCs/>
                <w:sz w:val="24"/>
              </w:rPr>
              <w:t>)</w:t>
            </w:r>
          </w:p>
        </w:tc>
      </w:tr>
      <w:tr w:rsidR="001F6E91" w:rsidRPr="002933FE" w14:paraId="06A3061F" w14:textId="77777777" w:rsidTr="00AE7F33">
        <w:tc>
          <w:tcPr>
            <w:tcW w:w="9639" w:type="dxa"/>
            <w:tcBorders>
              <w:bottom w:val="single" w:sz="4" w:space="0" w:color="auto"/>
            </w:tcBorders>
            <w:shd w:val="clear" w:color="auto" w:fill="FFFFFF" w:themeFill="background1"/>
          </w:tcPr>
          <w:p w14:paraId="46F78196" w14:textId="77777777" w:rsidR="00131FED" w:rsidRPr="00CA2DE1" w:rsidRDefault="00E476BE" w:rsidP="00CA2DE1">
            <w:pPr>
              <w:pStyle w:val="TableContent"/>
              <w:rPr>
                <w:sz w:val="24"/>
              </w:rPr>
            </w:pPr>
            <w:r w:rsidRPr="00CA2DE1">
              <w:rPr>
                <w:sz w:val="24"/>
              </w:rPr>
              <w:t>T</w:t>
            </w:r>
            <w:r w:rsidR="00131FED" w:rsidRPr="00CA2DE1">
              <w:rPr>
                <w:sz w:val="24"/>
              </w:rPr>
              <w:t xml:space="preserve">he implementation date is clear. </w:t>
            </w:r>
          </w:p>
          <w:p w14:paraId="04564D31" w14:textId="77777777" w:rsidR="000B065E" w:rsidRPr="00F0539A" w:rsidRDefault="000B065E" w:rsidP="00F0539A">
            <w:pPr>
              <w:pStyle w:val="TableContent"/>
              <w:rPr>
                <w:sz w:val="24"/>
              </w:rPr>
            </w:pPr>
            <w:r w:rsidRPr="00F0539A">
              <w:rPr>
                <w:sz w:val="24"/>
              </w:rPr>
              <w:t>Local governments must apply the amendments prospectively for annual periods beginning on or after 1 January 2024 (AASB 2022:33). As local governments have a 30 June financial year end date, their first financial year beginning on or after 1 January 2024 is the 2024-2025 financial year.</w:t>
            </w:r>
          </w:p>
          <w:p w14:paraId="7DDC0F10" w14:textId="376991C0" w:rsidR="000B065E" w:rsidRPr="00F0539A" w:rsidRDefault="000B065E" w:rsidP="00F0539A">
            <w:pPr>
              <w:pStyle w:val="TableContent"/>
              <w:rPr>
                <w:sz w:val="24"/>
              </w:rPr>
            </w:pPr>
            <w:r w:rsidRPr="00F0539A">
              <w:rPr>
                <w:sz w:val="24"/>
              </w:rPr>
              <w:t>However, in Western Australia, LG (FM) Regs overrule Australian Accounting Standards. In terms of the LG (FM) Regs, regulation 17A</w:t>
            </w:r>
            <w:r w:rsidR="00283E6E">
              <w:rPr>
                <w:sz w:val="24"/>
              </w:rPr>
              <w:t>(</w:t>
            </w:r>
            <w:r w:rsidRPr="00F0539A">
              <w:rPr>
                <w:sz w:val="24"/>
              </w:rPr>
              <w:t>4</w:t>
            </w:r>
            <w:proofErr w:type="gramStart"/>
            <w:r w:rsidRPr="00F0539A">
              <w:rPr>
                <w:sz w:val="24"/>
              </w:rPr>
              <w:t>A</w:t>
            </w:r>
            <w:r w:rsidR="00283E6E">
              <w:rPr>
                <w:sz w:val="24"/>
              </w:rPr>
              <w:t>)</w:t>
            </w:r>
            <w:r w:rsidRPr="00F0539A">
              <w:rPr>
                <w:sz w:val="24"/>
              </w:rPr>
              <w:t>(</w:t>
            </w:r>
            <w:proofErr w:type="gramEnd"/>
            <w:r w:rsidRPr="00F0539A">
              <w:rPr>
                <w:sz w:val="24"/>
              </w:rPr>
              <w:t>b)</w:t>
            </w:r>
            <w:r w:rsidR="00441BDF">
              <w:rPr>
                <w:sz w:val="24"/>
              </w:rPr>
              <w:t>,</w:t>
            </w:r>
            <w:r w:rsidRPr="00F0539A">
              <w:rPr>
                <w:sz w:val="24"/>
              </w:rPr>
              <w:t xml:space="preserve"> a local government only needs to value land and buildings, infrastructure and vested improvement every 5 years. Consequently, if a local government last valued the land used as a park in the 2022-23 financial year, it only needs to revalue that land in the 2027-28 financial year. </w:t>
            </w:r>
          </w:p>
          <w:p w14:paraId="19E52401" w14:textId="46509F99" w:rsidR="00CB2EF9" w:rsidRPr="00CA2DE1" w:rsidRDefault="000B065E" w:rsidP="00F0539A">
            <w:pPr>
              <w:pStyle w:val="TableContent"/>
            </w:pPr>
            <w:r w:rsidRPr="00F0539A">
              <w:rPr>
                <w:sz w:val="24"/>
              </w:rPr>
              <w:t>When the local government valued the land in the 2022-23 financial year</w:t>
            </w:r>
            <w:r w:rsidR="00441BDF">
              <w:rPr>
                <w:sz w:val="24"/>
              </w:rPr>
              <w:t>,</w:t>
            </w:r>
            <w:r w:rsidRPr="00F0539A">
              <w:rPr>
                <w:sz w:val="24"/>
              </w:rPr>
              <w:t xml:space="preserve"> it would have valued it based on its ‘highest and best use</w:t>
            </w:r>
            <w:proofErr w:type="gramStart"/>
            <w:r w:rsidRPr="00F0539A">
              <w:rPr>
                <w:sz w:val="24"/>
              </w:rPr>
              <w:t>’</w:t>
            </w:r>
            <w:r w:rsidRPr="00F0539A">
              <w:rPr>
                <w:sz w:val="24"/>
                <w:lang w:val="en-US"/>
              </w:rPr>
              <w:t>(</w:t>
            </w:r>
            <w:proofErr w:type="gramEnd"/>
            <w:r w:rsidRPr="00F0539A">
              <w:rPr>
                <w:sz w:val="24"/>
                <w:lang w:val="en-US"/>
              </w:rPr>
              <w:t>AASB 2022:8)</w:t>
            </w:r>
            <w:r w:rsidRPr="00F0539A">
              <w:rPr>
                <w:sz w:val="24"/>
              </w:rPr>
              <w:t xml:space="preserve">. In other words, it would not have discounted the land’s value to acknowledge its use as a park. The local government can retain the measurement based on the revaluation methodology used in the 2022-23 financial year until it </w:t>
            </w:r>
            <w:proofErr w:type="spellStart"/>
            <w:r w:rsidR="003C70E3" w:rsidRPr="00F0539A">
              <w:rPr>
                <w:sz w:val="24"/>
              </w:rPr>
              <w:t>revalues</w:t>
            </w:r>
            <w:proofErr w:type="spellEnd"/>
            <w:r w:rsidRPr="00F0539A">
              <w:rPr>
                <w:sz w:val="24"/>
              </w:rPr>
              <w:t xml:space="preserve"> the land, with the latest being in the 2027-28 financial year (LG(FM) Regs, regulations17A(2)(a), 17</w:t>
            </w:r>
            <w:proofErr w:type="gramStart"/>
            <w:r w:rsidRPr="00F0539A">
              <w:rPr>
                <w:sz w:val="24"/>
              </w:rPr>
              <w:t>A(</w:t>
            </w:r>
            <w:proofErr w:type="gramEnd"/>
            <w:r w:rsidRPr="00F0539A">
              <w:rPr>
                <w:sz w:val="24"/>
              </w:rPr>
              <w:t>4), 17A</w:t>
            </w:r>
            <w:r w:rsidR="00F10D49">
              <w:rPr>
                <w:sz w:val="24"/>
              </w:rPr>
              <w:t>(</w:t>
            </w:r>
            <w:r w:rsidRPr="00F0539A">
              <w:rPr>
                <w:sz w:val="24"/>
              </w:rPr>
              <w:t>4</w:t>
            </w:r>
            <w:proofErr w:type="gramStart"/>
            <w:r w:rsidRPr="00F0539A">
              <w:rPr>
                <w:sz w:val="24"/>
              </w:rPr>
              <w:t>A</w:t>
            </w:r>
            <w:r w:rsidR="00F10D49">
              <w:rPr>
                <w:sz w:val="24"/>
              </w:rPr>
              <w:t>)</w:t>
            </w:r>
            <w:r w:rsidRPr="00F0539A">
              <w:rPr>
                <w:sz w:val="24"/>
              </w:rPr>
              <w:t>(</w:t>
            </w:r>
            <w:proofErr w:type="gramEnd"/>
            <w:r w:rsidRPr="00F0539A">
              <w:rPr>
                <w:sz w:val="24"/>
              </w:rPr>
              <w:t>b) and 17A(4</w:t>
            </w:r>
            <w:proofErr w:type="gramStart"/>
            <w:r w:rsidRPr="00F0539A">
              <w:rPr>
                <w:sz w:val="24"/>
              </w:rPr>
              <w:t>B)(</w:t>
            </w:r>
            <w:proofErr w:type="gramEnd"/>
            <w:r w:rsidRPr="00F0539A">
              <w:rPr>
                <w:sz w:val="24"/>
              </w:rPr>
              <w:t>b)</w:t>
            </w:r>
            <w:r w:rsidR="00441BDF">
              <w:rPr>
                <w:sz w:val="24"/>
              </w:rPr>
              <w:t>)</w:t>
            </w:r>
            <w:r w:rsidRPr="00F0539A">
              <w:rPr>
                <w:sz w:val="24"/>
              </w:rPr>
              <w:t>. In other words, the local government can delay its compliance with AASB 2022-10 from the 2024-25 financial year to the 2027-28 financial year.</w:t>
            </w:r>
          </w:p>
        </w:tc>
      </w:tr>
    </w:tbl>
    <w:p w14:paraId="2BDB1A98" w14:textId="6CF3947F" w:rsidR="000F34E3" w:rsidRDefault="000F34E3">
      <w:pPr>
        <w:spacing w:after="0" w:line="240" w:lineRule="auto"/>
        <w:rPr>
          <w:rFonts w:cs="Arial"/>
          <w:b/>
          <w:bCs/>
          <w:color w:val="000000" w:themeColor="text1"/>
        </w:rPr>
      </w:pPr>
      <w:r>
        <w:rPr>
          <w:b/>
          <w:bCs/>
        </w:rPr>
        <w:br w:type="page"/>
      </w:r>
    </w:p>
    <w:p w14:paraId="2B7F44A4" w14:textId="77777777" w:rsidR="004B43C1" w:rsidRPr="00A90979" w:rsidRDefault="433D460E" w:rsidP="00AE0FA4">
      <w:pPr>
        <w:pStyle w:val="TableContent"/>
        <w:rPr>
          <w:b/>
          <w:bCs/>
          <w:color w:val="000000"/>
        </w:rPr>
      </w:pPr>
      <w:r w:rsidRPr="00AE0FA4">
        <w:rPr>
          <w:b/>
          <w:bCs/>
        </w:rPr>
        <w:lastRenderedPageBreak/>
        <w:t>Flowchart: Fair value measurement of non-financial assets</w:t>
      </w:r>
    </w:p>
    <w:p w14:paraId="476A2980" w14:textId="0CC69F63" w:rsidR="00663ADB" w:rsidRPr="00B23711" w:rsidRDefault="004B43C1" w:rsidP="00D57B66">
      <w:pPr>
        <w:spacing w:before="120"/>
      </w:pPr>
      <w:r w:rsidRPr="00A90979">
        <w:rPr>
          <w:rFonts w:cs="Arial"/>
          <w:b/>
          <w:bCs/>
          <w:color w:val="000000"/>
        </w:rPr>
        <w:t>Application of AASB 13 Fair Value Measurement (2022: 8-9)</w:t>
      </w:r>
      <w:r w:rsidR="00663ADB">
        <w:rPr>
          <w:noProof/>
        </w:rPr>
        <mc:AlternateContent>
          <mc:Choice Requires="wps">
            <w:drawing>
              <wp:anchor distT="0" distB="0" distL="114300" distR="114300" simplePos="0" relativeHeight="251658255" behindDoc="0" locked="0" layoutInCell="1" allowOverlap="1" wp14:anchorId="4EC6FCC6" wp14:editId="42DC19A3">
                <wp:simplePos x="0" y="0"/>
                <wp:positionH relativeFrom="column">
                  <wp:posOffset>4632325</wp:posOffset>
                </wp:positionH>
                <wp:positionV relativeFrom="paragraph">
                  <wp:posOffset>1002855</wp:posOffset>
                </wp:positionV>
                <wp:extent cx="593766" cy="285007"/>
                <wp:effectExtent l="0" t="0" r="0" b="1270"/>
                <wp:wrapNone/>
                <wp:docPr id="768287733" name="Text Box 6"/>
                <wp:cNvGraphicFramePr/>
                <a:graphic xmlns:a="http://schemas.openxmlformats.org/drawingml/2006/main">
                  <a:graphicData uri="http://schemas.microsoft.com/office/word/2010/wordprocessingShape">
                    <wps:wsp>
                      <wps:cNvSpPr txBox="1"/>
                      <wps:spPr>
                        <a:xfrm>
                          <a:off x="0" y="0"/>
                          <a:ext cx="593766" cy="285007"/>
                        </a:xfrm>
                        <a:prstGeom prst="rect">
                          <a:avLst/>
                        </a:prstGeom>
                        <a:noFill/>
                        <a:ln w="6350">
                          <a:noFill/>
                        </a:ln>
                        <a:effectLst/>
                      </wps:spPr>
                      <wps:txbx>
                        <w:txbxContent>
                          <w:p w14:paraId="7F36C598" w14:textId="77777777" w:rsidR="00663ADB" w:rsidRDefault="00663ADB" w:rsidP="00663AD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C6FCC6" id="_x0000_t202" coordsize="21600,21600" o:spt="202" path="m,l,21600r21600,l21600,xe">
                <v:stroke joinstyle="miter"/>
                <v:path gradientshapeok="t" o:connecttype="rect"/>
              </v:shapetype>
              <v:shape id="Text Box 6" o:spid="_x0000_s1026" type="#_x0000_t202" style="position:absolute;margin-left:364.75pt;margin-top:78.95pt;width:46.75pt;height:22.4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" filled="f" stroked="f" strokeweight=".5pt">
                <v:textbox>
                  <w:txbxContent>
                    <w:p w14:paraId="7F36C598" w14:textId="77777777" w:rsidR="00663ADB" w:rsidRDefault="00663ADB" w:rsidP="00663ADB">
                      <w:r>
                        <w:t>No</w:t>
                      </w:r>
                    </w:p>
                  </w:txbxContent>
                </v:textbox>
              </v:shape>
            </w:pict>
          </mc:Fallback>
        </mc:AlternateContent>
      </w:r>
      <w:r w:rsidR="00663ADB">
        <w:rPr>
          <w:noProof/>
        </w:rPr>
        <mc:AlternateContent>
          <mc:Choice Requires="wps">
            <w:drawing>
              <wp:anchor distT="0" distB="0" distL="114300" distR="114300" simplePos="0" relativeHeight="251658281" behindDoc="0" locked="0" layoutInCell="1" allowOverlap="1" wp14:anchorId="10D056AA" wp14:editId="5C376EFE">
                <wp:simplePos x="0" y="0"/>
                <wp:positionH relativeFrom="column">
                  <wp:posOffset>4607626</wp:posOffset>
                </wp:positionH>
                <wp:positionV relativeFrom="paragraph">
                  <wp:posOffset>1021277</wp:posOffset>
                </wp:positionV>
                <wp:extent cx="0" cy="260985"/>
                <wp:effectExtent l="76200" t="0" r="57150" b="62865"/>
                <wp:wrapNone/>
                <wp:docPr id="1296604487" name="Straight Arrow Connector 8" descr="Arrow pointing down with no next to it"/>
                <wp:cNvGraphicFramePr/>
                <a:graphic xmlns:a="http://schemas.openxmlformats.org/drawingml/2006/main">
                  <a:graphicData uri="http://schemas.microsoft.com/office/word/2010/wordprocessingShape">
                    <wps:wsp>
                      <wps:cNvCnPr/>
                      <wps:spPr>
                        <a:xfrm>
                          <a:off x="0" y="0"/>
                          <a:ext cx="0" cy="260985"/>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9F2E89" id="_x0000_t32" coordsize="21600,21600" o:spt="32" o:oned="t" path="m,l21600,21600e" filled="f">
                <v:path arrowok="t" fillok="f" o:connecttype="none"/>
                <o:lock v:ext="edit" shapetype="t"/>
              </v:shapetype>
              <v:shape id="Straight Arrow Connector 8" o:spid="_x0000_s1026" type="#_x0000_t32" alt="Arrow pointing down with no next to it" style="position:absolute;margin-left:362.8pt;margin-top:80.4pt;width:0;height:20.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" strokecolor="#8782a8 [1951]" strokeweight="2pt">
                <v:stroke endarrow="block"/>
              </v:shape>
            </w:pict>
          </mc:Fallback>
        </mc:AlternateContent>
      </w:r>
      <w:r w:rsidR="00663ADB">
        <w:rPr>
          <w:noProof/>
        </w:rPr>
        <mc:AlternateContent>
          <mc:Choice Requires="wps">
            <w:drawing>
              <wp:anchor distT="0" distB="0" distL="114300" distR="114300" simplePos="0" relativeHeight="251658271" behindDoc="0" locked="0" layoutInCell="1" allowOverlap="1" wp14:anchorId="4E0761BD" wp14:editId="72E4B4BC">
                <wp:simplePos x="0" y="0"/>
                <wp:positionH relativeFrom="column">
                  <wp:posOffset>1299845</wp:posOffset>
                </wp:positionH>
                <wp:positionV relativeFrom="paragraph">
                  <wp:posOffset>4643310</wp:posOffset>
                </wp:positionV>
                <wp:extent cx="0" cy="260985"/>
                <wp:effectExtent l="76200" t="0" r="57150" b="62865"/>
                <wp:wrapNone/>
                <wp:docPr id="1773073316" name="Straight Arrow Connector 8" descr="Arrow pointing down with no next to it"/>
                <wp:cNvGraphicFramePr/>
                <a:graphic xmlns:a="http://schemas.openxmlformats.org/drawingml/2006/main">
                  <a:graphicData uri="http://schemas.microsoft.com/office/word/2010/wordprocessingShape">
                    <wps:wsp>
                      <wps:cNvCnPr/>
                      <wps:spPr>
                        <a:xfrm>
                          <a:off x="0" y="0"/>
                          <a:ext cx="0" cy="260985"/>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DE0F4EB" id="Straight Arrow Connector 8" o:spid="_x0000_s1026" type="#_x0000_t32" alt="Arrow pointing down with no next to it" style="position:absolute;margin-left:102.35pt;margin-top:365.6pt;width:0;height:20.55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" strokecolor="#8782a8 [1951]" strokeweight="2pt">
                <v:stroke endarrow="block"/>
              </v:shape>
            </w:pict>
          </mc:Fallback>
        </mc:AlternateContent>
      </w:r>
      <w:r w:rsidR="00663ADB">
        <w:rPr>
          <w:noProof/>
        </w:rPr>
        <mc:AlternateContent>
          <mc:Choice Requires="wps">
            <w:drawing>
              <wp:anchor distT="0" distB="0" distL="114300" distR="114300" simplePos="0" relativeHeight="251658254" behindDoc="0" locked="0" layoutInCell="1" allowOverlap="1" wp14:anchorId="2AFC8590" wp14:editId="349CA4B4">
                <wp:simplePos x="0" y="0"/>
                <wp:positionH relativeFrom="column">
                  <wp:posOffset>829310</wp:posOffset>
                </wp:positionH>
                <wp:positionV relativeFrom="paragraph">
                  <wp:posOffset>1259015</wp:posOffset>
                </wp:positionV>
                <wp:extent cx="593725" cy="284480"/>
                <wp:effectExtent l="0" t="0" r="0" b="1270"/>
                <wp:wrapNone/>
                <wp:docPr id="978872147"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wps:spPr>
                      <wps:txbx>
                        <w:txbxContent>
                          <w:p w14:paraId="11578D29" w14:textId="77777777" w:rsidR="00663ADB" w:rsidRDefault="00663ADB" w:rsidP="00663ADB">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C8590" id="_x0000_s1027" type="#_x0000_t202" style="position:absolute;margin-left:65.3pt;margin-top:99.15pt;width:46.75pt;height:22.4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" filled="f" stroked="f" strokeweight=".5pt">
                <v:textbox>
                  <w:txbxContent>
                    <w:p w14:paraId="11578D29" w14:textId="77777777" w:rsidR="00663ADB" w:rsidRDefault="00663ADB" w:rsidP="00663ADB">
                      <w:r>
                        <w:t>Yes</w:t>
                      </w:r>
                    </w:p>
                  </w:txbxContent>
                </v:textbox>
              </v:shape>
            </w:pict>
          </mc:Fallback>
        </mc:AlternateContent>
      </w:r>
      <w:r w:rsidR="00663ADB">
        <w:rPr>
          <w:noProof/>
        </w:rPr>
        <mc:AlternateContent>
          <mc:Choice Requires="wps">
            <w:drawing>
              <wp:anchor distT="0" distB="0" distL="114300" distR="114300" simplePos="0" relativeHeight="251658253" behindDoc="0" locked="0" layoutInCell="1" allowOverlap="1" wp14:anchorId="78675A7D" wp14:editId="30076A18">
                <wp:simplePos x="0" y="0"/>
                <wp:positionH relativeFrom="margin">
                  <wp:posOffset>1210310</wp:posOffset>
                </wp:positionH>
                <wp:positionV relativeFrom="paragraph">
                  <wp:posOffset>508445</wp:posOffset>
                </wp:positionV>
                <wp:extent cx="3674110" cy="419735"/>
                <wp:effectExtent l="19050" t="19050" r="40640" b="37465"/>
                <wp:wrapNone/>
                <wp:docPr id="1994278812" name="Text Box 3"/>
                <wp:cNvGraphicFramePr/>
                <a:graphic xmlns:a="http://schemas.openxmlformats.org/drawingml/2006/main">
                  <a:graphicData uri="http://schemas.microsoft.com/office/word/2010/wordprocessingShape">
                    <wps:wsp>
                      <wps:cNvSpPr txBox="1"/>
                      <wps:spPr>
                        <a:xfrm>
                          <a:off x="0" y="0"/>
                          <a:ext cx="3674110" cy="419735"/>
                        </a:xfrm>
                        <a:prstGeom prst="rect">
                          <a:avLst/>
                        </a:prstGeom>
                        <a:solidFill>
                          <a:schemeClr val="lt1"/>
                        </a:solidFill>
                        <a:ln w="57150">
                          <a:solidFill>
                            <a:schemeClr val="tx2">
                              <a:lumMod val="60000"/>
                              <a:lumOff val="40000"/>
                            </a:schemeClr>
                          </a:solidFill>
                        </a:ln>
                      </wps:spPr>
                      <wps:txbx>
                        <w:txbxContent>
                          <w:p w14:paraId="3072BFD7" w14:textId="77777777" w:rsidR="00663ADB" w:rsidRPr="00B23711" w:rsidRDefault="00663ADB" w:rsidP="00663ADB">
                            <w:pPr>
                              <w:jc w:val="center"/>
                              <w:rPr>
                                <w:rFonts w:cs="Arial"/>
                                <w:color w:val="000000" w:themeColor="text1"/>
                                <w:lang w:val="en-US"/>
                              </w:rPr>
                            </w:pPr>
                            <w:r w:rsidRPr="00B23711">
                              <w:rPr>
                                <w:rFonts w:cs="Arial"/>
                                <w:color w:val="000000" w:themeColor="text1"/>
                                <w:lang w:val="en-US"/>
                              </w:rPr>
                              <w:t>Is it a non-financial asset?</w:t>
                            </w:r>
                          </w:p>
                          <w:p w14:paraId="3D366F66" w14:textId="77777777" w:rsidR="00663ADB" w:rsidRDefault="00663ADB" w:rsidP="00663A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75A7D" id="Text Box 3" o:spid="_x0000_s1028" type="#_x0000_t202" style="position:absolute;margin-left:95.3pt;margin-top:40.05pt;width:289.3pt;height:33.0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" fillcolor="white [3201]" strokecolor="#8782a8 [1951]" strokeweight="4.5pt">
                <v:textbox>
                  <w:txbxContent>
                    <w:p w14:paraId="3072BFD7" w14:textId="77777777" w:rsidR="00663ADB" w:rsidRPr="00B23711" w:rsidRDefault="00663ADB" w:rsidP="00663ADB">
                      <w:pPr>
                        <w:jc w:val="center"/>
                        <w:rPr>
                          <w:rFonts w:cs="Arial"/>
                          <w:color w:val="000000" w:themeColor="text1"/>
                          <w:lang w:val="en-US"/>
                        </w:rPr>
                      </w:pPr>
                      <w:r w:rsidRPr="00B23711">
                        <w:rPr>
                          <w:rFonts w:cs="Arial"/>
                          <w:color w:val="000000" w:themeColor="text1"/>
                          <w:lang w:val="en-US"/>
                        </w:rPr>
                        <w:t>Is it a non-financial asset?</w:t>
                      </w:r>
                    </w:p>
                    <w:p w14:paraId="3D366F66" w14:textId="77777777" w:rsidR="00663ADB" w:rsidRDefault="00663ADB" w:rsidP="00663ADB"/>
                  </w:txbxContent>
                </v:textbox>
                <w10:wrap anchorx="margin"/>
              </v:shape>
            </w:pict>
          </mc:Fallback>
        </mc:AlternateContent>
      </w:r>
      <w:r w:rsidR="00663ADB">
        <w:rPr>
          <w:noProof/>
        </w:rPr>
        <mc:AlternateContent>
          <mc:Choice Requires="wps">
            <w:drawing>
              <wp:anchor distT="0" distB="0" distL="114300" distR="114300" simplePos="0" relativeHeight="251658266" behindDoc="0" locked="0" layoutInCell="1" allowOverlap="1" wp14:anchorId="277DD7CA" wp14:editId="70F845E6">
                <wp:simplePos x="0" y="0"/>
                <wp:positionH relativeFrom="column">
                  <wp:posOffset>1303663</wp:posOffset>
                </wp:positionH>
                <wp:positionV relativeFrom="paragraph">
                  <wp:posOffset>1089462</wp:posOffset>
                </wp:positionV>
                <wp:extent cx="6886" cy="1234465"/>
                <wp:effectExtent l="76200" t="0" r="69850" b="60960"/>
                <wp:wrapNone/>
                <wp:docPr id="636447023" name="Straight Arrow Connector 7" descr="Arrow pointing down with yes next to it"/>
                <wp:cNvGraphicFramePr/>
                <a:graphic xmlns:a="http://schemas.openxmlformats.org/drawingml/2006/main">
                  <a:graphicData uri="http://schemas.microsoft.com/office/word/2010/wordprocessingShape">
                    <wps:wsp>
                      <wps:cNvCnPr/>
                      <wps:spPr>
                        <a:xfrm flipH="1">
                          <a:off x="0" y="0"/>
                          <a:ext cx="6886" cy="1234465"/>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25724" id="Straight Arrow Connector 7" o:spid="_x0000_s1026" type="#_x0000_t32" alt="Arrow pointing down with yes next to it" style="position:absolute;margin-left:102.65pt;margin-top:85.8pt;width:.55pt;height:97.2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" strokecolor="#8782a8 [1951]" strokeweight="2pt">
                <v:stroke endarrow="block"/>
              </v:shape>
            </w:pict>
          </mc:Fallback>
        </mc:AlternateContent>
      </w:r>
      <w:r w:rsidR="00663ADB">
        <w:rPr>
          <w:noProof/>
        </w:rPr>
        <mc:AlternateContent>
          <mc:Choice Requires="wps">
            <w:drawing>
              <wp:anchor distT="0" distB="0" distL="114300" distR="114300" simplePos="0" relativeHeight="251658275" behindDoc="0" locked="0" layoutInCell="1" allowOverlap="1" wp14:anchorId="2D594E23" wp14:editId="56176C88">
                <wp:simplePos x="0" y="0"/>
                <wp:positionH relativeFrom="margin">
                  <wp:align>left</wp:align>
                </wp:positionH>
                <wp:positionV relativeFrom="paragraph">
                  <wp:posOffset>7490262</wp:posOffset>
                </wp:positionV>
                <wp:extent cx="3448545" cy="788473"/>
                <wp:effectExtent l="19050" t="19050" r="38100" b="31115"/>
                <wp:wrapNone/>
                <wp:docPr id="1879777928" name="Text Box 3"/>
                <wp:cNvGraphicFramePr/>
                <a:graphic xmlns:a="http://schemas.openxmlformats.org/drawingml/2006/main">
                  <a:graphicData uri="http://schemas.microsoft.com/office/word/2010/wordprocessingShape">
                    <wps:wsp>
                      <wps:cNvSpPr txBox="1"/>
                      <wps:spPr>
                        <a:xfrm>
                          <a:off x="0" y="0"/>
                          <a:ext cx="3448545" cy="788473"/>
                        </a:xfrm>
                        <a:prstGeom prst="rect">
                          <a:avLst/>
                        </a:prstGeom>
                        <a:solidFill>
                          <a:schemeClr val="lt1"/>
                        </a:solidFill>
                        <a:ln w="57150">
                          <a:solidFill>
                            <a:schemeClr val="tx2">
                              <a:lumMod val="60000"/>
                              <a:lumOff val="40000"/>
                            </a:schemeClr>
                          </a:solidFill>
                        </a:ln>
                      </wps:spPr>
                      <wps:txbx>
                        <w:txbxContent>
                          <w:p w14:paraId="34206CF9" w14:textId="77777777" w:rsidR="00663ADB" w:rsidRPr="00FA75BB" w:rsidRDefault="00663ADB" w:rsidP="00663ADB">
                            <w:pPr>
                              <w:spacing w:before="60" w:after="60"/>
                              <w:rPr>
                                <w:rFonts w:cs="Arial"/>
                                <w:color w:val="000000" w:themeColor="text1"/>
                                <w:sz w:val="20"/>
                                <w:szCs w:val="20"/>
                                <w:lang w:val="en-US"/>
                              </w:rPr>
                            </w:pPr>
                            <w:r w:rsidRPr="00FA75BB">
                              <w:rPr>
                                <w:rFonts w:cs="Arial"/>
                                <w:color w:val="000000" w:themeColor="text1"/>
                                <w:sz w:val="20"/>
                                <w:szCs w:val="20"/>
                                <w:lang w:val="en-US"/>
                              </w:rPr>
                              <w:t>Value the asset based on its ‘current use ‘(which ‘is presumed to be its highest and best use’).</w:t>
                            </w:r>
                          </w:p>
                          <w:p w14:paraId="5B016565" w14:textId="77777777" w:rsidR="00663ADB" w:rsidRPr="00FA75BB" w:rsidRDefault="00663ADB" w:rsidP="00663ADB">
                            <w:pPr>
                              <w:spacing w:before="60" w:after="60"/>
                              <w:rPr>
                                <w:rFonts w:cs="Arial"/>
                                <w:color w:val="000000" w:themeColor="text1"/>
                                <w:sz w:val="20"/>
                                <w:szCs w:val="20"/>
                              </w:rPr>
                            </w:pPr>
                            <w:r w:rsidRPr="00FA75BB">
                              <w:rPr>
                                <w:rFonts w:cs="Arial"/>
                                <w:color w:val="000000" w:themeColor="text1"/>
                                <w:sz w:val="20"/>
                                <w:szCs w:val="20"/>
                              </w:rPr>
                              <w:t>(AASB 13: 9, par. 29 and par.</w:t>
                            </w:r>
                            <w:r w:rsidRPr="00C61093">
                              <w:rPr>
                                <w:rFonts w:cs="Arial"/>
                                <w:color w:val="000000" w:themeColor="text1"/>
                              </w:rPr>
                              <w:t xml:space="preserve"> </w:t>
                            </w:r>
                            <w:r w:rsidRPr="00FA75BB">
                              <w:rPr>
                                <w:rFonts w:cs="Arial"/>
                                <w:color w:val="000000" w:themeColor="text1"/>
                                <w:sz w:val="20"/>
                                <w:szCs w:val="20"/>
                              </w:rPr>
                              <w:t>Aus29.1)</w:t>
                            </w:r>
                          </w:p>
                          <w:p w14:paraId="5F9BC4D5" w14:textId="77777777" w:rsidR="00663ADB" w:rsidRDefault="00663ADB" w:rsidP="00663A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4E23" id="_x0000_s1029" type="#_x0000_t202" style="position:absolute;margin-left:0;margin-top:589.8pt;width:271.55pt;height:62.1pt;z-index:2516582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" fillcolor="white [3201]" strokecolor="#8782a8 [1951]" strokeweight="4.5pt">
                <v:textbox>
                  <w:txbxContent>
                    <w:p w14:paraId="34206CF9" w14:textId="77777777" w:rsidR="00663ADB" w:rsidRPr="00FA75BB" w:rsidRDefault="00663ADB" w:rsidP="00663ADB">
                      <w:pPr>
                        <w:spacing w:before="60" w:after="60"/>
                        <w:rPr>
                          <w:rFonts w:cs="Arial"/>
                          <w:color w:val="000000" w:themeColor="text1"/>
                          <w:sz w:val="20"/>
                          <w:szCs w:val="20"/>
                          <w:lang w:val="en-US"/>
                        </w:rPr>
                      </w:pPr>
                      <w:r w:rsidRPr="00FA75BB">
                        <w:rPr>
                          <w:rFonts w:cs="Arial"/>
                          <w:color w:val="000000" w:themeColor="text1"/>
                          <w:sz w:val="20"/>
                          <w:szCs w:val="20"/>
                          <w:lang w:val="en-US"/>
                        </w:rPr>
                        <w:t>Value the asset based on its ‘current use ‘(which ‘is presumed to be its highest and best use’).</w:t>
                      </w:r>
                    </w:p>
                    <w:p w14:paraId="5B016565" w14:textId="77777777" w:rsidR="00663ADB" w:rsidRPr="00FA75BB" w:rsidRDefault="00663ADB" w:rsidP="00663ADB">
                      <w:pPr>
                        <w:spacing w:before="60" w:after="60"/>
                        <w:rPr>
                          <w:rFonts w:cs="Arial"/>
                          <w:color w:val="000000" w:themeColor="text1"/>
                          <w:sz w:val="20"/>
                          <w:szCs w:val="20"/>
                        </w:rPr>
                      </w:pPr>
                      <w:r w:rsidRPr="00FA75BB">
                        <w:rPr>
                          <w:rFonts w:cs="Arial"/>
                          <w:color w:val="000000" w:themeColor="text1"/>
                          <w:sz w:val="20"/>
                          <w:szCs w:val="20"/>
                        </w:rPr>
                        <w:t>(AASB 13: 9, par. 29 and par.</w:t>
                      </w:r>
                      <w:r w:rsidRPr="00C61093">
                        <w:rPr>
                          <w:rFonts w:cs="Arial"/>
                          <w:color w:val="000000" w:themeColor="text1"/>
                        </w:rPr>
                        <w:t xml:space="preserve"> </w:t>
                      </w:r>
                      <w:r w:rsidRPr="00FA75BB">
                        <w:rPr>
                          <w:rFonts w:cs="Arial"/>
                          <w:color w:val="000000" w:themeColor="text1"/>
                          <w:sz w:val="20"/>
                          <w:szCs w:val="20"/>
                        </w:rPr>
                        <w:t>Aus29.1)</w:t>
                      </w:r>
                    </w:p>
                    <w:p w14:paraId="5F9BC4D5" w14:textId="77777777" w:rsidR="00663ADB" w:rsidRDefault="00663ADB" w:rsidP="00663ADB"/>
                  </w:txbxContent>
                </v:textbox>
                <w10:wrap anchorx="margin"/>
              </v:shape>
            </w:pict>
          </mc:Fallback>
        </mc:AlternateContent>
      </w:r>
      <w:r w:rsidR="00663ADB">
        <w:rPr>
          <w:noProof/>
        </w:rPr>
        <mc:AlternateContent>
          <mc:Choice Requires="wps">
            <w:drawing>
              <wp:anchor distT="0" distB="0" distL="114300" distR="114300" simplePos="0" relativeHeight="251658272" behindDoc="0" locked="0" layoutInCell="1" allowOverlap="1" wp14:anchorId="5BAB72C0" wp14:editId="5B5E0551">
                <wp:simplePos x="0" y="0"/>
                <wp:positionH relativeFrom="margin">
                  <wp:posOffset>866140</wp:posOffset>
                </wp:positionH>
                <wp:positionV relativeFrom="paragraph">
                  <wp:posOffset>7178230</wp:posOffset>
                </wp:positionV>
                <wp:extent cx="593725" cy="284480"/>
                <wp:effectExtent l="0" t="0" r="0" b="1270"/>
                <wp:wrapNone/>
                <wp:docPr id="744666471"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a:effectLst/>
                      </wps:spPr>
                      <wps:txbx>
                        <w:txbxContent>
                          <w:p w14:paraId="6E2FD8A6" w14:textId="77777777" w:rsidR="00663ADB" w:rsidRDefault="00663ADB" w:rsidP="00663AD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AB72C0" id="_x0000_s1030" type="#_x0000_t202" style="position:absolute;margin-left:68.2pt;margin-top:565.2pt;width:46.75pt;height:22.4pt;z-index:251658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" filled="f" stroked="f" strokeweight=".5pt">
                <v:textbox>
                  <w:txbxContent>
                    <w:p w14:paraId="6E2FD8A6" w14:textId="77777777" w:rsidR="00663ADB" w:rsidRDefault="00663ADB" w:rsidP="00663ADB">
                      <w:r>
                        <w:t>No</w:t>
                      </w:r>
                    </w:p>
                  </w:txbxContent>
                </v:textbox>
                <w10:wrap anchorx="margin"/>
              </v:shape>
            </w:pict>
          </mc:Fallback>
        </mc:AlternateContent>
      </w:r>
      <w:r w:rsidR="00663ADB">
        <w:rPr>
          <w:noProof/>
        </w:rPr>
        <mc:AlternateContent>
          <mc:Choice Requires="wps">
            <w:drawing>
              <wp:anchor distT="0" distB="0" distL="114300" distR="114300" simplePos="0" relativeHeight="251658276" behindDoc="0" locked="0" layoutInCell="1" allowOverlap="1" wp14:anchorId="40FEDEE6" wp14:editId="7D81885C">
                <wp:simplePos x="0" y="0"/>
                <wp:positionH relativeFrom="column">
                  <wp:posOffset>1271905</wp:posOffset>
                </wp:positionH>
                <wp:positionV relativeFrom="paragraph">
                  <wp:posOffset>7196010</wp:posOffset>
                </wp:positionV>
                <wp:extent cx="0" cy="260985"/>
                <wp:effectExtent l="76200" t="0" r="57150" b="62865"/>
                <wp:wrapNone/>
                <wp:docPr id="329669713" name="Straight Arrow Connector 8" descr="Arrow pointing down with no next to it"/>
                <wp:cNvGraphicFramePr/>
                <a:graphic xmlns:a="http://schemas.openxmlformats.org/drawingml/2006/main">
                  <a:graphicData uri="http://schemas.microsoft.com/office/word/2010/wordprocessingShape">
                    <wps:wsp>
                      <wps:cNvCnPr/>
                      <wps:spPr>
                        <a:xfrm>
                          <a:off x="0" y="0"/>
                          <a:ext cx="0" cy="260985"/>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F3D1DDB" id="Straight Arrow Connector 8" o:spid="_x0000_s1026" type="#_x0000_t32" alt="Arrow pointing down with no next to it" style="position:absolute;margin-left:100.15pt;margin-top:566.6pt;width:0;height:20.55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" strokecolor="#8782a8 [1951]" strokeweight="2pt">
                <v:stroke endarrow="block"/>
              </v:shape>
            </w:pict>
          </mc:Fallback>
        </mc:AlternateContent>
      </w:r>
      <w:r w:rsidR="00663ADB">
        <w:rPr>
          <w:noProof/>
        </w:rPr>
        <mc:AlternateContent>
          <mc:Choice Requires="wps">
            <w:drawing>
              <wp:anchor distT="0" distB="0" distL="114300" distR="114300" simplePos="0" relativeHeight="251658274" behindDoc="0" locked="0" layoutInCell="1" allowOverlap="1" wp14:anchorId="55F887FE" wp14:editId="3A85EFF1">
                <wp:simplePos x="0" y="0"/>
                <wp:positionH relativeFrom="margin">
                  <wp:posOffset>19050</wp:posOffset>
                </wp:positionH>
                <wp:positionV relativeFrom="paragraph">
                  <wp:posOffset>6143180</wp:posOffset>
                </wp:positionV>
                <wp:extent cx="2545715" cy="942340"/>
                <wp:effectExtent l="19050" t="19050" r="45085" b="29210"/>
                <wp:wrapNone/>
                <wp:docPr id="850406081" name="Text Box 3"/>
                <wp:cNvGraphicFramePr/>
                <a:graphic xmlns:a="http://schemas.openxmlformats.org/drawingml/2006/main">
                  <a:graphicData uri="http://schemas.microsoft.com/office/word/2010/wordprocessingShape">
                    <wps:wsp>
                      <wps:cNvSpPr txBox="1"/>
                      <wps:spPr>
                        <a:xfrm>
                          <a:off x="0" y="0"/>
                          <a:ext cx="2545715" cy="942340"/>
                        </a:xfrm>
                        <a:prstGeom prst="rect">
                          <a:avLst/>
                        </a:prstGeom>
                        <a:solidFill>
                          <a:schemeClr val="lt1"/>
                        </a:solidFill>
                        <a:ln w="57150">
                          <a:solidFill>
                            <a:schemeClr val="tx2">
                              <a:lumMod val="60000"/>
                              <a:lumOff val="40000"/>
                            </a:schemeClr>
                          </a:solidFill>
                        </a:ln>
                      </wps:spPr>
                      <wps:txbx>
                        <w:txbxContent>
                          <w:p w14:paraId="13A45691" w14:textId="77777777" w:rsidR="00663ADB" w:rsidRPr="00FA75BB" w:rsidRDefault="00663ADB" w:rsidP="00663ADB">
                            <w:pPr>
                              <w:spacing w:before="60" w:after="60"/>
                              <w:rPr>
                                <w:rFonts w:cs="Arial"/>
                                <w:color w:val="000000" w:themeColor="text1"/>
                                <w:sz w:val="20"/>
                                <w:szCs w:val="20"/>
                              </w:rPr>
                            </w:pPr>
                            <w:r w:rsidRPr="00FA75BB">
                              <w:rPr>
                                <w:rFonts w:cs="Arial"/>
                                <w:color w:val="000000" w:themeColor="text1"/>
                                <w:sz w:val="20"/>
                                <w:szCs w:val="20"/>
                              </w:rPr>
                              <w:t xml:space="preserve">Is it ‘highly probable that the asset will be used for an alternative purpose to its current use’? </w:t>
                            </w:r>
                          </w:p>
                          <w:p w14:paraId="2299A3B0" w14:textId="77777777" w:rsidR="00663ADB" w:rsidRPr="00FA75BB" w:rsidRDefault="00663ADB" w:rsidP="00663ADB">
                            <w:pPr>
                              <w:spacing w:before="60" w:after="60"/>
                              <w:rPr>
                                <w:rFonts w:cs="Arial"/>
                                <w:color w:val="000000" w:themeColor="text1"/>
                                <w:sz w:val="20"/>
                                <w:szCs w:val="20"/>
                                <w:lang w:val="en-US"/>
                              </w:rPr>
                            </w:pPr>
                            <w:r w:rsidRPr="00FA75BB">
                              <w:rPr>
                                <w:rFonts w:cs="Arial"/>
                                <w:color w:val="000000" w:themeColor="text1"/>
                                <w:sz w:val="20"/>
                                <w:szCs w:val="20"/>
                              </w:rPr>
                              <w:t>(AASB 13: 9, par. Aus29.1(b))</w:t>
                            </w:r>
                          </w:p>
                          <w:p w14:paraId="7B295473" w14:textId="77777777" w:rsidR="00663ADB" w:rsidRDefault="00663ADB" w:rsidP="00663A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887FE" id="_x0000_s1031" type="#_x0000_t202" style="position:absolute;margin-left:1.5pt;margin-top:483.7pt;width:200.45pt;height:74.2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" fillcolor="white [3201]" strokecolor="#8782a8 [1951]" strokeweight="4.5pt">
                <v:textbox>
                  <w:txbxContent>
                    <w:p w14:paraId="13A45691" w14:textId="77777777" w:rsidR="00663ADB" w:rsidRPr="00FA75BB" w:rsidRDefault="00663ADB" w:rsidP="00663ADB">
                      <w:pPr>
                        <w:spacing w:before="60" w:after="60"/>
                        <w:rPr>
                          <w:rFonts w:cs="Arial"/>
                          <w:color w:val="000000" w:themeColor="text1"/>
                          <w:sz w:val="20"/>
                          <w:szCs w:val="20"/>
                        </w:rPr>
                      </w:pPr>
                      <w:r w:rsidRPr="00FA75BB">
                        <w:rPr>
                          <w:rFonts w:cs="Arial"/>
                          <w:color w:val="000000" w:themeColor="text1"/>
                          <w:sz w:val="20"/>
                          <w:szCs w:val="20"/>
                        </w:rPr>
                        <w:t xml:space="preserve">Is it ‘highly probable that the asset will be used for an alternative purpose to its current use’? </w:t>
                      </w:r>
                    </w:p>
                    <w:p w14:paraId="2299A3B0" w14:textId="77777777" w:rsidR="00663ADB" w:rsidRPr="00FA75BB" w:rsidRDefault="00663ADB" w:rsidP="00663ADB">
                      <w:pPr>
                        <w:spacing w:before="60" w:after="60"/>
                        <w:rPr>
                          <w:rFonts w:cs="Arial"/>
                          <w:color w:val="000000" w:themeColor="text1"/>
                          <w:sz w:val="20"/>
                          <w:szCs w:val="20"/>
                          <w:lang w:val="en-US"/>
                        </w:rPr>
                      </w:pPr>
                      <w:r w:rsidRPr="00FA75BB">
                        <w:rPr>
                          <w:rFonts w:cs="Arial"/>
                          <w:color w:val="000000" w:themeColor="text1"/>
                          <w:sz w:val="20"/>
                          <w:szCs w:val="20"/>
                        </w:rPr>
                        <w:t>(AASB 13: 9, par. Aus29.1(b))</w:t>
                      </w:r>
                    </w:p>
                    <w:p w14:paraId="7B295473" w14:textId="77777777" w:rsidR="00663ADB" w:rsidRDefault="00663ADB" w:rsidP="00663ADB"/>
                  </w:txbxContent>
                </v:textbox>
                <w10:wrap anchorx="margin"/>
              </v:shape>
            </w:pict>
          </mc:Fallback>
        </mc:AlternateContent>
      </w:r>
      <w:r w:rsidR="00663ADB">
        <w:rPr>
          <w:noProof/>
        </w:rPr>
        <mc:AlternateContent>
          <mc:Choice Requires="wps">
            <w:drawing>
              <wp:anchor distT="0" distB="0" distL="114300" distR="114300" simplePos="0" relativeHeight="251658256" behindDoc="0" locked="0" layoutInCell="1" allowOverlap="1" wp14:anchorId="3F52D421" wp14:editId="67A0DF2F">
                <wp:simplePos x="0" y="0"/>
                <wp:positionH relativeFrom="margin">
                  <wp:posOffset>3797745</wp:posOffset>
                </wp:positionH>
                <wp:positionV relativeFrom="paragraph">
                  <wp:posOffset>1344930</wp:posOffset>
                </wp:positionV>
                <wp:extent cx="2058670" cy="1322705"/>
                <wp:effectExtent l="19050" t="19050" r="36830" b="29845"/>
                <wp:wrapNone/>
                <wp:docPr id="741503050" name="Text Box 3"/>
                <wp:cNvGraphicFramePr/>
                <a:graphic xmlns:a="http://schemas.openxmlformats.org/drawingml/2006/main">
                  <a:graphicData uri="http://schemas.microsoft.com/office/word/2010/wordprocessingShape">
                    <wps:wsp>
                      <wps:cNvSpPr txBox="1"/>
                      <wps:spPr>
                        <a:xfrm>
                          <a:off x="0" y="0"/>
                          <a:ext cx="2058670" cy="1322705"/>
                        </a:xfrm>
                        <a:prstGeom prst="rect">
                          <a:avLst/>
                        </a:prstGeom>
                        <a:solidFill>
                          <a:schemeClr val="lt1"/>
                        </a:solidFill>
                        <a:ln w="57150">
                          <a:solidFill>
                            <a:schemeClr val="tx2">
                              <a:lumMod val="60000"/>
                              <a:lumOff val="40000"/>
                            </a:schemeClr>
                          </a:solidFill>
                        </a:ln>
                      </wps:spPr>
                      <wps:txbx>
                        <w:txbxContent>
                          <w:p w14:paraId="5521A973" w14:textId="77777777" w:rsidR="00663ADB" w:rsidRPr="008A3A6C" w:rsidRDefault="00663ADB" w:rsidP="00663ADB">
                            <w:pPr>
                              <w:spacing w:before="40" w:after="40"/>
                              <w:rPr>
                                <w:rFonts w:cs="Arial"/>
                                <w:color w:val="000000" w:themeColor="text1"/>
                                <w:sz w:val="20"/>
                                <w:szCs w:val="20"/>
                              </w:rPr>
                            </w:pPr>
                            <w:r w:rsidRPr="008A3A6C">
                              <w:rPr>
                                <w:rFonts w:cs="Arial"/>
                                <w:color w:val="000000" w:themeColor="text1"/>
                                <w:sz w:val="20"/>
                                <w:szCs w:val="20"/>
                              </w:rPr>
                              <w:t>Value the asset at the price that would be received to sell it in an ‘orderly transaction between market participants at the measurement date.’</w:t>
                            </w:r>
                          </w:p>
                          <w:p w14:paraId="076E7AEB" w14:textId="77777777" w:rsidR="00663ADB" w:rsidRPr="008A3A6C" w:rsidRDefault="00663ADB" w:rsidP="00663ADB">
                            <w:pPr>
                              <w:spacing w:before="40" w:after="40"/>
                              <w:rPr>
                                <w:rFonts w:cs="Arial"/>
                                <w:color w:val="000000" w:themeColor="text1"/>
                                <w:sz w:val="20"/>
                                <w:szCs w:val="20"/>
                                <w:lang w:val="en-US"/>
                              </w:rPr>
                            </w:pPr>
                            <w:r w:rsidRPr="008A3A6C">
                              <w:rPr>
                                <w:rFonts w:cs="Arial"/>
                                <w:color w:val="000000" w:themeColor="text1"/>
                                <w:sz w:val="20"/>
                                <w:szCs w:val="20"/>
                              </w:rPr>
                              <w:t>(AASB 13:7, par.9)</w:t>
                            </w:r>
                          </w:p>
                          <w:p w14:paraId="346E508E" w14:textId="77777777" w:rsidR="00663ADB" w:rsidRDefault="00663ADB" w:rsidP="00663A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D421" id="_x0000_s1032" type="#_x0000_t202" style="position:absolute;margin-left:299.05pt;margin-top:105.9pt;width:162.1pt;height:104.1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" fillcolor="white [3201]" strokecolor="#8782a8 [1951]" strokeweight="4.5pt">
                <v:textbox>
                  <w:txbxContent>
                    <w:p w14:paraId="5521A973" w14:textId="77777777" w:rsidR="00663ADB" w:rsidRPr="008A3A6C" w:rsidRDefault="00663ADB" w:rsidP="00663ADB">
                      <w:pPr>
                        <w:spacing w:before="40" w:after="40"/>
                        <w:rPr>
                          <w:rFonts w:cs="Arial"/>
                          <w:color w:val="000000" w:themeColor="text1"/>
                          <w:sz w:val="20"/>
                          <w:szCs w:val="20"/>
                        </w:rPr>
                      </w:pPr>
                      <w:r w:rsidRPr="008A3A6C">
                        <w:rPr>
                          <w:rFonts w:cs="Arial"/>
                          <w:color w:val="000000" w:themeColor="text1"/>
                          <w:sz w:val="20"/>
                          <w:szCs w:val="20"/>
                        </w:rPr>
                        <w:t>Value the asset at the price that would be received to sell it in an ‘orderly transaction between market participants at the measurement date.’</w:t>
                      </w:r>
                    </w:p>
                    <w:p w14:paraId="076E7AEB" w14:textId="77777777" w:rsidR="00663ADB" w:rsidRPr="008A3A6C" w:rsidRDefault="00663ADB" w:rsidP="00663ADB">
                      <w:pPr>
                        <w:spacing w:before="40" w:after="40"/>
                        <w:rPr>
                          <w:rFonts w:cs="Arial"/>
                          <w:color w:val="000000" w:themeColor="text1"/>
                          <w:sz w:val="20"/>
                          <w:szCs w:val="20"/>
                          <w:lang w:val="en-US"/>
                        </w:rPr>
                      </w:pPr>
                      <w:r w:rsidRPr="008A3A6C">
                        <w:rPr>
                          <w:rFonts w:cs="Arial"/>
                          <w:color w:val="000000" w:themeColor="text1"/>
                          <w:sz w:val="20"/>
                          <w:szCs w:val="20"/>
                        </w:rPr>
                        <w:t>(AASB 13:7, par.9)</w:t>
                      </w:r>
                    </w:p>
                    <w:p w14:paraId="346E508E" w14:textId="77777777" w:rsidR="00663ADB" w:rsidRDefault="00663ADB" w:rsidP="00663ADB"/>
                  </w:txbxContent>
                </v:textbox>
                <w10:wrap anchorx="margin"/>
              </v:shape>
            </w:pict>
          </mc:Fallback>
        </mc:AlternateContent>
      </w:r>
      <w:r w:rsidR="00663ADB">
        <w:rPr>
          <w:noProof/>
        </w:rPr>
        <mc:AlternateContent>
          <mc:Choice Requires="wps">
            <w:drawing>
              <wp:anchor distT="0" distB="0" distL="114300" distR="114300" simplePos="0" relativeHeight="251658277" behindDoc="0" locked="0" layoutInCell="1" allowOverlap="1" wp14:anchorId="5E87244E" wp14:editId="081ED2F2">
                <wp:simplePos x="0" y="0"/>
                <wp:positionH relativeFrom="column">
                  <wp:posOffset>2690495</wp:posOffset>
                </wp:positionH>
                <wp:positionV relativeFrom="paragraph">
                  <wp:posOffset>6512560</wp:posOffset>
                </wp:positionV>
                <wp:extent cx="593725" cy="284480"/>
                <wp:effectExtent l="0" t="0" r="0" b="1270"/>
                <wp:wrapNone/>
                <wp:docPr id="521143812"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wps:spPr>
                      <wps:txbx>
                        <w:txbxContent>
                          <w:p w14:paraId="5715B222" w14:textId="77777777" w:rsidR="00663ADB" w:rsidRDefault="00663ADB" w:rsidP="00663ADB">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7244E" id="_x0000_s1033" type="#_x0000_t202" style="position:absolute;margin-left:211.85pt;margin-top:512.8pt;width:46.75pt;height:22.4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" filled="f" stroked="f" strokeweight=".5pt">
                <v:textbox>
                  <w:txbxContent>
                    <w:p w14:paraId="5715B222" w14:textId="77777777" w:rsidR="00663ADB" w:rsidRDefault="00663ADB" w:rsidP="00663ADB">
                      <w:r>
                        <w:t>Yes</w:t>
                      </w:r>
                    </w:p>
                  </w:txbxContent>
                </v:textbox>
              </v:shape>
            </w:pict>
          </mc:Fallback>
        </mc:AlternateContent>
      </w:r>
      <w:r w:rsidR="00663ADB">
        <w:rPr>
          <w:noProof/>
        </w:rPr>
        <mc:AlternateContent>
          <mc:Choice Requires="wps">
            <w:drawing>
              <wp:anchor distT="0" distB="0" distL="114300" distR="114300" simplePos="0" relativeHeight="251658264" behindDoc="0" locked="0" layoutInCell="1" allowOverlap="1" wp14:anchorId="75DA7FF5" wp14:editId="5A6BDD81">
                <wp:simplePos x="0" y="0"/>
                <wp:positionH relativeFrom="column">
                  <wp:posOffset>2691765</wp:posOffset>
                </wp:positionH>
                <wp:positionV relativeFrom="paragraph">
                  <wp:posOffset>3933190</wp:posOffset>
                </wp:positionV>
                <wp:extent cx="593725" cy="284480"/>
                <wp:effectExtent l="0" t="0" r="0" b="1270"/>
                <wp:wrapNone/>
                <wp:docPr id="1312361958"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wps:spPr>
                      <wps:txbx>
                        <w:txbxContent>
                          <w:p w14:paraId="4EDD9F9E" w14:textId="77777777" w:rsidR="00663ADB" w:rsidRDefault="00663ADB" w:rsidP="00663ADB">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A7FF5" id="_x0000_s1034" type="#_x0000_t202" style="position:absolute;margin-left:211.95pt;margin-top:309.7pt;width:46.75pt;height:22.4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EHAIAADI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" filled="f" stroked="f" strokeweight=".5pt">
                <v:textbox>
                  <w:txbxContent>
                    <w:p w14:paraId="4EDD9F9E" w14:textId="77777777" w:rsidR="00663ADB" w:rsidRDefault="00663ADB" w:rsidP="00663ADB">
                      <w:r>
                        <w:t>Yes</w:t>
                      </w:r>
                    </w:p>
                  </w:txbxContent>
                </v:textbox>
              </v:shape>
            </w:pict>
          </mc:Fallback>
        </mc:AlternateContent>
      </w:r>
      <w:r w:rsidR="00663ADB">
        <w:rPr>
          <w:noProof/>
        </w:rPr>
        <mc:AlternateContent>
          <mc:Choice Requires="wps">
            <w:drawing>
              <wp:anchor distT="0" distB="0" distL="114300" distR="114300" simplePos="0" relativeHeight="251658263" behindDoc="0" locked="0" layoutInCell="1" allowOverlap="1" wp14:anchorId="771D7AD9" wp14:editId="40FEC0A2">
                <wp:simplePos x="0" y="0"/>
                <wp:positionH relativeFrom="margin">
                  <wp:posOffset>2728595</wp:posOffset>
                </wp:positionH>
                <wp:positionV relativeFrom="paragraph">
                  <wp:posOffset>2585085</wp:posOffset>
                </wp:positionV>
                <wp:extent cx="593725" cy="284480"/>
                <wp:effectExtent l="0" t="0" r="0" b="1270"/>
                <wp:wrapNone/>
                <wp:docPr id="1180216423"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a:effectLst/>
                      </wps:spPr>
                      <wps:txbx>
                        <w:txbxContent>
                          <w:p w14:paraId="0DD862B3" w14:textId="77777777" w:rsidR="00663ADB" w:rsidRDefault="00663ADB" w:rsidP="00663AD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D7AD9" id="_x0000_s1035" type="#_x0000_t202" style="position:absolute;margin-left:214.85pt;margin-top:203.55pt;width:46.75pt;height:22.4pt;z-index:25165826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" filled="f" stroked="f" strokeweight=".5pt">
                <v:textbox>
                  <w:txbxContent>
                    <w:p w14:paraId="0DD862B3" w14:textId="77777777" w:rsidR="00663ADB" w:rsidRDefault="00663ADB" w:rsidP="00663ADB">
                      <w:r>
                        <w:t>No</w:t>
                      </w:r>
                    </w:p>
                  </w:txbxContent>
                </v:textbox>
                <w10:wrap anchorx="margin"/>
              </v:shape>
            </w:pict>
          </mc:Fallback>
        </mc:AlternateContent>
      </w:r>
      <w:r w:rsidR="00663ADB">
        <w:rPr>
          <w:noProof/>
        </w:rPr>
        <mc:AlternateContent>
          <mc:Choice Requires="wps">
            <w:drawing>
              <wp:anchor distT="0" distB="0" distL="114300" distR="114300" simplePos="0" relativeHeight="251658280" behindDoc="0" locked="0" layoutInCell="1" allowOverlap="1" wp14:anchorId="0830CC9D" wp14:editId="53265AA2">
                <wp:simplePos x="0" y="0"/>
                <wp:positionH relativeFrom="column">
                  <wp:posOffset>2656205</wp:posOffset>
                </wp:positionH>
                <wp:positionV relativeFrom="paragraph">
                  <wp:posOffset>5064760</wp:posOffset>
                </wp:positionV>
                <wp:extent cx="593725" cy="284480"/>
                <wp:effectExtent l="0" t="0" r="0" b="1270"/>
                <wp:wrapNone/>
                <wp:docPr id="1258149242"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wps:spPr>
                      <wps:txbx>
                        <w:txbxContent>
                          <w:p w14:paraId="13B005C3" w14:textId="77777777" w:rsidR="00663ADB" w:rsidRDefault="00663ADB" w:rsidP="00663ADB">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0CC9D" id="_x0000_s1036" type="#_x0000_t202" style="position:absolute;margin-left:209.15pt;margin-top:398.8pt;width:46.75pt;height:22.4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" filled="f" stroked="f" strokeweight=".5pt">
                <v:textbox>
                  <w:txbxContent>
                    <w:p w14:paraId="13B005C3" w14:textId="77777777" w:rsidR="00663ADB" w:rsidRDefault="00663ADB" w:rsidP="00663ADB">
                      <w:r>
                        <w:t>Yes</w:t>
                      </w:r>
                    </w:p>
                  </w:txbxContent>
                </v:textbox>
              </v:shape>
            </w:pict>
          </mc:Fallback>
        </mc:AlternateContent>
      </w:r>
      <w:r w:rsidR="00663ADB">
        <w:rPr>
          <w:noProof/>
        </w:rPr>
        <mc:AlternateContent>
          <mc:Choice Requires="wps">
            <w:drawing>
              <wp:anchor distT="0" distB="0" distL="114300" distR="114300" simplePos="0" relativeHeight="251658279" behindDoc="0" locked="0" layoutInCell="1" allowOverlap="1" wp14:anchorId="016FCA27" wp14:editId="0FE32F1E">
                <wp:simplePos x="0" y="0"/>
                <wp:positionH relativeFrom="margin">
                  <wp:posOffset>2797175</wp:posOffset>
                </wp:positionH>
                <wp:positionV relativeFrom="paragraph">
                  <wp:posOffset>5320030</wp:posOffset>
                </wp:positionV>
                <wp:extent cx="831215" cy="581660"/>
                <wp:effectExtent l="0" t="0" r="83185" b="66040"/>
                <wp:wrapNone/>
                <wp:docPr id="1351819271" name="Straight Arrow Connector 5" descr="Arrow pointing right with yes next to it"/>
                <wp:cNvGraphicFramePr/>
                <a:graphic xmlns:a="http://schemas.openxmlformats.org/drawingml/2006/main">
                  <a:graphicData uri="http://schemas.microsoft.com/office/word/2010/wordprocessingShape">
                    <wps:wsp>
                      <wps:cNvCnPr/>
                      <wps:spPr>
                        <a:xfrm>
                          <a:off x="0" y="0"/>
                          <a:ext cx="831215" cy="581660"/>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DCB57" id="Straight Arrow Connector 5" o:spid="_x0000_s1026" type="#_x0000_t32" alt="Arrow pointing right with yes next to it" style="position:absolute;margin-left:220.25pt;margin-top:418.9pt;width:65.45pt;height:45.8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" strokecolor="#8782a8 [1951]" strokeweight="2pt">
                <v:stroke endarrow="block"/>
                <w10:wrap anchorx="margin"/>
              </v:shape>
            </w:pict>
          </mc:Fallback>
        </mc:AlternateContent>
      </w:r>
      <w:r w:rsidR="00663ADB">
        <w:rPr>
          <w:noProof/>
        </w:rPr>
        <mc:AlternateContent>
          <mc:Choice Requires="wps">
            <w:drawing>
              <wp:anchor distT="0" distB="0" distL="114300" distR="114300" simplePos="0" relativeHeight="251658278" behindDoc="0" locked="0" layoutInCell="1" allowOverlap="1" wp14:anchorId="10E17F51" wp14:editId="45939A9C">
                <wp:simplePos x="0" y="0"/>
                <wp:positionH relativeFrom="margin">
                  <wp:posOffset>2793365</wp:posOffset>
                </wp:positionH>
                <wp:positionV relativeFrom="paragraph">
                  <wp:posOffset>6421755</wp:posOffset>
                </wp:positionV>
                <wp:extent cx="831215" cy="581660"/>
                <wp:effectExtent l="0" t="38100" r="64135" b="27940"/>
                <wp:wrapNone/>
                <wp:docPr id="1506805482" name="Straight Arrow Connector 5" descr="Arrow pointing right with yes next to it"/>
                <wp:cNvGraphicFramePr/>
                <a:graphic xmlns:a="http://schemas.openxmlformats.org/drawingml/2006/main">
                  <a:graphicData uri="http://schemas.microsoft.com/office/word/2010/wordprocessingShape">
                    <wps:wsp>
                      <wps:cNvCnPr/>
                      <wps:spPr>
                        <a:xfrm flipV="1">
                          <a:off x="0" y="0"/>
                          <a:ext cx="831215" cy="581660"/>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48063" id="Straight Arrow Connector 5" o:spid="_x0000_s1026" type="#_x0000_t32" alt="Arrow pointing right with yes next to it" style="position:absolute;margin-left:219.95pt;margin-top:505.65pt;width:65.45pt;height:45.8pt;flip:y;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" strokecolor="#8782a8 [1951]" strokeweight="2pt">
                <v:stroke endarrow="block"/>
                <w10:wrap anchorx="margin"/>
              </v:shape>
            </w:pict>
          </mc:Fallback>
        </mc:AlternateContent>
      </w:r>
      <w:r w:rsidR="00663ADB">
        <w:rPr>
          <w:noProof/>
        </w:rPr>
        <mc:AlternateContent>
          <mc:Choice Requires="wps">
            <w:drawing>
              <wp:anchor distT="0" distB="0" distL="114300" distR="114300" simplePos="0" relativeHeight="251658262" behindDoc="0" locked="0" layoutInCell="1" allowOverlap="1" wp14:anchorId="1F1C6C5A" wp14:editId="0CD39C83">
                <wp:simplePos x="0" y="0"/>
                <wp:positionH relativeFrom="margin">
                  <wp:posOffset>2834005</wp:posOffset>
                </wp:positionH>
                <wp:positionV relativeFrom="paragraph">
                  <wp:posOffset>3769995</wp:posOffset>
                </wp:positionV>
                <wp:extent cx="831215" cy="581660"/>
                <wp:effectExtent l="0" t="38100" r="64135" b="27940"/>
                <wp:wrapNone/>
                <wp:docPr id="1952304495" name="Straight Arrow Connector 5" descr="Arrow pointing right with yes next to it"/>
                <wp:cNvGraphicFramePr/>
                <a:graphic xmlns:a="http://schemas.openxmlformats.org/drawingml/2006/main">
                  <a:graphicData uri="http://schemas.microsoft.com/office/word/2010/wordprocessingShape">
                    <wps:wsp>
                      <wps:cNvCnPr/>
                      <wps:spPr>
                        <a:xfrm flipV="1">
                          <a:off x="0" y="0"/>
                          <a:ext cx="831215" cy="581660"/>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F8537" id="Straight Arrow Connector 5" o:spid="_x0000_s1026" type="#_x0000_t32" alt="Arrow pointing right with yes next to it" style="position:absolute;margin-left:223.15pt;margin-top:296.85pt;width:65.45pt;height:45.8pt;flip:y;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" strokecolor="#8782a8 [1951]" strokeweight="2pt">
                <v:stroke endarrow="block"/>
                <w10:wrap anchorx="margin"/>
              </v:shape>
            </w:pict>
          </mc:Fallback>
        </mc:AlternateContent>
      </w:r>
      <w:r w:rsidR="00663ADB">
        <w:rPr>
          <w:noProof/>
        </w:rPr>
        <mc:AlternateContent>
          <mc:Choice Requires="wps">
            <w:drawing>
              <wp:anchor distT="0" distB="0" distL="114300" distR="114300" simplePos="0" relativeHeight="251658261" behindDoc="0" locked="0" layoutInCell="1" allowOverlap="1" wp14:anchorId="5641C8F2" wp14:editId="48D48B7F">
                <wp:simplePos x="0" y="0"/>
                <wp:positionH relativeFrom="margin">
                  <wp:posOffset>2848420</wp:posOffset>
                </wp:positionH>
                <wp:positionV relativeFrom="paragraph">
                  <wp:posOffset>2857500</wp:posOffset>
                </wp:positionV>
                <wp:extent cx="831215" cy="581660"/>
                <wp:effectExtent l="0" t="0" r="83185" b="66040"/>
                <wp:wrapNone/>
                <wp:docPr id="1942968370" name="Straight Arrow Connector 5" descr="Arrow pointing right with no next to it"/>
                <wp:cNvGraphicFramePr/>
                <a:graphic xmlns:a="http://schemas.openxmlformats.org/drawingml/2006/main">
                  <a:graphicData uri="http://schemas.microsoft.com/office/word/2010/wordprocessingShape">
                    <wps:wsp>
                      <wps:cNvCnPr/>
                      <wps:spPr>
                        <a:xfrm>
                          <a:off x="0" y="0"/>
                          <a:ext cx="831215" cy="581660"/>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3A220" id="Straight Arrow Connector 5" o:spid="_x0000_s1026" type="#_x0000_t32" alt="Arrow pointing right with no next to it" style="position:absolute;margin-left:224.3pt;margin-top:225pt;width:65.45pt;height:45.8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" strokecolor="#8782a8 [1951]" strokeweight="2pt">
                <v:stroke endarrow="block"/>
                <w10:wrap anchorx="margin"/>
              </v:shape>
            </w:pict>
          </mc:Fallback>
        </mc:AlternateContent>
      </w:r>
      <w:r w:rsidR="00663ADB">
        <w:rPr>
          <w:noProof/>
        </w:rPr>
        <mc:AlternateContent>
          <mc:Choice Requires="wps">
            <w:drawing>
              <wp:anchor distT="0" distB="0" distL="114300" distR="114300" simplePos="0" relativeHeight="251658273" behindDoc="0" locked="0" layoutInCell="1" allowOverlap="1" wp14:anchorId="496C4579" wp14:editId="0084BECC">
                <wp:simplePos x="0" y="0"/>
                <wp:positionH relativeFrom="column">
                  <wp:posOffset>1280795</wp:posOffset>
                </wp:positionH>
                <wp:positionV relativeFrom="paragraph">
                  <wp:posOffset>5843460</wp:posOffset>
                </wp:positionV>
                <wp:extent cx="0" cy="260985"/>
                <wp:effectExtent l="76200" t="0" r="57150" b="62865"/>
                <wp:wrapNone/>
                <wp:docPr id="622080724" name="Straight Arrow Connector 8" descr="Arrow pointing down with no next to it"/>
                <wp:cNvGraphicFramePr/>
                <a:graphic xmlns:a="http://schemas.openxmlformats.org/drawingml/2006/main">
                  <a:graphicData uri="http://schemas.microsoft.com/office/word/2010/wordprocessingShape">
                    <wps:wsp>
                      <wps:cNvCnPr/>
                      <wps:spPr>
                        <a:xfrm>
                          <a:off x="0" y="0"/>
                          <a:ext cx="0" cy="260985"/>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D889CE5" id="Straight Arrow Connector 8" o:spid="_x0000_s1026" type="#_x0000_t32" alt="Arrow pointing down with no next to it" style="position:absolute;margin-left:100.85pt;margin-top:460.1pt;width:0;height:20.55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" strokecolor="#8782a8 [1951]" strokeweight="2pt">
                <v:stroke endarrow="block"/>
              </v:shape>
            </w:pict>
          </mc:Fallback>
        </mc:AlternateContent>
      </w:r>
      <w:r w:rsidR="00663ADB">
        <w:rPr>
          <w:noProof/>
        </w:rPr>
        <mc:AlternateContent>
          <mc:Choice Requires="wps">
            <w:drawing>
              <wp:anchor distT="0" distB="0" distL="114300" distR="114300" simplePos="0" relativeHeight="251658270" behindDoc="0" locked="0" layoutInCell="1" allowOverlap="1" wp14:anchorId="20176EF9" wp14:editId="3E08FAD5">
                <wp:simplePos x="0" y="0"/>
                <wp:positionH relativeFrom="margin">
                  <wp:posOffset>876935</wp:posOffset>
                </wp:positionH>
                <wp:positionV relativeFrom="paragraph">
                  <wp:posOffset>5811075</wp:posOffset>
                </wp:positionV>
                <wp:extent cx="593725" cy="284480"/>
                <wp:effectExtent l="0" t="0" r="0" b="1270"/>
                <wp:wrapNone/>
                <wp:docPr id="509156107"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a:effectLst/>
                      </wps:spPr>
                      <wps:txbx>
                        <w:txbxContent>
                          <w:p w14:paraId="583A8756" w14:textId="77777777" w:rsidR="00663ADB" w:rsidRDefault="00663ADB" w:rsidP="00663AD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76EF9" id="_x0000_s1037" type="#_x0000_t202" style="position:absolute;margin-left:69.05pt;margin-top:457.55pt;width:46.75pt;height:22.4pt;z-index:25165827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QaIgIAAEE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" filled="f" stroked="f" strokeweight=".5pt">
                <v:textbox>
                  <w:txbxContent>
                    <w:p w14:paraId="583A8756" w14:textId="77777777" w:rsidR="00663ADB" w:rsidRDefault="00663ADB" w:rsidP="00663ADB">
                      <w:r>
                        <w:t>No</w:t>
                      </w:r>
                    </w:p>
                  </w:txbxContent>
                </v:textbox>
                <w10:wrap anchorx="margin"/>
              </v:shape>
            </w:pict>
          </mc:Fallback>
        </mc:AlternateContent>
      </w:r>
      <w:r w:rsidR="00663ADB">
        <w:rPr>
          <w:noProof/>
        </w:rPr>
        <mc:AlternateContent>
          <mc:Choice Requires="wps">
            <w:drawing>
              <wp:anchor distT="0" distB="0" distL="114300" distR="114300" simplePos="0" relativeHeight="251658269" behindDoc="0" locked="0" layoutInCell="1" allowOverlap="1" wp14:anchorId="798B95F1" wp14:editId="7B043336">
                <wp:simplePos x="0" y="0"/>
                <wp:positionH relativeFrom="margin">
                  <wp:posOffset>19050</wp:posOffset>
                </wp:positionH>
                <wp:positionV relativeFrom="paragraph">
                  <wp:posOffset>4943030</wp:posOffset>
                </wp:positionV>
                <wp:extent cx="2522220" cy="800100"/>
                <wp:effectExtent l="19050" t="19050" r="30480" b="38100"/>
                <wp:wrapNone/>
                <wp:docPr id="144197682" name="Text Box 3"/>
                <wp:cNvGraphicFramePr/>
                <a:graphic xmlns:a="http://schemas.openxmlformats.org/drawingml/2006/main">
                  <a:graphicData uri="http://schemas.microsoft.com/office/word/2010/wordprocessingShape">
                    <wps:wsp>
                      <wps:cNvSpPr txBox="1"/>
                      <wps:spPr>
                        <a:xfrm>
                          <a:off x="0" y="0"/>
                          <a:ext cx="2522220" cy="800100"/>
                        </a:xfrm>
                        <a:prstGeom prst="rect">
                          <a:avLst/>
                        </a:prstGeom>
                        <a:solidFill>
                          <a:schemeClr val="lt1"/>
                        </a:solidFill>
                        <a:ln w="57150">
                          <a:solidFill>
                            <a:schemeClr val="tx2">
                              <a:lumMod val="60000"/>
                              <a:lumOff val="40000"/>
                            </a:schemeClr>
                          </a:solidFill>
                        </a:ln>
                      </wps:spPr>
                      <wps:txbx>
                        <w:txbxContent>
                          <w:p w14:paraId="7A8F59DE" w14:textId="77777777" w:rsidR="00663ADB" w:rsidRPr="008A3A6C" w:rsidRDefault="00663ADB" w:rsidP="00663ADB">
                            <w:pPr>
                              <w:spacing w:before="60" w:after="60"/>
                              <w:rPr>
                                <w:rFonts w:cs="Arial"/>
                                <w:color w:val="000000" w:themeColor="text1"/>
                                <w:sz w:val="20"/>
                                <w:szCs w:val="20"/>
                              </w:rPr>
                            </w:pPr>
                            <w:r w:rsidRPr="008A3A6C">
                              <w:rPr>
                                <w:color w:val="000000" w:themeColor="text1"/>
                                <w:sz w:val="20"/>
                                <w:szCs w:val="20"/>
                              </w:rPr>
                              <w:t>‘</w:t>
                            </w:r>
                            <w:r w:rsidRPr="008A3A6C">
                              <w:rPr>
                                <w:rFonts w:cs="Arial"/>
                                <w:color w:val="000000" w:themeColor="text1"/>
                                <w:sz w:val="20"/>
                                <w:szCs w:val="20"/>
                              </w:rPr>
                              <w:t>Is it classified as held for sale or held for distribution to owners’?</w:t>
                            </w:r>
                          </w:p>
                          <w:p w14:paraId="687785C5" w14:textId="77777777" w:rsidR="00663ADB" w:rsidRPr="008A3A6C" w:rsidRDefault="00663ADB" w:rsidP="00663ADB">
                            <w:pPr>
                              <w:rPr>
                                <w:rFonts w:cs="Arial"/>
                                <w:color w:val="000000" w:themeColor="text1"/>
                                <w:sz w:val="20"/>
                                <w:szCs w:val="20"/>
                                <w:lang w:val="en-US"/>
                              </w:rPr>
                            </w:pPr>
                            <w:r w:rsidRPr="008A3A6C">
                              <w:rPr>
                                <w:rFonts w:cs="Arial"/>
                                <w:color w:val="000000" w:themeColor="text1"/>
                                <w:sz w:val="20"/>
                                <w:szCs w:val="20"/>
                              </w:rPr>
                              <w:t xml:space="preserve">(AASB 13: 9, par. Aus29.1(a)) </w:t>
                            </w:r>
                          </w:p>
                          <w:p w14:paraId="4C53B49A" w14:textId="77777777" w:rsidR="00663ADB" w:rsidRDefault="00663ADB" w:rsidP="00663A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B95F1" id="_x0000_s1038" type="#_x0000_t202" style="position:absolute;margin-left:1.5pt;margin-top:389.2pt;width:198.6pt;height:63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" fillcolor="white [3201]" strokecolor="#8782a8 [1951]" strokeweight="4.5pt">
                <v:textbox>
                  <w:txbxContent>
                    <w:p w14:paraId="7A8F59DE" w14:textId="77777777" w:rsidR="00663ADB" w:rsidRPr="008A3A6C" w:rsidRDefault="00663ADB" w:rsidP="00663ADB">
                      <w:pPr>
                        <w:spacing w:before="60" w:after="60"/>
                        <w:rPr>
                          <w:rFonts w:cs="Arial"/>
                          <w:color w:val="000000" w:themeColor="text1"/>
                          <w:sz w:val="20"/>
                          <w:szCs w:val="20"/>
                        </w:rPr>
                      </w:pPr>
                      <w:r w:rsidRPr="008A3A6C">
                        <w:rPr>
                          <w:color w:val="000000" w:themeColor="text1"/>
                          <w:sz w:val="20"/>
                          <w:szCs w:val="20"/>
                        </w:rPr>
                        <w:t>‘</w:t>
                      </w:r>
                      <w:r w:rsidRPr="008A3A6C">
                        <w:rPr>
                          <w:rFonts w:cs="Arial"/>
                          <w:color w:val="000000" w:themeColor="text1"/>
                          <w:sz w:val="20"/>
                          <w:szCs w:val="20"/>
                        </w:rPr>
                        <w:t>Is it classified as held for sale or held for distribution to owners’?</w:t>
                      </w:r>
                    </w:p>
                    <w:p w14:paraId="687785C5" w14:textId="77777777" w:rsidR="00663ADB" w:rsidRPr="008A3A6C" w:rsidRDefault="00663ADB" w:rsidP="00663ADB">
                      <w:pPr>
                        <w:rPr>
                          <w:rFonts w:cs="Arial"/>
                          <w:color w:val="000000" w:themeColor="text1"/>
                          <w:sz w:val="20"/>
                          <w:szCs w:val="20"/>
                          <w:lang w:val="en-US"/>
                        </w:rPr>
                      </w:pPr>
                      <w:r w:rsidRPr="008A3A6C">
                        <w:rPr>
                          <w:rFonts w:cs="Arial"/>
                          <w:color w:val="000000" w:themeColor="text1"/>
                          <w:sz w:val="20"/>
                          <w:szCs w:val="20"/>
                        </w:rPr>
                        <w:t xml:space="preserve">(AASB 13: 9, par. Aus29.1(a)) </w:t>
                      </w:r>
                    </w:p>
                    <w:p w14:paraId="4C53B49A" w14:textId="77777777" w:rsidR="00663ADB" w:rsidRDefault="00663ADB" w:rsidP="00663ADB"/>
                  </w:txbxContent>
                </v:textbox>
                <w10:wrap anchorx="margin"/>
              </v:shape>
            </w:pict>
          </mc:Fallback>
        </mc:AlternateContent>
      </w:r>
      <w:r w:rsidR="00663ADB">
        <w:rPr>
          <w:noProof/>
        </w:rPr>
        <mc:AlternateContent>
          <mc:Choice Requires="wps">
            <w:drawing>
              <wp:anchor distT="0" distB="0" distL="114300" distR="114300" simplePos="0" relativeHeight="251658268" behindDoc="0" locked="0" layoutInCell="1" allowOverlap="1" wp14:anchorId="6B2D97C6" wp14:editId="4F247C31">
                <wp:simplePos x="0" y="0"/>
                <wp:positionH relativeFrom="margin">
                  <wp:posOffset>885190</wp:posOffset>
                </wp:positionH>
                <wp:positionV relativeFrom="paragraph">
                  <wp:posOffset>4642040</wp:posOffset>
                </wp:positionV>
                <wp:extent cx="593725" cy="284480"/>
                <wp:effectExtent l="0" t="0" r="0" b="1270"/>
                <wp:wrapNone/>
                <wp:docPr id="1789748246"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a:effectLst/>
                      </wps:spPr>
                      <wps:txbx>
                        <w:txbxContent>
                          <w:p w14:paraId="51C60068" w14:textId="77777777" w:rsidR="00663ADB" w:rsidRDefault="00663ADB" w:rsidP="00663AD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D97C6" id="_x0000_s1039" type="#_x0000_t202" style="position:absolute;margin-left:69.7pt;margin-top:365.5pt;width:46.75pt;height:22.4pt;z-index:2516582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prIgIAAEE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" filled="f" stroked="f" strokeweight=".5pt">
                <v:textbox>
                  <w:txbxContent>
                    <w:p w14:paraId="51C60068" w14:textId="77777777" w:rsidR="00663ADB" w:rsidRDefault="00663ADB" w:rsidP="00663ADB">
                      <w:r>
                        <w:t>No</w:t>
                      </w:r>
                    </w:p>
                  </w:txbxContent>
                </v:textbox>
                <w10:wrap anchorx="margin"/>
              </v:shape>
            </w:pict>
          </mc:Fallback>
        </mc:AlternateContent>
      </w:r>
      <w:r w:rsidR="00663ADB">
        <w:rPr>
          <w:noProof/>
        </w:rPr>
        <mc:AlternateContent>
          <mc:Choice Requires="wps">
            <w:drawing>
              <wp:anchor distT="0" distB="0" distL="114300" distR="114300" simplePos="0" relativeHeight="251658260" behindDoc="0" locked="0" layoutInCell="1" allowOverlap="1" wp14:anchorId="45BD47FB" wp14:editId="097F3C68">
                <wp:simplePos x="0" y="0"/>
                <wp:positionH relativeFrom="margin">
                  <wp:posOffset>19050</wp:posOffset>
                </wp:positionH>
                <wp:positionV relativeFrom="paragraph">
                  <wp:posOffset>3743515</wp:posOffset>
                </wp:positionV>
                <wp:extent cx="2498090" cy="835660"/>
                <wp:effectExtent l="19050" t="19050" r="35560" b="40640"/>
                <wp:wrapNone/>
                <wp:docPr id="564421469" name="Text Box 3"/>
                <wp:cNvGraphicFramePr/>
                <a:graphic xmlns:a="http://schemas.openxmlformats.org/drawingml/2006/main">
                  <a:graphicData uri="http://schemas.microsoft.com/office/word/2010/wordprocessingShape">
                    <wps:wsp>
                      <wps:cNvSpPr txBox="1"/>
                      <wps:spPr>
                        <a:xfrm>
                          <a:off x="0" y="0"/>
                          <a:ext cx="2498090" cy="835660"/>
                        </a:xfrm>
                        <a:prstGeom prst="rect">
                          <a:avLst/>
                        </a:prstGeom>
                        <a:solidFill>
                          <a:schemeClr val="lt1"/>
                        </a:solidFill>
                        <a:ln w="57150">
                          <a:solidFill>
                            <a:schemeClr val="tx2">
                              <a:lumMod val="60000"/>
                              <a:lumOff val="40000"/>
                            </a:schemeClr>
                          </a:solidFill>
                        </a:ln>
                      </wps:spPr>
                      <wps:txbx>
                        <w:txbxContent>
                          <w:p w14:paraId="10D04845" w14:textId="77777777" w:rsidR="00663ADB" w:rsidRPr="008A3A6C" w:rsidRDefault="00663ADB" w:rsidP="00663ADB">
                            <w:pPr>
                              <w:spacing w:before="60" w:after="60"/>
                              <w:rPr>
                                <w:color w:val="000000" w:themeColor="text1"/>
                                <w:sz w:val="20"/>
                                <w:szCs w:val="20"/>
                                <w:lang w:val="en-US"/>
                              </w:rPr>
                            </w:pPr>
                            <w:r w:rsidRPr="008A3A6C">
                              <w:rPr>
                                <w:rFonts w:cs="Arial"/>
                                <w:color w:val="000000" w:themeColor="text1"/>
                                <w:sz w:val="20"/>
                                <w:szCs w:val="20"/>
                              </w:rPr>
                              <w:t>Is it ‘held primary for its ability to generate net cash inflows’? (AASB 13: 9, par. Aus29.1</w:t>
                            </w:r>
                            <w:r w:rsidRPr="008A3A6C">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D47FB" id="_x0000_s1040" type="#_x0000_t202" style="position:absolute;margin-left:1.5pt;margin-top:294.75pt;width:196.7pt;height:65.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" fillcolor="white [3201]" strokecolor="#8782a8 [1951]" strokeweight="4.5pt">
                <v:textbox>
                  <w:txbxContent>
                    <w:p w14:paraId="10D04845" w14:textId="77777777" w:rsidR="00663ADB" w:rsidRPr="008A3A6C" w:rsidRDefault="00663ADB" w:rsidP="00663ADB">
                      <w:pPr>
                        <w:spacing w:before="60" w:after="60"/>
                        <w:rPr>
                          <w:color w:val="000000" w:themeColor="text1"/>
                          <w:sz w:val="20"/>
                          <w:szCs w:val="20"/>
                          <w:lang w:val="en-US"/>
                        </w:rPr>
                      </w:pPr>
                      <w:r w:rsidRPr="008A3A6C">
                        <w:rPr>
                          <w:rFonts w:cs="Arial"/>
                          <w:color w:val="000000" w:themeColor="text1"/>
                          <w:sz w:val="20"/>
                          <w:szCs w:val="20"/>
                        </w:rPr>
                        <w:t>Is it ‘held primary for its ability to generate net cash inflows’? (AASB 13: 9, par. Aus29.1</w:t>
                      </w:r>
                      <w:r w:rsidRPr="008A3A6C">
                        <w:rPr>
                          <w:color w:val="000000" w:themeColor="text1"/>
                          <w:sz w:val="20"/>
                          <w:szCs w:val="20"/>
                        </w:rPr>
                        <w:t>)</w:t>
                      </w:r>
                    </w:p>
                  </w:txbxContent>
                </v:textbox>
                <w10:wrap anchorx="margin"/>
              </v:shape>
            </w:pict>
          </mc:Fallback>
        </mc:AlternateContent>
      </w:r>
      <w:r w:rsidR="00663ADB">
        <w:rPr>
          <w:noProof/>
        </w:rPr>
        <mc:AlternateContent>
          <mc:Choice Requires="wps">
            <w:drawing>
              <wp:anchor distT="0" distB="0" distL="114300" distR="114300" simplePos="0" relativeHeight="251658267" behindDoc="0" locked="0" layoutInCell="1" allowOverlap="1" wp14:anchorId="713D1B8C" wp14:editId="1033EFB2">
                <wp:simplePos x="0" y="0"/>
                <wp:positionH relativeFrom="column">
                  <wp:posOffset>1296670</wp:posOffset>
                </wp:positionH>
                <wp:positionV relativeFrom="paragraph">
                  <wp:posOffset>3401885</wp:posOffset>
                </wp:positionV>
                <wp:extent cx="0" cy="260985"/>
                <wp:effectExtent l="76200" t="0" r="57150" b="62865"/>
                <wp:wrapNone/>
                <wp:docPr id="1509637185" name="Straight Arrow Connector 8" descr="Arrow pointing down with yes next to it"/>
                <wp:cNvGraphicFramePr/>
                <a:graphic xmlns:a="http://schemas.openxmlformats.org/drawingml/2006/main">
                  <a:graphicData uri="http://schemas.microsoft.com/office/word/2010/wordprocessingShape">
                    <wps:wsp>
                      <wps:cNvCnPr/>
                      <wps:spPr>
                        <a:xfrm>
                          <a:off x="0" y="0"/>
                          <a:ext cx="0" cy="260985"/>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D1E65E6" id="Straight Arrow Connector 8" o:spid="_x0000_s1026" type="#_x0000_t32" alt="Arrow pointing down with yes next to it" style="position:absolute;margin-left:102.1pt;margin-top:267.85pt;width:0;height:20.55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" strokecolor="#8782a8 [1951]" strokeweight="2pt">
                <v:stroke endarrow="block"/>
              </v:shape>
            </w:pict>
          </mc:Fallback>
        </mc:AlternateContent>
      </w:r>
      <w:r w:rsidR="00663ADB">
        <w:rPr>
          <w:noProof/>
        </w:rPr>
        <mc:AlternateContent>
          <mc:Choice Requires="wps">
            <w:drawing>
              <wp:anchor distT="0" distB="0" distL="114300" distR="114300" simplePos="0" relativeHeight="251658265" behindDoc="0" locked="0" layoutInCell="1" allowOverlap="1" wp14:anchorId="2CD4B6A9" wp14:editId="777046A9">
                <wp:simplePos x="0" y="0"/>
                <wp:positionH relativeFrom="column">
                  <wp:posOffset>805815</wp:posOffset>
                </wp:positionH>
                <wp:positionV relativeFrom="paragraph">
                  <wp:posOffset>3394900</wp:posOffset>
                </wp:positionV>
                <wp:extent cx="593725" cy="284480"/>
                <wp:effectExtent l="0" t="0" r="0" b="1270"/>
                <wp:wrapNone/>
                <wp:docPr id="915549880"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wps:spPr>
                      <wps:txbx>
                        <w:txbxContent>
                          <w:p w14:paraId="11E5CB0E" w14:textId="77777777" w:rsidR="00663ADB" w:rsidRDefault="00663ADB" w:rsidP="00663ADB">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4B6A9" id="_x0000_s1041" type="#_x0000_t202" style="position:absolute;margin-left:63.45pt;margin-top:267.3pt;width:46.75pt;height:22.4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aTHAIAADM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" filled="f" stroked="f" strokeweight=".5pt">
                <v:textbox>
                  <w:txbxContent>
                    <w:p w14:paraId="11E5CB0E" w14:textId="77777777" w:rsidR="00663ADB" w:rsidRDefault="00663ADB" w:rsidP="00663ADB">
                      <w:r>
                        <w:t>Yes</w:t>
                      </w:r>
                    </w:p>
                  </w:txbxContent>
                </v:textbox>
              </v:shape>
            </w:pict>
          </mc:Fallback>
        </mc:AlternateContent>
      </w:r>
      <w:r w:rsidR="00663ADB">
        <w:rPr>
          <w:noProof/>
        </w:rPr>
        <mc:AlternateContent>
          <mc:Choice Requires="wps">
            <w:drawing>
              <wp:anchor distT="0" distB="0" distL="114300" distR="114300" simplePos="0" relativeHeight="251658257" behindDoc="0" locked="0" layoutInCell="1" allowOverlap="1" wp14:anchorId="2953B65C" wp14:editId="0B87AFBB">
                <wp:simplePos x="0" y="0"/>
                <wp:positionH relativeFrom="margin">
                  <wp:align>left</wp:align>
                </wp:positionH>
                <wp:positionV relativeFrom="paragraph">
                  <wp:posOffset>2486050</wp:posOffset>
                </wp:positionV>
                <wp:extent cx="2498519" cy="835660"/>
                <wp:effectExtent l="19050" t="19050" r="35560" b="40640"/>
                <wp:wrapNone/>
                <wp:docPr id="382314687" name="Text Box 3"/>
                <wp:cNvGraphicFramePr/>
                <a:graphic xmlns:a="http://schemas.openxmlformats.org/drawingml/2006/main">
                  <a:graphicData uri="http://schemas.microsoft.com/office/word/2010/wordprocessingShape">
                    <wps:wsp>
                      <wps:cNvSpPr txBox="1"/>
                      <wps:spPr>
                        <a:xfrm>
                          <a:off x="0" y="0"/>
                          <a:ext cx="2498519" cy="835660"/>
                        </a:xfrm>
                        <a:prstGeom prst="rect">
                          <a:avLst/>
                        </a:prstGeom>
                        <a:solidFill>
                          <a:schemeClr val="lt1"/>
                        </a:solidFill>
                        <a:ln w="57150">
                          <a:solidFill>
                            <a:schemeClr val="tx2">
                              <a:lumMod val="60000"/>
                              <a:lumOff val="40000"/>
                            </a:schemeClr>
                          </a:solidFill>
                        </a:ln>
                      </wps:spPr>
                      <wps:txbx>
                        <w:txbxContent>
                          <w:p w14:paraId="4BFEBA82" w14:textId="77777777" w:rsidR="00663ADB" w:rsidRPr="008A3A6C" w:rsidRDefault="00663ADB" w:rsidP="00663ADB">
                            <w:pPr>
                              <w:spacing w:before="60" w:after="60"/>
                              <w:rPr>
                                <w:rFonts w:cs="Arial"/>
                                <w:color w:val="000000" w:themeColor="text1"/>
                                <w:sz w:val="20"/>
                                <w:szCs w:val="20"/>
                              </w:rPr>
                            </w:pPr>
                            <w:r w:rsidRPr="008A3A6C">
                              <w:rPr>
                                <w:rFonts w:cs="Arial"/>
                                <w:color w:val="000000" w:themeColor="text1"/>
                                <w:sz w:val="20"/>
                                <w:szCs w:val="20"/>
                              </w:rPr>
                              <w:t xml:space="preserve">Is it held by a ‘not-for-profit public sector entity’? </w:t>
                            </w:r>
                          </w:p>
                          <w:p w14:paraId="0645F215" w14:textId="77777777" w:rsidR="00663ADB" w:rsidRPr="008A3A6C" w:rsidRDefault="00663ADB" w:rsidP="00663ADB">
                            <w:pPr>
                              <w:spacing w:before="60" w:after="60"/>
                              <w:rPr>
                                <w:rFonts w:cs="Arial"/>
                                <w:color w:val="000000" w:themeColor="text1"/>
                                <w:sz w:val="20"/>
                                <w:szCs w:val="20"/>
                              </w:rPr>
                            </w:pPr>
                            <w:r w:rsidRPr="008A3A6C">
                              <w:rPr>
                                <w:rFonts w:cs="Arial"/>
                                <w:color w:val="000000" w:themeColor="text1"/>
                                <w:sz w:val="20"/>
                                <w:szCs w:val="20"/>
                              </w:rPr>
                              <w:t>(AASB13: 9, par. Aus29.1)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3B65C" id="_x0000_s1042" type="#_x0000_t202" style="position:absolute;margin-left:0;margin-top:195.75pt;width:196.75pt;height:65.8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" fillcolor="white [3201]" strokecolor="#8782a8 [1951]" strokeweight="4.5pt">
                <v:textbox>
                  <w:txbxContent>
                    <w:p w14:paraId="4BFEBA82" w14:textId="77777777" w:rsidR="00663ADB" w:rsidRPr="008A3A6C" w:rsidRDefault="00663ADB" w:rsidP="00663ADB">
                      <w:pPr>
                        <w:spacing w:before="60" w:after="60"/>
                        <w:rPr>
                          <w:rFonts w:cs="Arial"/>
                          <w:color w:val="000000" w:themeColor="text1"/>
                          <w:sz w:val="20"/>
                          <w:szCs w:val="20"/>
                        </w:rPr>
                      </w:pPr>
                      <w:r w:rsidRPr="008A3A6C">
                        <w:rPr>
                          <w:rFonts w:cs="Arial"/>
                          <w:color w:val="000000" w:themeColor="text1"/>
                          <w:sz w:val="20"/>
                          <w:szCs w:val="20"/>
                        </w:rPr>
                        <w:t xml:space="preserve">Is it held by a ‘not-for-profit public sector entity’? </w:t>
                      </w:r>
                    </w:p>
                    <w:p w14:paraId="0645F215" w14:textId="77777777" w:rsidR="00663ADB" w:rsidRPr="008A3A6C" w:rsidRDefault="00663ADB" w:rsidP="00663ADB">
                      <w:pPr>
                        <w:spacing w:before="60" w:after="60"/>
                        <w:rPr>
                          <w:rFonts w:cs="Arial"/>
                          <w:color w:val="000000" w:themeColor="text1"/>
                          <w:sz w:val="20"/>
                          <w:szCs w:val="20"/>
                        </w:rPr>
                      </w:pPr>
                      <w:r w:rsidRPr="008A3A6C">
                        <w:rPr>
                          <w:rFonts w:cs="Arial"/>
                          <w:color w:val="000000" w:themeColor="text1"/>
                          <w:sz w:val="20"/>
                          <w:szCs w:val="20"/>
                        </w:rPr>
                        <w:t>(AASB13: 9, par. Aus29.1)</w:t>
                      </w:r>
                    </w:p>
                  </w:txbxContent>
                </v:textbox>
                <w10:wrap anchorx="margin"/>
              </v:shape>
            </w:pict>
          </mc:Fallback>
        </mc:AlternateContent>
      </w:r>
    </w:p>
    <w:p w14:paraId="192C5CAA" w14:textId="6C884D2C" w:rsidR="004B43C1" w:rsidRPr="00C06806" w:rsidRDefault="004B43C1" w:rsidP="004B43C1">
      <w:pPr>
        <w:spacing w:after="0"/>
        <w:rPr>
          <w:rFonts w:cs="Arial"/>
          <w:sz w:val="20"/>
          <w:szCs w:val="20"/>
          <w:lang w:val="en-US"/>
        </w:rPr>
      </w:pPr>
      <w:r w:rsidRPr="00C06806">
        <w:rPr>
          <w:rFonts w:cs="Arial"/>
          <w:sz w:val="20"/>
          <w:szCs w:val="20"/>
          <w:lang w:val="en-US"/>
        </w:rPr>
        <w:tab/>
      </w:r>
      <w:r w:rsidRPr="00C06806">
        <w:rPr>
          <w:rFonts w:cs="Arial"/>
          <w:sz w:val="20"/>
          <w:szCs w:val="20"/>
          <w:lang w:val="en-US"/>
        </w:rPr>
        <w:tab/>
      </w:r>
      <w:r w:rsidRPr="00C06806">
        <w:rPr>
          <w:rFonts w:cs="Arial"/>
          <w:sz w:val="20"/>
          <w:szCs w:val="20"/>
          <w:lang w:val="en-US"/>
        </w:rPr>
        <w:tab/>
      </w:r>
      <w:r w:rsidRPr="00C06806">
        <w:rPr>
          <w:rFonts w:cs="Arial"/>
          <w:sz w:val="20"/>
          <w:szCs w:val="20"/>
          <w:lang w:val="en-US"/>
        </w:rPr>
        <w:tab/>
      </w:r>
      <w:r w:rsidRPr="00C06806">
        <w:rPr>
          <w:rFonts w:cs="Arial"/>
          <w:sz w:val="20"/>
          <w:szCs w:val="20"/>
          <w:lang w:val="en-US"/>
        </w:rPr>
        <w:tab/>
      </w:r>
      <w:r w:rsidRPr="00C06806">
        <w:rPr>
          <w:rFonts w:cs="Arial"/>
          <w:sz w:val="20"/>
          <w:szCs w:val="20"/>
          <w:lang w:val="en-US"/>
        </w:rPr>
        <w:tab/>
      </w:r>
      <w:r w:rsidRPr="00C06806">
        <w:rPr>
          <w:rFonts w:cs="Arial"/>
          <w:sz w:val="20"/>
          <w:szCs w:val="20"/>
          <w:lang w:val="en-US"/>
        </w:rPr>
        <w:tab/>
      </w:r>
      <w:r w:rsidRPr="00C06806">
        <w:rPr>
          <w:rFonts w:cs="Arial"/>
          <w:sz w:val="20"/>
          <w:szCs w:val="20"/>
          <w:lang w:val="en-US"/>
        </w:rPr>
        <w:tab/>
      </w:r>
      <w:r w:rsidRPr="00C06806">
        <w:rPr>
          <w:rFonts w:cs="Arial"/>
          <w:sz w:val="20"/>
          <w:szCs w:val="20"/>
          <w:lang w:val="en-US"/>
        </w:rPr>
        <w:tab/>
      </w:r>
    </w:p>
    <w:p w14:paraId="55EBAB4A" w14:textId="26902E97" w:rsidR="004B43C1" w:rsidRPr="00C06806" w:rsidRDefault="004B43C1" w:rsidP="004B43C1">
      <w:pPr>
        <w:spacing w:after="0"/>
        <w:rPr>
          <w:rFonts w:cs="Arial"/>
          <w:sz w:val="20"/>
          <w:szCs w:val="20"/>
          <w:lang w:val="en-US"/>
        </w:rPr>
      </w:pPr>
    </w:p>
    <w:p w14:paraId="4D17254D" w14:textId="77777777" w:rsidR="004B43C1" w:rsidRPr="00C06806" w:rsidRDefault="004B43C1" w:rsidP="004B43C1">
      <w:pPr>
        <w:tabs>
          <w:tab w:val="left" w:pos="5190"/>
        </w:tabs>
        <w:spacing w:after="0"/>
        <w:rPr>
          <w:rFonts w:cs="Arial"/>
          <w:sz w:val="20"/>
          <w:szCs w:val="20"/>
          <w:lang w:val="en-US"/>
        </w:rPr>
      </w:pPr>
    </w:p>
    <w:p w14:paraId="508AE567" w14:textId="1110DD5B" w:rsidR="004B43C1" w:rsidRPr="00C06806" w:rsidRDefault="004B43C1" w:rsidP="00663ADB">
      <w:pPr>
        <w:spacing w:after="0"/>
        <w:rPr>
          <w:rFonts w:cs="Arial"/>
          <w:sz w:val="20"/>
          <w:szCs w:val="20"/>
          <w:lang w:val="en-US"/>
        </w:rPr>
      </w:pPr>
    </w:p>
    <w:p w14:paraId="7B8F8797" w14:textId="77777777" w:rsidR="004B43C1" w:rsidRPr="00C06806" w:rsidRDefault="004B43C1" w:rsidP="004B43C1">
      <w:pPr>
        <w:spacing w:after="0"/>
        <w:rPr>
          <w:rFonts w:cs="Arial"/>
          <w:sz w:val="20"/>
          <w:szCs w:val="20"/>
          <w:lang w:val="en-US"/>
        </w:rPr>
      </w:pPr>
    </w:p>
    <w:p w14:paraId="4C51B0A1" w14:textId="25511030" w:rsidR="004B43C1" w:rsidRPr="00C06806" w:rsidRDefault="004B43C1" w:rsidP="004B43C1">
      <w:pPr>
        <w:spacing w:after="0"/>
        <w:rPr>
          <w:rFonts w:cs="Arial"/>
          <w:sz w:val="20"/>
          <w:szCs w:val="20"/>
          <w:lang w:val="en-US"/>
        </w:rPr>
      </w:pPr>
    </w:p>
    <w:p w14:paraId="74F1E53B" w14:textId="128DFF17" w:rsidR="004B43C1" w:rsidRPr="00C06806" w:rsidRDefault="004B43C1" w:rsidP="004B43C1">
      <w:pPr>
        <w:spacing w:after="0"/>
        <w:rPr>
          <w:rFonts w:cs="Arial"/>
          <w:sz w:val="20"/>
          <w:szCs w:val="20"/>
          <w:lang w:val="en-US"/>
        </w:rPr>
      </w:pPr>
      <w:r w:rsidRPr="00C06806">
        <w:rPr>
          <w:rFonts w:cs="Arial"/>
          <w:sz w:val="20"/>
          <w:szCs w:val="20"/>
          <w:lang w:val="en-US"/>
        </w:rPr>
        <w:tab/>
      </w:r>
      <w:r w:rsidRPr="00C06806">
        <w:rPr>
          <w:rFonts w:cs="Arial"/>
          <w:sz w:val="20"/>
          <w:szCs w:val="20"/>
          <w:lang w:val="en-US"/>
        </w:rPr>
        <w:tab/>
      </w:r>
    </w:p>
    <w:p w14:paraId="7EF3F2FA" w14:textId="6C7FC622" w:rsidR="004B43C1" w:rsidRPr="00C06806" w:rsidRDefault="004B43C1" w:rsidP="004B43C1">
      <w:pPr>
        <w:spacing w:after="0"/>
        <w:rPr>
          <w:rFonts w:cs="Arial"/>
          <w:sz w:val="20"/>
          <w:szCs w:val="20"/>
          <w:lang w:val="en-US"/>
        </w:rPr>
      </w:pPr>
    </w:p>
    <w:p w14:paraId="6FBD6C69" w14:textId="3ADD5C7A" w:rsidR="004B43C1" w:rsidRPr="00C06806" w:rsidRDefault="00C57B68" w:rsidP="004B43C1">
      <w:pPr>
        <w:spacing w:after="160" w:line="278" w:lineRule="auto"/>
        <w:rPr>
          <w:rFonts w:cs="Arial"/>
          <w:color w:val="000000"/>
          <w:sz w:val="20"/>
          <w:szCs w:val="20"/>
        </w:rPr>
      </w:pPr>
      <w:r>
        <w:rPr>
          <w:noProof/>
        </w:rPr>
        <mc:AlternateContent>
          <mc:Choice Requires="wps">
            <w:drawing>
              <wp:anchor distT="0" distB="0" distL="114300" distR="114300" simplePos="0" relativeHeight="251658259" behindDoc="0" locked="0" layoutInCell="1" allowOverlap="1" wp14:anchorId="6F6D5745" wp14:editId="104D7743">
                <wp:simplePos x="0" y="0"/>
                <wp:positionH relativeFrom="margin">
                  <wp:posOffset>3790950</wp:posOffset>
                </wp:positionH>
                <wp:positionV relativeFrom="paragraph">
                  <wp:posOffset>3907154</wp:posOffset>
                </wp:positionV>
                <wp:extent cx="2058670" cy="1247775"/>
                <wp:effectExtent l="19050" t="19050" r="36830" b="47625"/>
                <wp:wrapNone/>
                <wp:docPr id="570618066" name="Text Box 3"/>
                <wp:cNvGraphicFramePr/>
                <a:graphic xmlns:a="http://schemas.openxmlformats.org/drawingml/2006/main">
                  <a:graphicData uri="http://schemas.microsoft.com/office/word/2010/wordprocessingShape">
                    <wps:wsp>
                      <wps:cNvSpPr txBox="1"/>
                      <wps:spPr>
                        <a:xfrm>
                          <a:off x="0" y="0"/>
                          <a:ext cx="2058670" cy="1247775"/>
                        </a:xfrm>
                        <a:prstGeom prst="rect">
                          <a:avLst/>
                        </a:prstGeom>
                        <a:solidFill>
                          <a:schemeClr val="lt1"/>
                        </a:solidFill>
                        <a:ln w="57150">
                          <a:solidFill>
                            <a:schemeClr val="tx2">
                              <a:lumMod val="60000"/>
                              <a:lumOff val="40000"/>
                            </a:schemeClr>
                          </a:solidFill>
                        </a:ln>
                      </wps:spPr>
                      <wps:txbx>
                        <w:txbxContent>
                          <w:p w14:paraId="6B6C5426" w14:textId="77777777" w:rsidR="00663ADB" w:rsidRPr="008A3A6C" w:rsidRDefault="00663ADB" w:rsidP="00663ADB">
                            <w:pPr>
                              <w:spacing w:before="40" w:after="40"/>
                              <w:rPr>
                                <w:rFonts w:cs="Arial"/>
                                <w:color w:val="000000" w:themeColor="text1"/>
                                <w:sz w:val="20"/>
                                <w:szCs w:val="20"/>
                              </w:rPr>
                            </w:pPr>
                            <w:r w:rsidRPr="008A3A6C">
                              <w:rPr>
                                <w:rFonts w:cs="Arial"/>
                                <w:color w:val="000000" w:themeColor="text1"/>
                                <w:sz w:val="20"/>
                                <w:szCs w:val="20"/>
                              </w:rPr>
                              <w:t>Value the asset at the price that would be received to sell it in an ‘orderly transaction between market participants at the measurement date.’</w:t>
                            </w:r>
                          </w:p>
                          <w:p w14:paraId="35E514BD" w14:textId="77777777" w:rsidR="00663ADB" w:rsidRPr="008A3A6C" w:rsidRDefault="00663ADB" w:rsidP="00663ADB">
                            <w:pPr>
                              <w:spacing w:before="40" w:after="40"/>
                              <w:rPr>
                                <w:rFonts w:cs="Arial"/>
                                <w:color w:val="000000" w:themeColor="text1"/>
                                <w:sz w:val="20"/>
                                <w:szCs w:val="20"/>
                                <w:lang w:val="en-US"/>
                              </w:rPr>
                            </w:pPr>
                            <w:r w:rsidRPr="008A3A6C">
                              <w:rPr>
                                <w:rFonts w:cs="Arial"/>
                                <w:color w:val="000000" w:themeColor="text1"/>
                                <w:sz w:val="20"/>
                                <w:szCs w:val="20"/>
                              </w:rPr>
                              <w:t>(AASB 13:7, par.9)</w:t>
                            </w:r>
                          </w:p>
                          <w:p w14:paraId="305975E5" w14:textId="77777777" w:rsidR="00663ADB" w:rsidRDefault="00663ADB" w:rsidP="00663A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D5745" id="_x0000_s1043" type="#_x0000_t202" style="position:absolute;margin-left:298.5pt;margin-top:307.65pt;width:162.1pt;height:98.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" fillcolor="white [3201]" strokecolor="#8782a8 [1951]" strokeweight="4.5pt">
                <v:textbox>
                  <w:txbxContent>
                    <w:p w14:paraId="6B6C5426" w14:textId="77777777" w:rsidR="00663ADB" w:rsidRPr="008A3A6C" w:rsidRDefault="00663ADB" w:rsidP="00663ADB">
                      <w:pPr>
                        <w:spacing w:before="40" w:after="40"/>
                        <w:rPr>
                          <w:rFonts w:cs="Arial"/>
                          <w:color w:val="000000" w:themeColor="text1"/>
                          <w:sz w:val="20"/>
                          <w:szCs w:val="20"/>
                        </w:rPr>
                      </w:pPr>
                      <w:r w:rsidRPr="008A3A6C">
                        <w:rPr>
                          <w:rFonts w:cs="Arial"/>
                          <w:color w:val="000000" w:themeColor="text1"/>
                          <w:sz w:val="20"/>
                          <w:szCs w:val="20"/>
                        </w:rPr>
                        <w:t>Value the asset at the price that would be received to sell it in an ‘orderly transaction between market participants at the measurement date.’</w:t>
                      </w:r>
                    </w:p>
                    <w:p w14:paraId="35E514BD" w14:textId="77777777" w:rsidR="00663ADB" w:rsidRPr="008A3A6C" w:rsidRDefault="00663ADB" w:rsidP="00663ADB">
                      <w:pPr>
                        <w:spacing w:before="40" w:after="40"/>
                        <w:rPr>
                          <w:rFonts w:cs="Arial"/>
                          <w:color w:val="000000" w:themeColor="text1"/>
                          <w:sz w:val="20"/>
                          <w:szCs w:val="20"/>
                          <w:lang w:val="en-US"/>
                        </w:rPr>
                      </w:pPr>
                      <w:r w:rsidRPr="008A3A6C">
                        <w:rPr>
                          <w:rFonts w:cs="Arial"/>
                          <w:color w:val="000000" w:themeColor="text1"/>
                          <w:sz w:val="20"/>
                          <w:szCs w:val="20"/>
                        </w:rPr>
                        <w:t>(AASB 13:7, par.9)</w:t>
                      </w:r>
                    </w:p>
                    <w:p w14:paraId="305975E5" w14:textId="77777777" w:rsidR="00663ADB" w:rsidRDefault="00663ADB" w:rsidP="00663ADB"/>
                  </w:txbxContent>
                </v:textbox>
                <w10:wrap anchorx="margin"/>
              </v:shape>
            </w:pict>
          </mc:Fallback>
        </mc:AlternateContent>
      </w:r>
      <w:r w:rsidR="00BF570B">
        <w:rPr>
          <w:noProof/>
        </w:rPr>
        <mc:AlternateContent>
          <mc:Choice Requires="wps">
            <w:drawing>
              <wp:anchor distT="0" distB="0" distL="114300" distR="114300" simplePos="0" relativeHeight="251658258" behindDoc="0" locked="0" layoutInCell="1" allowOverlap="1" wp14:anchorId="219F0F2E" wp14:editId="2F979D3A">
                <wp:simplePos x="0" y="0"/>
                <wp:positionH relativeFrom="margin">
                  <wp:posOffset>3810000</wp:posOffset>
                </wp:positionH>
                <wp:positionV relativeFrom="paragraph">
                  <wp:posOffset>1506854</wp:posOffset>
                </wp:positionV>
                <wp:extent cx="2058670" cy="1266825"/>
                <wp:effectExtent l="19050" t="19050" r="36830" b="47625"/>
                <wp:wrapNone/>
                <wp:docPr id="1260424407" name="Text Box 3"/>
                <wp:cNvGraphicFramePr/>
                <a:graphic xmlns:a="http://schemas.openxmlformats.org/drawingml/2006/main">
                  <a:graphicData uri="http://schemas.microsoft.com/office/word/2010/wordprocessingShape">
                    <wps:wsp>
                      <wps:cNvSpPr txBox="1"/>
                      <wps:spPr>
                        <a:xfrm>
                          <a:off x="0" y="0"/>
                          <a:ext cx="2058670" cy="1266825"/>
                        </a:xfrm>
                        <a:prstGeom prst="rect">
                          <a:avLst/>
                        </a:prstGeom>
                        <a:solidFill>
                          <a:schemeClr val="lt1"/>
                        </a:solidFill>
                        <a:ln w="57150">
                          <a:solidFill>
                            <a:schemeClr val="tx2">
                              <a:lumMod val="60000"/>
                              <a:lumOff val="40000"/>
                            </a:schemeClr>
                          </a:solidFill>
                        </a:ln>
                      </wps:spPr>
                      <wps:txbx>
                        <w:txbxContent>
                          <w:p w14:paraId="508C517F" w14:textId="77777777" w:rsidR="00663ADB" w:rsidRPr="008A3A6C" w:rsidRDefault="00663ADB" w:rsidP="00663ADB">
                            <w:pPr>
                              <w:spacing w:before="40" w:after="40"/>
                              <w:rPr>
                                <w:rFonts w:cs="Arial"/>
                                <w:color w:val="000000" w:themeColor="text1"/>
                                <w:sz w:val="20"/>
                                <w:szCs w:val="20"/>
                              </w:rPr>
                            </w:pPr>
                            <w:r w:rsidRPr="008A3A6C">
                              <w:rPr>
                                <w:rFonts w:cs="Arial"/>
                                <w:color w:val="000000" w:themeColor="text1"/>
                                <w:sz w:val="20"/>
                                <w:szCs w:val="20"/>
                              </w:rPr>
                              <w:t>Value the asset at the price that would be received to sell it in an ‘orderly transaction between market participants at the measurement date.’</w:t>
                            </w:r>
                          </w:p>
                          <w:p w14:paraId="321F592B" w14:textId="77777777" w:rsidR="00663ADB" w:rsidRPr="008A3A6C" w:rsidRDefault="00663ADB" w:rsidP="00663ADB">
                            <w:pPr>
                              <w:spacing w:before="40" w:after="40"/>
                              <w:rPr>
                                <w:rFonts w:cs="Arial"/>
                                <w:color w:val="000000" w:themeColor="text1"/>
                                <w:sz w:val="20"/>
                                <w:szCs w:val="20"/>
                                <w:lang w:val="en-US"/>
                              </w:rPr>
                            </w:pPr>
                            <w:r w:rsidRPr="008A3A6C">
                              <w:rPr>
                                <w:rFonts w:cs="Arial"/>
                                <w:color w:val="000000" w:themeColor="text1"/>
                                <w:sz w:val="20"/>
                                <w:szCs w:val="20"/>
                              </w:rPr>
                              <w:t>(AASB 13:7, par.9)</w:t>
                            </w:r>
                          </w:p>
                          <w:p w14:paraId="77AC8CE7" w14:textId="77777777" w:rsidR="00663ADB" w:rsidRDefault="00663ADB" w:rsidP="00663A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F0F2E" id="_x0000_s1044" type="#_x0000_t202" style="position:absolute;margin-left:300pt;margin-top:118.65pt;width:162.1pt;height:99.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" fillcolor="white [3201]" strokecolor="#8782a8 [1951]" strokeweight="4.5pt">
                <v:textbox>
                  <w:txbxContent>
                    <w:p w14:paraId="508C517F" w14:textId="77777777" w:rsidR="00663ADB" w:rsidRPr="008A3A6C" w:rsidRDefault="00663ADB" w:rsidP="00663ADB">
                      <w:pPr>
                        <w:spacing w:before="40" w:after="40"/>
                        <w:rPr>
                          <w:rFonts w:cs="Arial"/>
                          <w:color w:val="000000" w:themeColor="text1"/>
                          <w:sz w:val="20"/>
                          <w:szCs w:val="20"/>
                        </w:rPr>
                      </w:pPr>
                      <w:r w:rsidRPr="008A3A6C">
                        <w:rPr>
                          <w:rFonts w:cs="Arial"/>
                          <w:color w:val="000000" w:themeColor="text1"/>
                          <w:sz w:val="20"/>
                          <w:szCs w:val="20"/>
                        </w:rPr>
                        <w:t>Value the asset at the price that would be received to sell it in an ‘orderly transaction between market participants at the measurement date.’</w:t>
                      </w:r>
                    </w:p>
                    <w:p w14:paraId="321F592B" w14:textId="77777777" w:rsidR="00663ADB" w:rsidRPr="008A3A6C" w:rsidRDefault="00663ADB" w:rsidP="00663ADB">
                      <w:pPr>
                        <w:spacing w:before="40" w:after="40"/>
                        <w:rPr>
                          <w:rFonts w:cs="Arial"/>
                          <w:color w:val="000000" w:themeColor="text1"/>
                          <w:sz w:val="20"/>
                          <w:szCs w:val="20"/>
                          <w:lang w:val="en-US"/>
                        </w:rPr>
                      </w:pPr>
                      <w:r w:rsidRPr="008A3A6C">
                        <w:rPr>
                          <w:rFonts w:cs="Arial"/>
                          <w:color w:val="000000" w:themeColor="text1"/>
                          <w:sz w:val="20"/>
                          <w:szCs w:val="20"/>
                        </w:rPr>
                        <w:t>(AASB 13:7, par.9)</w:t>
                      </w:r>
                    </w:p>
                    <w:p w14:paraId="77AC8CE7" w14:textId="77777777" w:rsidR="00663ADB" w:rsidRDefault="00663ADB" w:rsidP="00663ADB"/>
                  </w:txbxContent>
                </v:textbox>
                <w10:wrap anchorx="margin"/>
              </v:shape>
            </w:pict>
          </mc:Fallback>
        </mc:AlternateContent>
      </w:r>
      <w:r w:rsidR="004B43C1" w:rsidRPr="00C06806">
        <w:rPr>
          <w:rFonts w:cs="Arial"/>
          <w:color w:val="000000"/>
          <w:sz w:val="20"/>
          <w:szCs w:val="20"/>
        </w:rPr>
        <w:br w:type="page"/>
      </w:r>
    </w:p>
    <w:p w14:paraId="7569E46C" w14:textId="50D2E471" w:rsidR="00947E3F" w:rsidRPr="00E23AE3" w:rsidRDefault="1AB978DD" w:rsidP="00DA4F4D">
      <w:pPr>
        <w:pStyle w:val="Heading4"/>
      </w:pPr>
      <w:r>
        <w:lastRenderedPageBreak/>
        <w:t xml:space="preserve">Valuation </w:t>
      </w:r>
      <w:r w:rsidR="00D30A4F">
        <w:t>t</w:t>
      </w:r>
      <w:r>
        <w:t>echniques</w:t>
      </w:r>
    </w:p>
    <w:p w14:paraId="7A6D078E" w14:textId="77777777" w:rsidR="00947E3F" w:rsidRPr="00E23AE3" w:rsidRDefault="00947E3F" w:rsidP="00D70B5C">
      <w:pPr>
        <w:pStyle w:val="BodyText"/>
      </w:pPr>
      <w:r w:rsidRPr="00E23AE3">
        <w:t>AASB 13 Fair Value Measurement</w:t>
      </w:r>
      <w:r w:rsidRPr="00E23AE3">
        <w:rPr>
          <w:vertAlign w:val="superscript"/>
        </w:rPr>
        <w:t xml:space="preserve"> </w:t>
      </w:r>
      <w:r w:rsidRPr="00E23AE3">
        <w:t xml:space="preserve">(2022) states regarding ‘valuation </w:t>
      </w:r>
      <w:proofErr w:type="gramStart"/>
      <w:r w:rsidRPr="00E23AE3">
        <w:t>techniques’</w:t>
      </w:r>
      <w:proofErr w:type="gramEnd"/>
      <w:r w:rsidRPr="00E23AE3">
        <w:t xml:space="preserve">: </w:t>
      </w:r>
    </w:p>
    <w:tbl>
      <w:tblPr>
        <w:tblStyle w:val="TableGrid"/>
        <w:tblW w:w="9639" w:type="dxa"/>
        <w:tblLayout w:type="fixed"/>
        <w:tblLook w:val="06A0" w:firstRow="1" w:lastRow="0" w:firstColumn="1" w:lastColumn="0" w:noHBand="1" w:noVBand="1"/>
      </w:tblPr>
      <w:tblGrid>
        <w:gridCol w:w="9639"/>
      </w:tblGrid>
      <w:tr w:rsidR="00947E3F" w:rsidRPr="00E23AE3" w14:paraId="62AC6F9D" w14:textId="77777777">
        <w:trPr>
          <w:trHeight w:val="300"/>
          <w:tblHeader/>
        </w:trPr>
        <w:tc>
          <w:tcPr>
            <w:tcW w:w="9639" w:type="dxa"/>
            <w:tcBorders>
              <w:bottom w:val="single" w:sz="4" w:space="0" w:color="auto"/>
            </w:tcBorders>
            <w:shd w:val="clear" w:color="auto" w:fill="F2F2F2" w:themeFill="background1" w:themeFillShade="F2"/>
          </w:tcPr>
          <w:p w14:paraId="43C7CA65" w14:textId="77777777" w:rsidR="00947E3F" w:rsidRPr="00D97D74" w:rsidRDefault="00947E3F" w:rsidP="00D97D74">
            <w:pPr>
              <w:pStyle w:val="TableContent"/>
              <w:rPr>
                <w:b/>
                <w:bCs/>
                <w:sz w:val="24"/>
              </w:rPr>
            </w:pPr>
            <w:r w:rsidRPr="00D97D74">
              <w:rPr>
                <w:b/>
                <w:bCs/>
                <w:sz w:val="24"/>
              </w:rPr>
              <w:t>(AASB 2022:13)</w:t>
            </w:r>
          </w:p>
        </w:tc>
      </w:tr>
      <w:tr w:rsidR="00947E3F" w:rsidRPr="00E23AE3" w14:paraId="77237CB9" w14:textId="77777777">
        <w:trPr>
          <w:trHeight w:val="300"/>
        </w:trPr>
        <w:tc>
          <w:tcPr>
            <w:tcW w:w="9639" w:type="dxa"/>
            <w:tcBorders>
              <w:bottom w:val="single" w:sz="4" w:space="0" w:color="auto"/>
            </w:tcBorders>
          </w:tcPr>
          <w:p w14:paraId="0C42BB98" w14:textId="0E8F550B" w:rsidR="00947E3F" w:rsidRPr="00EA0451" w:rsidRDefault="00947E3F" w:rsidP="00EA0451">
            <w:pPr>
              <w:pStyle w:val="TableContent"/>
              <w:ind w:left="397" w:hanging="397"/>
              <w:rPr>
                <w:b/>
                <w:bCs/>
                <w:sz w:val="24"/>
              </w:rPr>
            </w:pPr>
            <w:r w:rsidRPr="00EA0451">
              <w:rPr>
                <w:b/>
                <w:bCs/>
                <w:sz w:val="24"/>
              </w:rPr>
              <w:t>‘61 An entity shall use valuation techniques that are appropriate in the circumstances and for which sufficient data are available to measure fair value, maximising the use of relevant observable inputs and minimising the use of unobservable inputs.’</w:t>
            </w:r>
          </w:p>
        </w:tc>
      </w:tr>
      <w:tr w:rsidR="00947E3F" w:rsidRPr="00E23AE3" w14:paraId="0FDEEF95" w14:textId="77777777" w:rsidTr="00DA4F4D">
        <w:trPr>
          <w:trHeight w:val="300"/>
          <w:tblHeader/>
        </w:trPr>
        <w:tc>
          <w:tcPr>
            <w:tcW w:w="9639" w:type="dxa"/>
            <w:tcBorders>
              <w:bottom w:val="single" w:sz="4" w:space="0" w:color="auto"/>
            </w:tcBorders>
          </w:tcPr>
          <w:p w14:paraId="2774C27D" w14:textId="2E575EA8" w:rsidR="00947E3F" w:rsidRPr="00D97D74" w:rsidRDefault="00EA0451" w:rsidP="00EA0451">
            <w:pPr>
              <w:pStyle w:val="TableContent"/>
              <w:ind w:left="397" w:hanging="397"/>
              <w:rPr>
                <w:sz w:val="24"/>
              </w:rPr>
            </w:pPr>
            <w:r>
              <w:rPr>
                <w:sz w:val="24"/>
              </w:rPr>
              <w:t>’</w:t>
            </w:r>
            <w:r w:rsidR="00947E3F" w:rsidRPr="00D97D74">
              <w:rPr>
                <w:sz w:val="24"/>
              </w:rPr>
              <w:t>62</w:t>
            </w:r>
            <w:r>
              <w:rPr>
                <w:sz w:val="24"/>
              </w:rPr>
              <w:t xml:space="preserve"> </w:t>
            </w:r>
            <w:r w:rsidR="00947E3F" w:rsidRPr="00D97D74">
              <w:rPr>
                <w:sz w:val="24"/>
              </w:rPr>
              <w:t xml:space="preserve">Three widely used valuation techniques are the market approach, the </w:t>
            </w:r>
            <w:r w:rsidR="00947E3F" w:rsidRPr="00D97D74">
              <w:rPr>
                <w:i/>
                <w:iCs/>
                <w:sz w:val="24"/>
              </w:rPr>
              <w:t>cost approach</w:t>
            </w:r>
            <w:r w:rsidR="00947E3F" w:rsidRPr="00D97D74">
              <w:rPr>
                <w:sz w:val="24"/>
              </w:rPr>
              <w:t xml:space="preserve"> and the income approach.</w:t>
            </w:r>
          </w:p>
          <w:p w14:paraId="455603DC" w14:textId="0EC338CC" w:rsidR="00947E3F" w:rsidRPr="00D97D74" w:rsidRDefault="00947E3F" w:rsidP="00EA0451">
            <w:pPr>
              <w:pStyle w:val="TableContent"/>
              <w:ind w:left="397" w:hanging="397"/>
              <w:rPr>
                <w:sz w:val="24"/>
              </w:rPr>
            </w:pPr>
            <w:r w:rsidRPr="00D97D74">
              <w:rPr>
                <w:sz w:val="24"/>
              </w:rPr>
              <w:t>63 In some cases a single valuation technique will be appropriate (</w:t>
            </w:r>
            <w:proofErr w:type="spellStart"/>
            <w:r w:rsidRPr="00D97D74">
              <w:rPr>
                <w:sz w:val="24"/>
              </w:rPr>
              <w:t>eg</w:t>
            </w:r>
            <w:proofErr w:type="spellEnd"/>
            <w:r w:rsidRPr="00D97D74">
              <w:rPr>
                <w:sz w:val="24"/>
              </w:rPr>
              <w:t xml:space="preserve"> when valuing an asset or a liability using quoted prices in an active market for identical assets or liabilities). In other cases, multiple valuation techniques will be appropriate (</w:t>
            </w:r>
            <w:proofErr w:type="spellStart"/>
            <w:r w:rsidRPr="00D97D74">
              <w:rPr>
                <w:sz w:val="24"/>
              </w:rPr>
              <w:t>eg</w:t>
            </w:r>
            <w:proofErr w:type="spellEnd"/>
            <w:r w:rsidRPr="00D97D74">
              <w:rPr>
                <w:sz w:val="24"/>
              </w:rPr>
              <w:t xml:space="preserve"> that might be the case when valuing a cash-generating unit).’</w:t>
            </w:r>
          </w:p>
        </w:tc>
      </w:tr>
      <w:tr w:rsidR="00947E3F" w:rsidRPr="00E23AE3" w14:paraId="0935E909" w14:textId="77777777" w:rsidTr="00DA4F4D">
        <w:trPr>
          <w:trHeight w:val="300"/>
          <w:tblHeader/>
        </w:trPr>
        <w:tc>
          <w:tcPr>
            <w:tcW w:w="9639" w:type="dxa"/>
            <w:tcBorders>
              <w:top w:val="single" w:sz="4" w:space="0" w:color="auto"/>
              <w:bottom w:val="single" w:sz="4" w:space="0" w:color="auto"/>
            </w:tcBorders>
            <w:shd w:val="clear" w:color="auto" w:fill="F2F2F2" w:themeFill="background1" w:themeFillShade="F2"/>
          </w:tcPr>
          <w:p w14:paraId="7699E6BD" w14:textId="77777777" w:rsidR="00947E3F" w:rsidRPr="00EA0451" w:rsidRDefault="00947E3F" w:rsidP="00EA0451">
            <w:pPr>
              <w:pStyle w:val="TableContent"/>
              <w:rPr>
                <w:b/>
                <w:bCs/>
                <w:sz w:val="24"/>
              </w:rPr>
            </w:pPr>
            <w:r w:rsidRPr="00EA0451">
              <w:rPr>
                <w:b/>
                <w:bCs/>
                <w:sz w:val="24"/>
              </w:rPr>
              <w:t>Interpretation (AASB 2022:13)</w:t>
            </w:r>
          </w:p>
        </w:tc>
      </w:tr>
      <w:tr w:rsidR="00947E3F" w:rsidRPr="00E23AE3" w14:paraId="122E21E5" w14:textId="77777777">
        <w:trPr>
          <w:trHeight w:val="300"/>
        </w:trPr>
        <w:tc>
          <w:tcPr>
            <w:tcW w:w="9639" w:type="dxa"/>
          </w:tcPr>
          <w:p w14:paraId="7439A1DC" w14:textId="77777777" w:rsidR="00947E3F" w:rsidRPr="00EA0451" w:rsidRDefault="00947E3F" w:rsidP="00EA0451">
            <w:pPr>
              <w:pStyle w:val="TableContent"/>
              <w:rPr>
                <w:sz w:val="24"/>
              </w:rPr>
            </w:pPr>
            <w:r w:rsidRPr="00EA0451">
              <w:rPr>
                <w:sz w:val="24"/>
              </w:rPr>
              <w:t xml:space="preserve">Paragraph 61: </w:t>
            </w:r>
          </w:p>
          <w:p w14:paraId="62035979" w14:textId="77777777" w:rsidR="00947E3F" w:rsidRPr="00EA0451" w:rsidRDefault="00947E3F" w:rsidP="00EA0451">
            <w:pPr>
              <w:pStyle w:val="TableContent"/>
              <w:rPr>
                <w:sz w:val="24"/>
              </w:rPr>
            </w:pPr>
            <w:r w:rsidRPr="00EA0451">
              <w:rPr>
                <w:sz w:val="24"/>
              </w:rPr>
              <w:t>Fair value measurements require adequate data and the use of a proper valuation technique.</w:t>
            </w:r>
          </w:p>
          <w:p w14:paraId="358C6E2B" w14:textId="77777777" w:rsidR="00947E3F" w:rsidRPr="00EA0451" w:rsidRDefault="00947E3F" w:rsidP="00EA0451">
            <w:pPr>
              <w:pStyle w:val="TableContent"/>
              <w:rPr>
                <w:sz w:val="24"/>
              </w:rPr>
            </w:pPr>
            <w:r w:rsidRPr="00EA0451">
              <w:rPr>
                <w:sz w:val="24"/>
              </w:rPr>
              <w:t>Paragraph 62:</w:t>
            </w:r>
          </w:p>
          <w:p w14:paraId="676B4115" w14:textId="77777777" w:rsidR="00947E3F" w:rsidRPr="00EA0451" w:rsidRDefault="00947E3F" w:rsidP="00EA0451">
            <w:pPr>
              <w:pStyle w:val="TableContent"/>
              <w:rPr>
                <w:sz w:val="24"/>
              </w:rPr>
            </w:pPr>
            <w:r w:rsidRPr="00EA0451">
              <w:rPr>
                <w:sz w:val="24"/>
              </w:rPr>
              <w:t xml:space="preserve">A local government has discretion in choosing a specific valuation technique. The chosen technique should be agreed with the valuer at the commencement of the valuation process. </w:t>
            </w:r>
          </w:p>
          <w:p w14:paraId="18ACBE30" w14:textId="77777777" w:rsidR="00947E3F" w:rsidRPr="00EA0451" w:rsidRDefault="00947E3F" w:rsidP="00EA0451">
            <w:pPr>
              <w:pStyle w:val="TableContent"/>
              <w:rPr>
                <w:sz w:val="24"/>
              </w:rPr>
            </w:pPr>
            <w:r w:rsidRPr="00EA0451">
              <w:rPr>
                <w:sz w:val="24"/>
              </w:rPr>
              <w:t xml:space="preserve">Paragraph 63: </w:t>
            </w:r>
          </w:p>
          <w:p w14:paraId="3608FF12" w14:textId="77777777" w:rsidR="00947E3F" w:rsidRPr="00EA0451" w:rsidRDefault="00947E3F" w:rsidP="00EA0451">
            <w:pPr>
              <w:pStyle w:val="TableContent"/>
              <w:rPr>
                <w:sz w:val="24"/>
              </w:rPr>
            </w:pPr>
            <w:r w:rsidRPr="00EA0451">
              <w:rPr>
                <w:sz w:val="24"/>
              </w:rPr>
              <w:t xml:space="preserve">A local government also has discretion in choosing to use a combination of valuation techniques if deemed appropriate. This valuation approach should be agreed with the valuer at the commencement of the valuation process. </w:t>
            </w:r>
          </w:p>
        </w:tc>
      </w:tr>
    </w:tbl>
    <w:p w14:paraId="45A2A540" w14:textId="77777777" w:rsidR="0099327A" w:rsidRPr="00E23AE3" w:rsidRDefault="00797A09" w:rsidP="002B32A6">
      <w:pPr>
        <w:pStyle w:val="Heading4"/>
      </w:pPr>
      <w:r w:rsidRPr="002B32A6">
        <w:t xml:space="preserve">Three </w:t>
      </w:r>
      <w:r w:rsidR="0099327A" w:rsidRPr="002B32A6">
        <w:t xml:space="preserve">widely used ‘valuation </w:t>
      </w:r>
      <w:proofErr w:type="gramStart"/>
      <w:r w:rsidR="0099327A" w:rsidRPr="002B32A6">
        <w:t>techniques’</w:t>
      </w:r>
      <w:proofErr w:type="gramEnd"/>
      <w:r w:rsidR="0099327A" w:rsidRPr="00E23AE3">
        <w:t xml:space="preserve">: </w:t>
      </w:r>
    </w:p>
    <w:p w14:paraId="0ED70531" w14:textId="07C0E4F2" w:rsidR="00947E3F" w:rsidRPr="00E23AE3" w:rsidRDefault="00947E3F" w:rsidP="00D70B5C">
      <w:pPr>
        <w:pStyle w:val="BodyText"/>
      </w:pPr>
      <w:r w:rsidRPr="00E23AE3">
        <w:t xml:space="preserve">AASB 13 Fair Value Measurement (2022) provides explanations for the </w:t>
      </w:r>
      <w:r w:rsidR="00441BDF">
        <w:t>three</w:t>
      </w:r>
      <w:r w:rsidRPr="00E23AE3">
        <w:t xml:space="preserve"> widely used ‘valuation </w:t>
      </w:r>
      <w:proofErr w:type="gramStart"/>
      <w:r w:rsidRPr="00E23AE3">
        <w:t>techniques’</w:t>
      </w:r>
      <w:proofErr w:type="gramEnd"/>
      <w:r w:rsidRPr="00E23AE3">
        <w:t xml:space="preserve">: </w:t>
      </w:r>
    </w:p>
    <w:tbl>
      <w:tblPr>
        <w:tblStyle w:val="TableGrid"/>
        <w:tblW w:w="9639" w:type="dxa"/>
        <w:tblLayout w:type="fixed"/>
        <w:tblLook w:val="06A0" w:firstRow="1" w:lastRow="0" w:firstColumn="1" w:lastColumn="0" w:noHBand="1" w:noVBand="1"/>
      </w:tblPr>
      <w:tblGrid>
        <w:gridCol w:w="9639"/>
      </w:tblGrid>
      <w:tr w:rsidR="00947E3F" w:rsidRPr="00AA3E13" w14:paraId="0D628C00" w14:textId="77777777" w:rsidTr="04E1CD47">
        <w:trPr>
          <w:trHeight w:val="300"/>
          <w:tblHeader/>
        </w:trPr>
        <w:tc>
          <w:tcPr>
            <w:tcW w:w="9639" w:type="dxa"/>
            <w:shd w:val="clear" w:color="auto" w:fill="F2F2F2" w:themeFill="background2" w:themeFillShade="F2"/>
          </w:tcPr>
          <w:p w14:paraId="69EEE8B6" w14:textId="77777777" w:rsidR="00947E3F" w:rsidRPr="006B00D0" w:rsidRDefault="00947E3F" w:rsidP="00AA3E13">
            <w:pPr>
              <w:pStyle w:val="TableContent"/>
              <w:rPr>
                <w:b/>
                <w:bCs/>
                <w:sz w:val="24"/>
              </w:rPr>
            </w:pPr>
            <w:r w:rsidRPr="006B00D0">
              <w:rPr>
                <w:b/>
                <w:bCs/>
                <w:sz w:val="24"/>
              </w:rPr>
              <w:t>(AASB 2022: 24)</w:t>
            </w:r>
          </w:p>
        </w:tc>
      </w:tr>
      <w:tr w:rsidR="00947E3F" w:rsidRPr="00AA3E13" w14:paraId="09F002A6" w14:textId="77777777" w:rsidTr="04E1CD47">
        <w:trPr>
          <w:trHeight w:val="300"/>
        </w:trPr>
        <w:tc>
          <w:tcPr>
            <w:tcW w:w="9639" w:type="dxa"/>
          </w:tcPr>
          <w:p w14:paraId="18A19579" w14:textId="77777777" w:rsidR="00947E3F" w:rsidRPr="00AA3E13" w:rsidRDefault="00947E3F" w:rsidP="007E526C">
            <w:pPr>
              <w:pStyle w:val="TableContent"/>
              <w:ind w:left="397" w:hanging="397"/>
              <w:rPr>
                <w:sz w:val="24"/>
              </w:rPr>
            </w:pPr>
            <w:r w:rsidRPr="00AA3E13">
              <w:rPr>
                <w:sz w:val="24"/>
              </w:rPr>
              <w:t>‘B5 The market approach uses prices and other relevant information generated by market transactions involving identical or comparable (</w:t>
            </w:r>
            <w:proofErr w:type="spellStart"/>
            <w:r w:rsidRPr="00AA3E13">
              <w:rPr>
                <w:sz w:val="24"/>
              </w:rPr>
              <w:t>ie</w:t>
            </w:r>
            <w:proofErr w:type="spellEnd"/>
            <w:r w:rsidRPr="00AA3E13">
              <w:rPr>
                <w:sz w:val="24"/>
              </w:rPr>
              <w:t xml:space="preserve"> similar) assets, liabilities or a group of assets and liabilities, such as a business.’</w:t>
            </w:r>
          </w:p>
        </w:tc>
      </w:tr>
    </w:tbl>
    <w:p w14:paraId="123B2C10" w14:textId="77777777" w:rsidR="00302430" w:rsidRDefault="00302430" w:rsidP="04E1CD47">
      <w:pPr>
        <w:pStyle w:val="TableContent"/>
        <w:ind w:left="397" w:hanging="397"/>
        <w:sectPr w:rsidR="00302430" w:rsidSect="00F57F84">
          <w:pgSz w:w="11920" w:h="16840"/>
          <w:pgMar w:top="1440" w:right="863" w:bottom="1440" w:left="1440" w:header="720" w:footer="282" w:gutter="0"/>
          <w:cols w:space="720"/>
        </w:sectPr>
      </w:pPr>
    </w:p>
    <w:tbl>
      <w:tblPr>
        <w:tblStyle w:val="TableGrid"/>
        <w:tblW w:w="9639" w:type="dxa"/>
        <w:tblLayout w:type="fixed"/>
        <w:tblLook w:val="06A0" w:firstRow="1" w:lastRow="0" w:firstColumn="1" w:lastColumn="0" w:noHBand="1" w:noVBand="1"/>
      </w:tblPr>
      <w:tblGrid>
        <w:gridCol w:w="9639"/>
      </w:tblGrid>
      <w:tr w:rsidR="004450F2" w:rsidRPr="00AA3E13" w14:paraId="3CF7B3A0" w14:textId="77777777" w:rsidTr="003F10F7">
        <w:trPr>
          <w:trHeight w:val="300"/>
        </w:trPr>
        <w:tc>
          <w:tcPr>
            <w:tcW w:w="9639" w:type="dxa"/>
            <w:shd w:val="clear" w:color="auto" w:fill="F2F2F2" w:themeFill="background1" w:themeFillShade="F2"/>
          </w:tcPr>
          <w:p w14:paraId="5F1ED5AA" w14:textId="69F3AB1C" w:rsidR="004450F2" w:rsidRPr="04E1CD47" w:rsidRDefault="004450F2" w:rsidP="04E1CD47">
            <w:pPr>
              <w:pStyle w:val="TableContent"/>
              <w:ind w:left="397" w:hanging="397"/>
            </w:pPr>
            <w:r w:rsidRPr="006B00D0">
              <w:rPr>
                <w:b/>
                <w:bCs/>
                <w:sz w:val="24"/>
              </w:rPr>
              <w:lastRenderedPageBreak/>
              <w:t>(AASB 2022: 24)</w:t>
            </w:r>
          </w:p>
        </w:tc>
      </w:tr>
      <w:tr w:rsidR="00947E3F" w:rsidRPr="00AA3E13" w14:paraId="6B77D4D1" w14:textId="77777777" w:rsidTr="04E1CD47">
        <w:trPr>
          <w:trHeight w:val="300"/>
        </w:trPr>
        <w:tc>
          <w:tcPr>
            <w:tcW w:w="9639" w:type="dxa"/>
          </w:tcPr>
          <w:p w14:paraId="57A25CEA" w14:textId="6B9C358F" w:rsidR="00947E3F" w:rsidRPr="00AA3E13" w:rsidRDefault="1AB978DD" w:rsidP="04E1CD47">
            <w:pPr>
              <w:pStyle w:val="TableContent"/>
              <w:ind w:left="397" w:hanging="397"/>
              <w:rPr>
                <w:sz w:val="24"/>
              </w:rPr>
            </w:pPr>
            <w:r w:rsidRPr="04E1CD47">
              <w:rPr>
                <w:sz w:val="24"/>
              </w:rPr>
              <w:t xml:space="preserve">‘B8 The cost approach reflects the amount that would be required currently to replace the service capacity of an asset (often referred to as current replacement cost). </w:t>
            </w:r>
          </w:p>
          <w:p w14:paraId="0AD36935" w14:textId="6B764D7E" w:rsidR="00947E3F" w:rsidRPr="00AA3E13" w:rsidRDefault="00947E3F" w:rsidP="006B00D0">
            <w:pPr>
              <w:pStyle w:val="TableContent"/>
              <w:ind w:left="397" w:hanging="397"/>
              <w:rPr>
                <w:sz w:val="24"/>
              </w:rPr>
            </w:pPr>
            <w:r w:rsidRPr="00AA3E13">
              <w:rPr>
                <w:sz w:val="24"/>
              </w:rPr>
              <w:t>B9 From the perspective of a market participant seller, the price that would be received for the asset is based on the cost to a market participant buyer to acquire or construct a substitute asset of comparable utility, adjusted for obsolescence. That is because a market participant buyer would not pay more for an asset than the amount for which it could replace the service capacity of that asset. Obsolescence encompasses physical deterioration, functional (technological) obsolescence and economic (external) obsolescence and is broader than depreciation for financial reporting purposes (an allocation of historical cost) or tax purposes (using specified service lives). In many cases the current replacement cost method is used to measure the fair value of tangible assets that are used in combination with other assets or with other assets and liabilities.’</w:t>
            </w:r>
          </w:p>
        </w:tc>
      </w:tr>
    </w:tbl>
    <w:tbl>
      <w:tblPr>
        <w:tblStyle w:val="TableGrid"/>
        <w:tblW w:w="0" w:type="auto"/>
        <w:tblLook w:val="04A0" w:firstRow="1" w:lastRow="0" w:firstColumn="1" w:lastColumn="0" w:noHBand="0" w:noVBand="1"/>
      </w:tblPr>
      <w:tblGrid>
        <w:gridCol w:w="9607"/>
      </w:tblGrid>
      <w:tr w:rsidR="00947E3F" w:rsidRPr="00AA3E13" w14:paraId="110B37AB" w14:textId="77777777">
        <w:tc>
          <w:tcPr>
            <w:tcW w:w="9607" w:type="dxa"/>
            <w:shd w:val="clear" w:color="auto" w:fill="F2F2F2" w:themeFill="background1" w:themeFillShade="F2"/>
          </w:tcPr>
          <w:p w14:paraId="6F2C4976" w14:textId="77777777" w:rsidR="00947E3F" w:rsidRPr="007E526C" w:rsidRDefault="00947E3F" w:rsidP="00AA3E13">
            <w:pPr>
              <w:pStyle w:val="TableContent"/>
              <w:rPr>
                <w:b/>
                <w:bCs/>
                <w:sz w:val="24"/>
              </w:rPr>
            </w:pPr>
            <w:r w:rsidRPr="007E526C">
              <w:rPr>
                <w:b/>
                <w:bCs/>
                <w:sz w:val="24"/>
              </w:rPr>
              <w:t>AASB (2022:25)</w:t>
            </w:r>
          </w:p>
        </w:tc>
      </w:tr>
      <w:tr w:rsidR="00947E3F" w:rsidRPr="00AA3E13" w14:paraId="5DB673A1" w14:textId="77777777">
        <w:tc>
          <w:tcPr>
            <w:tcW w:w="9607" w:type="dxa"/>
          </w:tcPr>
          <w:p w14:paraId="76636213" w14:textId="77777777" w:rsidR="00947E3F" w:rsidRPr="00AA3E13" w:rsidRDefault="00947E3F" w:rsidP="007E526C">
            <w:pPr>
              <w:pStyle w:val="TableContent"/>
              <w:ind w:left="567" w:hanging="567"/>
              <w:rPr>
                <w:color w:val="000000"/>
                <w:sz w:val="24"/>
              </w:rPr>
            </w:pPr>
            <w:r w:rsidRPr="00AA3E13">
              <w:rPr>
                <w:sz w:val="24"/>
              </w:rPr>
              <w:t>‘B10 The income approach converts future amounts (</w:t>
            </w:r>
            <w:proofErr w:type="spellStart"/>
            <w:r w:rsidRPr="00AA3E13">
              <w:rPr>
                <w:sz w:val="24"/>
              </w:rPr>
              <w:t>eg</w:t>
            </w:r>
            <w:proofErr w:type="spellEnd"/>
            <w:r w:rsidRPr="00AA3E13">
              <w:rPr>
                <w:sz w:val="24"/>
              </w:rPr>
              <w:t xml:space="preserve"> cash flows or income and expenses) to a single current (</w:t>
            </w:r>
            <w:proofErr w:type="spellStart"/>
            <w:r w:rsidRPr="00AA3E13">
              <w:rPr>
                <w:sz w:val="24"/>
              </w:rPr>
              <w:t>ie</w:t>
            </w:r>
            <w:proofErr w:type="spellEnd"/>
            <w:r w:rsidRPr="00AA3E13">
              <w:rPr>
                <w:sz w:val="24"/>
              </w:rPr>
              <w:t xml:space="preserve"> discounted) amount. When the income approach is used, the fair value measurement reflects current market expectations about those future amounts.’</w:t>
            </w:r>
          </w:p>
        </w:tc>
      </w:tr>
    </w:tbl>
    <w:p w14:paraId="3B7EC3BA" w14:textId="77777777" w:rsidR="00947E3F" w:rsidRPr="007E526C" w:rsidRDefault="00947E3F" w:rsidP="000E72AE">
      <w:pPr>
        <w:pStyle w:val="Heading4"/>
      </w:pPr>
      <w:r w:rsidRPr="007E526C">
        <w:t xml:space="preserve">Application of the cost approach </w:t>
      </w:r>
    </w:p>
    <w:p w14:paraId="0927810D" w14:textId="4F0548FC" w:rsidR="00947E3F" w:rsidRPr="007E526C" w:rsidRDefault="00947E3F" w:rsidP="00D70B5C">
      <w:pPr>
        <w:pStyle w:val="BodyText"/>
      </w:pPr>
      <w:r w:rsidRPr="007E526C">
        <w:t xml:space="preserve">The amended AASB 13 Fair Value Measurement (2022) provides further guidance to not-for-profit public sector entities regarding the cost approach: </w:t>
      </w:r>
    </w:p>
    <w:tbl>
      <w:tblPr>
        <w:tblStyle w:val="TableGrid"/>
        <w:tblW w:w="9639" w:type="dxa"/>
        <w:tblLayout w:type="fixed"/>
        <w:tblLook w:val="06A0" w:firstRow="1" w:lastRow="0" w:firstColumn="1" w:lastColumn="0" w:noHBand="1" w:noVBand="1"/>
      </w:tblPr>
      <w:tblGrid>
        <w:gridCol w:w="9639"/>
      </w:tblGrid>
      <w:tr w:rsidR="00947E3F" w:rsidRPr="007E526C" w14:paraId="3876A8BB" w14:textId="77777777" w:rsidTr="04E1CD47">
        <w:trPr>
          <w:trHeight w:val="300"/>
        </w:trPr>
        <w:tc>
          <w:tcPr>
            <w:tcW w:w="9639" w:type="dxa"/>
            <w:shd w:val="clear" w:color="auto" w:fill="F2F2F2" w:themeFill="background2" w:themeFillShade="F2"/>
          </w:tcPr>
          <w:p w14:paraId="4B8E9854" w14:textId="77777777" w:rsidR="00947E3F" w:rsidRPr="007E526C" w:rsidRDefault="00947E3F" w:rsidP="007E526C">
            <w:pPr>
              <w:pStyle w:val="TableContent"/>
              <w:rPr>
                <w:b/>
                <w:bCs/>
                <w:sz w:val="24"/>
              </w:rPr>
            </w:pPr>
            <w:r w:rsidRPr="007E526C">
              <w:rPr>
                <w:b/>
                <w:bCs/>
                <w:sz w:val="24"/>
              </w:rPr>
              <w:t xml:space="preserve">(AASB 2022: 35) </w:t>
            </w:r>
          </w:p>
        </w:tc>
      </w:tr>
      <w:tr w:rsidR="00947E3F" w:rsidRPr="007E526C" w14:paraId="4F8EFCC7" w14:textId="77777777" w:rsidTr="04E1CD47">
        <w:trPr>
          <w:trHeight w:val="300"/>
        </w:trPr>
        <w:tc>
          <w:tcPr>
            <w:tcW w:w="9639" w:type="dxa"/>
            <w:tcBorders>
              <w:bottom w:val="single" w:sz="4" w:space="0" w:color="auto"/>
            </w:tcBorders>
          </w:tcPr>
          <w:p w14:paraId="3B33DC16" w14:textId="77777777" w:rsidR="00947E3F" w:rsidRPr="007E526C" w:rsidRDefault="00947E3F" w:rsidP="007E526C">
            <w:pPr>
              <w:pStyle w:val="TableContent"/>
              <w:rPr>
                <w:sz w:val="24"/>
              </w:rPr>
            </w:pPr>
            <w:r w:rsidRPr="007E526C">
              <w:rPr>
                <w:sz w:val="24"/>
              </w:rPr>
              <w:t xml:space="preserve">‘Appendix F - Australian implementation guidance for not-for-profit public sector entities’ </w:t>
            </w:r>
          </w:p>
        </w:tc>
      </w:tr>
      <w:tr w:rsidR="00947E3F" w:rsidRPr="007E526C" w14:paraId="58F492D6" w14:textId="77777777" w:rsidTr="04E1CD47">
        <w:trPr>
          <w:trHeight w:val="300"/>
        </w:trPr>
        <w:tc>
          <w:tcPr>
            <w:tcW w:w="9639" w:type="dxa"/>
            <w:shd w:val="clear" w:color="auto" w:fill="F2F2F2" w:themeFill="background2" w:themeFillShade="F2"/>
          </w:tcPr>
          <w:p w14:paraId="3B842E64" w14:textId="77777777" w:rsidR="00947E3F" w:rsidRPr="007E526C" w:rsidRDefault="00947E3F" w:rsidP="007E526C">
            <w:pPr>
              <w:pStyle w:val="TableContent"/>
              <w:rPr>
                <w:b/>
                <w:bCs/>
                <w:sz w:val="24"/>
              </w:rPr>
            </w:pPr>
            <w:r w:rsidRPr="007E526C">
              <w:rPr>
                <w:b/>
                <w:bCs/>
                <w:sz w:val="24"/>
              </w:rPr>
              <w:t>(AASB 2022:36)</w:t>
            </w:r>
          </w:p>
        </w:tc>
      </w:tr>
      <w:tr w:rsidR="00947E3F" w:rsidRPr="007E526C" w14:paraId="3180604B" w14:textId="77777777" w:rsidTr="04E1CD47">
        <w:trPr>
          <w:trHeight w:val="300"/>
        </w:trPr>
        <w:tc>
          <w:tcPr>
            <w:tcW w:w="9639" w:type="dxa"/>
            <w:tcBorders>
              <w:bottom w:val="single" w:sz="4" w:space="0" w:color="auto"/>
            </w:tcBorders>
          </w:tcPr>
          <w:p w14:paraId="39B1F3C9" w14:textId="7CDBD686" w:rsidR="00947E3F" w:rsidRPr="007E526C" w:rsidRDefault="00947E3F" w:rsidP="00CB2378">
            <w:pPr>
              <w:pStyle w:val="TableContent"/>
              <w:ind w:left="397" w:hanging="397"/>
              <w:rPr>
                <w:sz w:val="24"/>
              </w:rPr>
            </w:pPr>
            <w:r w:rsidRPr="007E526C">
              <w:rPr>
                <w:sz w:val="24"/>
              </w:rPr>
              <w:t xml:space="preserve">‘F9 Accordingly, when measuring the fair value of a non-financial asset of a not-for-profit public sector entity not held primarily for its ability to generate net cash inflows (the subject asset) using the cost approach, an entity shall: </w:t>
            </w:r>
          </w:p>
          <w:p w14:paraId="5C6BE015" w14:textId="5B74A74F" w:rsidR="00BC1B3B" w:rsidRPr="007E526C" w:rsidRDefault="00947E3F" w:rsidP="00FC0597">
            <w:pPr>
              <w:pStyle w:val="TableContent"/>
              <w:ind w:left="794" w:hanging="397"/>
              <w:rPr>
                <w:sz w:val="24"/>
              </w:rPr>
            </w:pPr>
            <w:r w:rsidRPr="007E526C">
              <w:rPr>
                <w:sz w:val="24"/>
              </w:rPr>
              <w:t>(a) estimate the cost currently required for a market participant buyer to acquire or construct a reference asset (i</w:t>
            </w:r>
            <w:r w:rsidR="00C10B06">
              <w:rPr>
                <w:sz w:val="24"/>
              </w:rPr>
              <w:t>.</w:t>
            </w:r>
            <w:r w:rsidRPr="007E526C">
              <w:rPr>
                <w:sz w:val="24"/>
              </w:rPr>
              <w:t>e</w:t>
            </w:r>
            <w:r w:rsidR="00C10B06">
              <w:rPr>
                <w:sz w:val="24"/>
              </w:rPr>
              <w:t>.</w:t>
            </w:r>
            <w:r w:rsidRPr="007E526C">
              <w:rPr>
                <w:sz w:val="24"/>
              </w:rPr>
              <w:t xml:space="preserve"> the replacement cost of a reference asset) in accordance with paragraphs F11– F15; and </w:t>
            </w:r>
          </w:p>
        </w:tc>
      </w:tr>
    </w:tbl>
    <w:p w14:paraId="47962953" w14:textId="77777777" w:rsidR="005C0CA6" w:rsidRDefault="005C0CA6">
      <w:pPr>
        <w:spacing w:after="0" w:line="240" w:lineRule="auto"/>
        <w:rPr>
          <w:rFonts w:cs="Arial"/>
          <w:b/>
          <w:bCs/>
          <w:color w:val="000000" w:themeColor="text1"/>
        </w:rPr>
      </w:pPr>
      <w:r>
        <w:rPr>
          <w:b/>
          <w:bCs/>
          <w:color w:val="000000" w:themeColor="text1"/>
        </w:rPr>
        <w:br w:type="page"/>
      </w:r>
    </w:p>
    <w:tbl>
      <w:tblPr>
        <w:tblStyle w:val="TableGrid"/>
        <w:tblW w:w="0" w:type="auto"/>
        <w:tblLook w:val="04A0" w:firstRow="1" w:lastRow="0" w:firstColumn="1" w:lastColumn="0" w:noHBand="0" w:noVBand="1"/>
      </w:tblPr>
      <w:tblGrid>
        <w:gridCol w:w="9607"/>
      </w:tblGrid>
      <w:tr w:rsidR="00E22389" w14:paraId="13ACE90D" w14:textId="77777777" w:rsidTr="003309F2">
        <w:tc>
          <w:tcPr>
            <w:tcW w:w="9607" w:type="dxa"/>
            <w:shd w:val="clear" w:color="auto" w:fill="F2F2F2" w:themeFill="background1" w:themeFillShade="F2"/>
          </w:tcPr>
          <w:p w14:paraId="0FDC5B72" w14:textId="6C5A9882" w:rsidR="00E22389" w:rsidRPr="004909EB" w:rsidRDefault="003309F2" w:rsidP="00FD4B00">
            <w:pPr>
              <w:pStyle w:val="TableContent"/>
              <w:rPr>
                <w:b/>
                <w:bCs/>
                <w:sz w:val="24"/>
              </w:rPr>
            </w:pPr>
            <w:r w:rsidRPr="004909EB">
              <w:rPr>
                <w:b/>
                <w:bCs/>
                <w:sz w:val="24"/>
              </w:rPr>
              <w:lastRenderedPageBreak/>
              <w:t>(AASB 2022:36)</w:t>
            </w:r>
          </w:p>
        </w:tc>
      </w:tr>
      <w:tr w:rsidR="00E22389" w14:paraId="10061BDB" w14:textId="77777777" w:rsidTr="00B34952">
        <w:tc>
          <w:tcPr>
            <w:tcW w:w="9607" w:type="dxa"/>
            <w:tcBorders>
              <w:bottom w:val="single" w:sz="4" w:space="0" w:color="000000"/>
            </w:tcBorders>
          </w:tcPr>
          <w:p w14:paraId="33E2919F" w14:textId="1D602A39" w:rsidR="00E22389" w:rsidRPr="007E526C" w:rsidRDefault="00E22389" w:rsidP="00E22389">
            <w:pPr>
              <w:pStyle w:val="TableContent"/>
              <w:ind w:left="794" w:hanging="397"/>
              <w:rPr>
                <w:sz w:val="24"/>
              </w:rPr>
            </w:pPr>
            <w:r w:rsidRPr="007E526C">
              <w:rPr>
                <w:sz w:val="24"/>
              </w:rPr>
              <w:t xml:space="preserve">b) </w:t>
            </w:r>
            <w:r w:rsidR="00B34952">
              <w:rPr>
                <w:sz w:val="24"/>
              </w:rPr>
              <w:t xml:space="preserve"> </w:t>
            </w:r>
            <w:r w:rsidRPr="007E526C">
              <w:rPr>
                <w:sz w:val="24"/>
              </w:rPr>
              <w:t xml:space="preserve">adjust the estimate in (a) for any: </w:t>
            </w:r>
          </w:p>
          <w:p w14:paraId="15F96338" w14:textId="77777777" w:rsidR="00E22389" w:rsidRPr="007E526C" w:rsidRDefault="00E22389" w:rsidP="00B34952">
            <w:pPr>
              <w:pStyle w:val="TableContent"/>
              <w:ind w:left="1191" w:hanging="397"/>
              <w:rPr>
                <w:sz w:val="24"/>
              </w:rPr>
            </w:pPr>
            <w:r w:rsidRPr="04E1CD47">
              <w:rPr>
                <w:sz w:val="24"/>
              </w:rPr>
              <w:t>(</w:t>
            </w:r>
            <w:proofErr w:type="spellStart"/>
            <w:r w:rsidRPr="04E1CD47">
              <w:rPr>
                <w:sz w:val="24"/>
              </w:rPr>
              <w:t>i</w:t>
            </w:r>
            <w:proofErr w:type="spellEnd"/>
            <w:r w:rsidRPr="04E1CD47">
              <w:rPr>
                <w:sz w:val="24"/>
              </w:rPr>
              <w:t xml:space="preserve">) differences between the current service capacity of the reference asset and the subject asset (for example, where the modern equivalent asset is engineered to a higher standard than the subject asset, such as where the subject asset is a building and the modern equivalent building has superior fire safety features and a greater number of lifts than the subject building); and </w:t>
            </w:r>
          </w:p>
          <w:p w14:paraId="1B6028BF" w14:textId="77777777" w:rsidR="00E22389" w:rsidRDefault="00E22389" w:rsidP="00FD4B00">
            <w:pPr>
              <w:pStyle w:val="TableContent"/>
              <w:ind w:left="1191" w:hanging="397"/>
              <w:rPr>
                <w:sz w:val="24"/>
              </w:rPr>
            </w:pPr>
            <w:r w:rsidRPr="007E526C">
              <w:rPr>
                <w:sz w:val="24"/>
              </w:rPr>
              <w:t>(ii) obsolescence (physical deterioration, functional obsolescence and economic obsolescence).</w:t>
            </w:r>
          </w:p>
          <w:p w14:paraId="6B7559E2" w14:textId="5307F337" w:rsidR="00E22389" w:rsidRPr="00FD4B00" w:rsidRDefault="00E22389" w:rsidP="00FD4B00">
            <w:pPr>
              <w:pStyle w:val="TableContent"/>
              <w:ind w:left="510" w:hanging="510"/>
              <w:rPr>
                <w:sz w:val="24"/>
              </w:rPr>
            </w:pPr>
            <w:r w:rsidRPr="003F10F7">
              <w:rPr>
                <w:sz w:val="24"/>
              </w:rPr>
              <w:t xml:space="preserve">F10 A reference asset is a suitable alternative to the subject asset that the market participant buyer would consider in developing its pricing assumptions about the subject asset. Identifying the most appropriate reference asset involves the application of judgement and, on occasion, detailed valuation assessments in the circumstances of the subject asset. A reference asset could be a modern equivalent asset or a replica asset (where the utility offered by the subject asset could be provided only, or more cheaply, by a replica rather than a modern equivalent asset). A modern equivalent asset is an asset that provides similar function and equivalent utility to the subject </w:t>
            </w:r>
            <w:proofErr w:type="gramStart"/>
            <w:r w:rsidRPr="003F10F7">
              <w:rPr>
                <w:sz w:val="24"/>
              </w:rPr>
              <w:t>asset, but</w:t>
            </w:r>
            <w:proofErr w:type="gramEnd"/>
            <w:r w:rsidRPr="003F10F7">
              <w:rPr>
                <w:sz w:val="24"/>
              </w:rPr>
              <w:t xml:space="preserve"> is of a current design and constructed or made using current cost-effective materials and techniques.’</w:t>
            </w:r>
          </w:p>
        </w:tc>
      </w:tr>
      <w:tr w:rsidR="00E22389" w14:paraId="77B3B314" w14:textId="77777777" w:rsidTr="00FD4B00">
        <w:tc>
          <w:tcPr>
            <w:tcW w:w="9607" w:type="dxa"/>
            <w:shd w:val="clear" w:color="auto" w:fill="F2F2F2" w:themeFill="background1" w:themeFillShade="F2"/>
          </w:tcPr>
          <w:p w14:paraId="556751A3" w14:textId="2EEF5581" w:rsidR="00E22389" w:rsidRPr="003F10F7" w:rsidRDefault="00E22389" w:rsidP="00FD4B00">
            <w:pPr>
              <w:pStyle w:val="TableContent"/>
              <w:rPr>
                <w:b/>
                <w:bCs/>
                <w:sz w:val="24"/>
              </w:rPr>
            </w:pPr>
            <w:r w:rsidRPr="003F10F7">
              <w:rPr>
                <w:b/>
                <w:bCs/>
                <w:sz w:val="24"/>
              </w:rPr>
              <w:t xml:space="preserve">Interpretation (AASB 2022: 36) </w:t>
            </w:r>
          </w:p>
        </w:tc>
      </w:tr>
      <w:tr w:rsidR="00E22389" w14:paraId="00B9E15E" w14:textId="77777777" w:rsidTr="00E22389">
        <w:tc>
          <w:tcPr>
            <w:tcW w:w="9607" w:type="dxa"/>
          </w:tcPr>
          <w:p w14:paraId="43E9F070" w14:textId="2D77BC4C" w:rsidR="00E22389" w:rsidRPr="003F10F7" w:rsidRDefault="00E22389" w:rsidP="00FD4B00">
            <w:pPr>
              <w:pStyle w:val="TableContent"/>
              <w:rPr>
                <w:sz w:val="24"/>
              </w:rPr>
            </w:pPr>
            <w:r w:rsidRPr="003F10F7">
              <w:rPr>
                <w:rStyle w:val="TableContentChar"/>
                <w:sz w:val="24"/>
              </w:rPr>
              <w:t xml:space="preserve">Paragraphs F9 and F10 assist a not-for-profit public sector entity in measuring the fair value of a non-financial asset ‘not held primarily for its ability to generate net cash inflows’ by using the cost approach. In these circumstances, using the cost approach for a </w:t>
            </w:r>
            <w:proofErr w:type="gramStart"/>
            <w:r w:rsidRPr="003F10F7">
              <w:rPr>
                <w:rStyle w:val="TableContentChar"/>
                <w:sz w:val="24"/>
              </w:rPr>
              <w:t>fair value measurement entails</w:t>
            </w:r>
            <w:proofErr w:type="gramEnd"/>
            <w:r w:rsidRPr="003F10F7">
              <w:rPr>
                <w:rStyle w:val="TableContentChar"/>
                <w:sz w:val="24"/>
              </w:rPr>
              <w:t xml:space="preserve"> choosing a reference asset and determining its current replacement cost</w:t>
            </w:r>
            <w:r w:rsidRPr="003F10F7">
              <w:rPr>
                <w:sz w:val="24"/>
              </w:rPr>
              <w:t>.</w:t>
            </w:r>
          </w:p>
        </w:tc>
      </w:tr>
    </w:tbl>
    <w:p w14:paraId="0915FB81" w14:textId="43ECFAFA" w:rsidR="00947E3F" w:rsidRPr="00E23AE3" w:rsidRDefault="00947E3F" w:rsidP="00D9376A">
      <w:pPr>
        <w:pStyle w:val="Heading4"/>
      </w:pPr>
      <w:r w:rsidRPr="00E23AE3">
        <w:t xml:space="preserve">Inputs to </w:t>
      </w:r>
      <w:r w:rsidR="00D30A4F">
        <w:t>v</w:t>
      </w:r>
      <w:r w:rsidRPr="00E23AE3">
        <w:t xml:space="preserve">aluation </w:t>
      </w:r>
      <w:r w:rsidR="00D30A4F">
        <w:t>t</w:t>
      </w:r>
      <w:r w:rsidRPr="00E23AE3">
        <w:t xml:space="preserve">echniques </w:t>
      </w:r>
    </w:p>
    <w:p w14:paraId="2B5E2E20" w14:textId="77777777" w:rsidR="00947E3F" w:rsidRPr="00E23AE3" w:rsidRDefault="00947E3F" w:rsidP="00D70B5C">
      <w:pPr>
        <w:pStyle w:val="BodyText"/>
      </w:pPr>
      <w:r w:rsidRPr="00E23AE3">
        <w:t>AASB 13 Fair Value Measurement (2022) defines the term ‘input’ as follows:</w:t>
      </w:r>
    </w:p>
    <w:tbl>
      <w:tblPr>
        <w:tblStyle w:val="TableGrid"/>
        <w:tblW w:w="9639" w:type="dxa"/>
        <w:tblLayout w:type="fixed"/>
        <w:tblLook w:val="06A0" w:firstRow="1" w:lastRow="0" w:firstColumn="1" w:lastColumn="0" w:noHBand="1" w:noVBand="1"/>
      </w:tblPr>
      <w:tblGrid>
        <w:gridCol w:w="9639"/>
      </w:tblGrid>
      <w:tr w:rsidR="00947E3F" w:rsidRPr="00E23AE3" w14:paraId="72BD5AA1" w14:textId="77777777" w:rsidTr="00816841">
        <w:trPr>
          <w:trHeight w:val="300"/>
        </w:trPr>
        <w:tc>
          <w:tcPr>
            <w:tcW w:w="9639" w:type="dxa"/>
            <w:shd w:val="clear" w:color="auto" w:fill="F2F2F2" w:themeFill="background1" w:themeFillShade="F2"/>
          </w:tcPr>
          <w:p w14:paraId="571C462F" w14:textId="77777777" w:rsidR="00947E3F" w:rsidRPr="008D2FF2" w:rsidRDefault="00947E3F" w:rsidP="008D2FF2">
            <w:pPr>
              <w:pStyle w:val="TableContent"/>
              <w:rPr>
                <w:b/>
                <w:bCs/>
                <w:sz w:val="24"/>
              </w:rPr>
            </w:pPr>
            <w:r w:rsidRPr="008D2FF2">
              <w:rPr>
                <w:b/>
                <w:bCs/>
                <w:sz w:val="24"/>
              </w:rPr>
              <w:t xml:space="preserve">(AASB 2022:21) </w:t>
            </w:r>
          </w:p>
        </w:tc>
      </w:tr>
      <w:tr w:rsidR="00947E3F" w:rsidRPr="00E23AE3" w14:paraId="0902CB35" w14:textId="77777777" w:rsidTr="00F03CCE">
        <w:trPr>
          <w:trHeight w:val="300"/>
        </w:trPr>
        <w:tc>
          <w:tcPr>
            <w:tcW w:w="9639" w:type="dxa"/>
            <w:tcBorders>
              <w:bottom w:val="single" w:sz="4" w:space="0" w:color="000000"/>
            </w:tcBorders>
          </w:tcPr>
          <w:p w14:paraId="654ABF5B" w14:textId="262E4A40" w:rsidR="00947E3F" w:rsidRPr="008D2FF2" w:rsidRDefault="00947E3F" w:rsidP="00F03CCE">
            <w:pPr>
              <w:pStyle w:val="TableContent"/>
              <w:ind w:left="907" w:hanging="907"/>
              <w:rPr>
                <w:sz w:val="24"/>
              </w:rPr>
            </w:pPr>
            <w:r w:rsidRPr="001645E0">
              <w:rPr>
                <w:b/>
                <w:bCs/>
                <w:sz w:val="24"/>
              </w:rPr>
              <w:t>‘Inputs</w:t>
            </w:r>
            <w:r w:rsidRPr="00F03CCE">
              <w:rPr>
                <w:b/>
                <w:bCs/>
              </w:rPr>
              <w:t xml:space="preserve"> </w:t>
            </w:r>
            <w:r w:rsidRPr="008D2FF2">
              <w:rPr>
                <w:sz w:val="24"/>
              </w:rPr>
              <w:t xml:space="preserve">The assumptions that market participants would use when pricing the asset or liability, including assumptions about risk, such as the following: </w:t>
            </w:r>
          </w:p>
          <w:p w14:paraId="7F9C0369" w14:textId="77777777" w:rsidR="00947E3F" w:rsidRPr="008D2FF2" w:rsidRDefault="00947E3F" w:rsidP="00F03CCE">
            <w:pPr>
              <w:pStyle w:val="TableContent"/>
              <w:ind w:left="1304" w:hanging="397"/>
              <w:rPr>
                <w:sz w:val="24"/>
              </w:rPr>
            </w:pPr>
            <w:r w:rsidRPr="008D2FF2">
              <w:rPr>
                <w:sz w:val="24"/>
              </w:rPr>
              <w:t xml:space="preserve">(a) the risk inherent in a particular valuation technique used to measure fair value (such as a pricing model); and </w:t>
            </w:r>
          </w:p>
          <w:p w14:paraId="1F3BCEEE" w14:textId="77777777" w:rsidR="00947E3F" w:rsidRPr="008D2FF2" w:rsidRDefault="00947E3F" w:rsidP="00F03CCE">
            <w:pPr>
              <w:pStyle w:val="TableContent"/>
              <w:ind w:left="1304" w:hanging="397"/>
              <w:rPr>
                <w:sz w:val="24"/>
              </w:rPr>
            </w:pPr>
            <w:r w:rsidRPr="008D2FF2">
              <w:rPr>
                <w:sz w:val="24"/>
              </w:rPr>
              <w:t xml:space="preserve">(b) the risk inherent in the inputs to the valuation technique. </w:t>
            </w:r>
          </w:p>
          <w:p w14:paraId="379F064E" w14:textId="77777777" w:rsidR="00947E3F" w:rsidRDefault="00947E3F" w:rsidP="00F03CCE">
            <w:pPr>
              <w:pStyle w:val="TableContent"/>
              <w:ind w:left="1304" w:hanging="397"/>
              <w:rPr>
                <w:sz w:val="24"/>
              </w:rPr>
            </w:pPr>
            <w:r w:rsidRPr="008D2FF2">
              <w:rPr>
                <w:sz w:val="24"/>
              </w:rPr>
              <w:t>Inputs may be observable or unobservable.’</w:t>
            </w:r>
          </w:p>
          <w:p w14:paraId="547E36A2" w14:textId="77777777" w:rsidR="00816841" w:rsidRPr="008D2FF2" w:rsidRDefault="00816841" w:rsidP="00F03CCE">
            <w:pPr>
              <w:pStyle w:val="TableContent"/>
              <w:ind w:left="1304" w:hanging="397"/>
              <w:rPr>
                <w:sz w:val="24"/>
              </w:rPr>
            </w:pPr>
          </w:p>
        </w:tc>
      </w:tr>
      <w:tr w:rsidR="00947E3F" w:rsidRPr="00E23AE3" w14:paraId="1AC30697" w14:textId="77777777" w:rsidTr="00F03CCE">
        <w:trPr>
          <w:trHeight w:val="300"/>
          <w:tblHeader/>
        </w:trPr>
        <w:tc>
          <w:tcPr>
            <w:tcW w:w="9639" w:type="dxa"/>
            <w:shd w:val="clear" w:color="auto" w:fill="F2F2F2" w:themeFill="background1" w:themeFillShade="F2"/>
          </w:tcPr>
          <w:p w14:paraId="4B3A6860" w14:textId="77777777" w:rsidR="00947E3F" w:rsidRPr="00091979" w:rsidRDefault="00947E3F" w:rsidP="008D2FF2">
            <w:pPr>
              <w:pStyle w:val="TableContent"/>
              <w:rPr>
                <w:b/>
                <w:bCs/>
                <w:sz w:val="24"/>
              </w:rPr>
            </w:pPr>
            <w:r w:rsidRPr="00091979">
              <w:rPr>
                <w:b/>
                <w:bCs/>
                <w:sz w:val="24"/>
              </w:rPr>
              <w:lastRenderedPageBreak/>
              <w:t xml:space="preserve">Interpretation (AASB 2022:21) </w:t>
            </w:r>
          </w:p>
        </w:tc>
      </w:tr>
      <w:tr w:rsidR="00947E3F" w:rsidRPr="00E23AE3" w14:paraId="1BC7C0ED" w14:textId="77777777">
        <w:trPr>
          <w:trHeight w:val="300"/>
        </w:trPr>
        <w:tc>
          <w:tcPr>
            <w:tcW w:w="9639" w:type="dxa"/>
          </w:tcPr>
          <w:p w14:paraId="46E08EEB" w14:textId="77777777" w:rsidR="00947E3F" w:rsidRPr="008D2FF2" w:rsidRDefault="00947E3F" w:rsidP="008D2FF2">
            <w:pPr>
              <w:pStyle w:val="TableContent"/>
              <w:rPr>
                <w:sz w:val="24"/>
              </w:rPr>
            </w:pPr>
            <w:r w:rsidRPr="008D2FF2">
              <w:rPr>
                <w:sz w:val="24"/>
              </w:rPr>
              <w:t>Risk is inherent to fair value measurement of an asset. Two specific risks attached to fair value measurement of an asset are:</w:t>
            </w:r>
          </w:p>
          <w:p w14:paraId="2FD7B2D3" w14:textId="4E7B8FC7" w:rsidR="00947E3F" w:rsidRPr="00D9376A" w:rsidRDefault="00947E3F">
            <w:pPr>
              <w:pStyle w:val="TableContent"/>
              <w:numPr>
                <w:ilvl w:val="0"/>
                <w:numId w:val="61"/>
              </w:numPr>
              <w:rPr>
                <w:sz w:val="24"/>
              </w:rPr>
            </w:pPr>
            <w:r w:rsidRPr="008D2FF2">
              <w:rPr>
                <w:sz w:val="24"/>
              </w:rPr>
              <w:t>risk attached to the valuation technique used</w:t>
            </w:r>
            <w:r w:rsidR="00917705">
              <w:rPr>
                <w:sz w:val="24"/>
              </w:rPr>
              <w:t>;</w:t>
            </w:r>
            <w:r w:rsidRPr="008D2FF2">
              <w:rPr>
                <w:sz w:val="24"/>
              </w:rPr>
              <w:t xml:space="preserve"> </w:t>
            </w:r>
            <w:r w:rsidRPr="00D9376A">
              <w:rPr>
                <w:sz w:val="24"/>
              </w:rPr>
              <w:t>and</w:t>
            </w:r>
          </w:p>
          <w:p w14:paraId="00F4203F" w14:textId="77777777" w:rsidR="00947E3F" w:rsidRPr="008D2FF2" w:rsidRDefault="00947E3F">
            <w:pPr>
              <w:pStyle w:val="TableContent"/>
              <w:numPr>
                <w:ilvl w:val="0"/>
                <w:numId w:val="61"/>
              </w:numPr>
              <w:rPr>
                <w:i/>
                <w:iCs/>
                <w:sz w:val="24"/>
              </w:rPr>
            </w:pPr>
            <w:r w:rsidRPr="008D2FF2">
              <w:rPr>
                <w:sz w:val="24"/>
              </w:rPr>
              <w:t>risk attached to the ‘inputs to the valuation technique’</w:t>
            </w:r>
            <w:r w:rsidRPr="008D2FF2">
              <w:rPr>
                <w:i/>
                <w:iCs/>
                <w:sz w:val="24"/>
              </w:rPr>
              <w:t>.</w:t>
            </w:r>
          </w:p>
          <w:p w14:paraId="3085D154" w14:textId="77777777" w:rsidR="00947E3F" w:rsidRPr="008D2FF2" w:rsidRDefault="00947E3F" w:rsidP="008D2FF2">
            <w:pPr>
              <w:pStyle w:val="TableContent"/>
              <w:rPr>
                <w:sz w:val="24"/>
              </w:rPr>
            </w:pPr>
            <w:r w:rsidRPr="008D2FF2">
              <w:rPr>
                <w:sz w:val="24"/>
              </w:rPr>
              <w:t>Valuation technique:</w:t>
            </w:r>
          </w:p>
          <w:p w14:paraId="3BB5180D" w14:textId="1BECC73A" w:rsidR="00CE5F63" w:rsidRDefault="00947E3F" w:rsidP="008D2FF2">
            <w:pPr>
              <w:pStyle w:val="TableContent"/>
              <w:rPr>
                <w:sz w:val="24"/>
              </w:rPr>
            </w:pPr>
            <w:r w:rsidRPr="00917705">
              <w:rPr>
                <w:sz w:val="24"/>
              </w:rPr>
              <w:t>A</w:t>
            </w:r>
            <w:r w:rsidRPr="008D2FF2">
              <w:rPr>
                <w:i/>
                <w:iCs/>
                <w:sz w:val="24"/>
              </w:rPr>
              <w:t xml:space="preserve"> </w:t>
            </w:r>
            <w:r w:rsidRPr="008D2FF2">
              <w:rPr>
                <w:sz w:val="24"/>
              </w:rPr>
              <w:t>fair value measurement of an asset requires the use of discretion in choosing a particular valuation technique. However, there is a risk that the valuation technique chosen may not be the most appropriate valuation technique for valuing the asset.</w:t>
            </w:r>
          </w:p>
          <w:p w14:paraId="25782F8B" w14:textId="77777777" w:rsidR="009C6344" w:rsidRPr="00350A3C" w:rsidRDefault="009C6344" w:rsidP="009C6344">
            <w:pPr>
              <w:pStyle w:val="TableContent"/>
              <w:rPr>
                <w:sz w:val="24"/>
              </w:rPr>
            </w:pPr>
            <w:r w:rsidRPr="00350A3C">
              <w:rPr>
                <w:sz w:val="24"/>
              </w:rPr>
              <w:t xml:space="preserve">‘Inputs to the valuation technique’: </w:t>
            </w:r>
          </w:p>
          <w:p w14:paraId="0EC4C130" w14:textId="77777777" w:rsidR="009C6344" w:rsidRPr="00350A3C" w:rsidRDefault="009C6344" w:rsidP="009C6344">
            <w:pPr>
              <w:pStyle w:val="TableContent"/>
              <w:rPr>
                <w:sz w:val="24"/>
              </w:rPr>
            </w:pPr>
            <w:r w:rsidRPr="00350A3C">
              <w:rPr>
                <w:sz w:val="24"/>
              </w:rPr>
              <w:t>Prices for an asset may be available as an input as:</w:t>
            </w:r>
          </w:p>
          <w:p w14:paraId="2D34122D" w14:textId="65A3C772" w:rsidR="009C6344" w:rsidRPr="00350A3C" w:rsidRDefault="009C6344">
            <w:pPr>
              <w:pStyle w:val="TableContent"/>
              <w:numPr>
                <w:ilvl w:val="0"/>
                <w:numId w:val="62"/>
              </w:numPr>
              <w:rPr>
                <w:sz w:val="24"/>
              </w:rPr>
            </w:pPr>
            <w:r w:rsidRPr="00350A3C">
              <w:rPr>
                <w:sz w:val="24"/>
              </w:rPr>
              <w:t>‘</w:t>
            </w:r>
            <w:proofErr w:type="gramStart"/>
            <w:r w:rsidRPr="00350A3C">
              <w:rPr>
                <w:sz w:val="24"/>
              </w:rPr>
              <w:t>quoted</w:t>
            </w:r>
            <w:proofErr w:type="gramEnd"/>
            <w:r w:rsidRPr="00350A3C">
              <w:rPr>
                <w:sz w:val="24"/>
              </w:rPr>
              <w:t xml:space="preserve"> prices (unadjusted)</w:t>
            </w:r>
            <w:r w:rsidR="00917705">
              <w:rPr>
                <w:sz w:val="24"/>
              </w:rPr>
              <w:t xml:space="preserve"> </w:t>
            </w:r>
            <w:r w:rsidRPr="00350A3C">
              <w:rPr>
                <w:sz w:val="24"/>
              </w:rPr>
              <w:t>in active markets for identical assets’ (AASB 13 2022: 15, par. 78), or</w:t>
            </w:r>
          </w:p>
          <w:p w14:paraId="41AA039E" w14:textId="77777777" w:rsidR="009C6344" w:rsidRPr="00350A3C" w:rsidRDefault="009C6344">
            <w:pPr>
              <w:pStyle w:val="TableContent"/>
              <w:numPr>
                <w:ilvl w:val="0"/>
                <w:numId w:val="62"/>
              </w:numPr>
              <w:rPr>
                <w:sz w:val="24"/>
              </w:rPr>
            </w:pPr>
            <w:r w:rsidRPr="00350A3C">
              <w:rPr>
                <w:sz w:val="24"/>
              </w:rPr>
              <w:t>‘</w:t>
            </w:r>
            <w:proofErr w:type="gramStart"/>
            <w:r w:rsidRPr="00350A3C">
              <w:rPr>
                <w:sz w:val="24"/>
              </w:rPr>
              <w:t>quoted</w:t>
            </w:r>
            <w:proofErr w:type="gramEnd"/>
            <w:r w:rsidRPr="00350A3C">
              <w:rPr>
                <w:sz w:val="24"/>
              </w:rPr>
              <w:t xml:space="preserve"> prices for similar assets…in active markets’ (AASB 13 2022:16, par. 82(a)).</w:t>
            </w:r>
          </w:p>
          <w:p w14:paraId="5F355341" w14:textId="1B25B0EB" w:rsidR="00947E3F" w:rsidRPr="00350A3C" w:rsidRDefault="009C6344" w:rsidP="009C6344">
            <w:pPr>
              <w:pStyle w:val="TableContent"/>
              <w:rPr>
                <w:sz w:val="24"/>
              </w:rPr>
            </w:pPr>
            <w:r w:rsidRPr="00350A3C">
              <w:rPr>
                <w:sz w:val="24"/>
              </w:rPr>
              <w:t>However, there may be uncertainty regarding the available quoted prices due to a significant decline in market activity. In such instance</w:t>
            </w:r>
            <w:r w:rsidR="00917705">
              <w:rPr>
                <w:sz w:val="24"/>
              </w:rPr>
              <w:t>,</w:t>
            </w:r>
            <w:r w:rsidRPr="00350A3C">
              <w:rPr>
                <w:sz w:val="24"/>
              </w:rPr>
              <w:t xml:space="preserve"> there is a risk that the quoted price may be too high to reflect current market conditions. Consequently, the risk is that using a quoted price for a fair value measurement may not be the most appropriate input to use.</w:t>
            </w:r>
            <w:r w:rsidR="00947E3F" w:rsidRPr="008D2FF2">
              <w:rPr>
                <w:sz w:val="24"/>
              </w:rPr>
              <w:t xml:space="preserve"> </w:t>
            </w:r>
          </w:p>
        </w:tc>
      </w:tr>
    </w:tbl>
    <w:p w14:paraId="5941158B" w14:textId="04237675" w:rsidR="00947E3F" w:rsidRPr="00E23AE3" w:rsidRDefault="00947E3F" w:rsidP="00D70B5C">
      <w:pPr>
        <w:pStyle w:val="BodyText"/>
      </w:pPr>
      <w:r w:rsidRPr="00E23AE3">
        <w:t>AASB 13 Fair Value Measurement (2022) guides the choice of which inputs to use and states:</w:t>
      </w:r>
    </w:p>
    <w:tbl>
      <w:tblPr>
        <w:tblStyle w:val="TableGrid"/>
        <w:tblW w:w="9639" w:type="dxa"/>
        <w:tblLook w:val="04A0" w:firstRow="1" w:lastRow="0" w:firstColumn="1" w:lastColumn="0" w:noHBand="0" w:noVBand="1"/>
      </w:tblPr>
      <w:tblGrid>
        <w:gridCol w:w="9639"/>
      </w:tblGrid>
      <w:tr w:rsidR="00947E3F" w:rsidRPr="00E23AE3" w14:paraId="4450EA8F" w14:textId="77777777" w:rsidTr="00885130">
        <w:trPr>
          <w:tblHeader/>
        </w:trPr>
        <w:tc>
          <w:tcPr>
            <w:tcW w:w="9639" w:type="dxa"/>
            <w:shd w:val="clear" w:color="auto" w:fill="F2F2F2" w:themeFill="background1" w:themeFillShade="F2"/>
          </w:tcPr>
          <w:p w14:paraId="30E46058" w14:textId="77777777" w:rsidR="00947E3F" w:rsidRPr="00A2478E" w:rsidRDefault="00947E3F" w:rsidP="00A2478E">
            <w:pPr>
              <w:pStyle w:val="TableContent"/>
              <w:rPr>
                <w:b/>
                <w:bCs/>
                <w:sz w:val="24"/>
              </w:rPr>
            </w:pPr>
            <w:r w:rsidRPr="00A2478E">
              <w:rPr>
                <w:b/>
                <w:bCs/>
                <w:sz w:val="24"/>
              </w:rPr>
              <w:t>(AASB 2022:14)</w:t>
            </w:r>
          </w:p>
        </w:tc>
      </w:tr>
      <w:tr w:rsidR="00947E3F" w:rsidRPr="00917705" w14:paraId="012B1650" w14:textId="77777777" w:rsidTr="00885130">
        <w:tc>
          <w:tcPr>
            <w:tcW w:w="9639" w:type="dxa"/>
            <w:tcBorders>
              <w:bottom w:val="single" w:sz="4" w:space="0" w:color="auto"/>
            </w:tcBorders>
          </w:tcPr>
          <w:p w14:paraId="6F433A93" w14:textId="77777777" w:rsidR="00947E3F" w:rsidRPr="00917705" w:rsidRDefault="00947E3F" w:rsidP="001A22D2">
            <w:pPr>
              <w:pStyle w:val="TableContent"/>
              <w:ind w:left="397" w:hanging="397"/>
              <w:rPr>
                <w:i/>
                <w:iCs/>
                <w:sz w:val="24"/>
              </w:rPr>
            </w:pPr>
            <w:r w:rsidRPr="00917705">
              <w:rPr>
                <w:sz w:val="24"/>
              </w:rPr>
              <w:t>‘67 Valuation techniques used to measure fair value shall maximise the use of relevant observable inputs and minimise the use of unobservable inputs</w:t>
            </w:r>
            <w:r w:rsidRPr="00917705">
              <w:rPr>
                <w:i/>
                <w:iCs/>
                <w:sz w:val="24"/>
              </w:rPr>
              <w:t>.’</w:t>
            </w:r>
          </w:p>
        </w:tc>
      </w:tr>
      <w:tr w:rsidR="006A7003" w14:paraId="52841299" w14:textId="77777777" w:rsidTr="000D5766">
        <w:tc>
          <w:tcPr>
            <w:tcW w:w="9639" w:type="dxa"/>
            <w:shd w:val="clear" w:color="auto" w:fill="F2F2F2" w:themeFill="background1" w:themeFillShade="F2"/>
          </w:tcPr>
          <w:p w14:paraId="3FC06233" w14:textId="77777777" w:rsidR="006A7003" w:rsidRPr="00072161" w:rsidRDefault="006A7003" w:rsidP="00072161">
            <w:pPr>
              <w:pStyle w:val="TableContent"/>
              <w:rPr>
                <w:b/>
                <w:bCs/>
                <w:sz w:val="24"/>
              </w:rPr>
            </w:pPr>
            <w:r w:rsidRPr="00072161">
              <w:rPr>
                <w:b/>
                <w:bCs/>
                <w:sz w:val="24"/>
              </w:rPr>
              <w:t>Interpretation (AASB 2022:14)</w:t>
            </w:r>
          </w:p>
        </w:tc>
      </w:tr>
      <w:tr w:rsidR="006A7003" w14:paraId="255105D3" w14:textId="77777777" w:rsidTr="000D5766">
        <w:tc>
          <w:tcPr>
            <w:tcW w:w="9639" w:type="dxa"/>
          </w:tcPr>
          <w:p w14:paraId="7E7D3B18" w14:textId="108452B5" w:rsidR="006A7003" w:rsidRPr="00072161" w:rsidRDefault="006A7003" w:rsidP="00072161">
            <w:pPr>
              <w:pStyle w:val="TableContent"/>
              <w:rPr>
                <w:sz w:val="24"/>
              </w:rPr>
            </w:pPr>
            <w:r w:rsidRPr="00072161">
              <w:rPr>
                <w:sz w:val="24"/>
              </w:rPr>
              <w:t xml:space="preserve">Risk is inherent to the use of valuation inputs. It is an </w:t>
            </w:r>
            <w:r w:rsidR="00917705" w:rsidRPr="00072161">
              <w:rPr>
                <w:sz w:val="24"/>
              </w:rPr>
              <w:t>ever-present</w:t>
            </w:r>
            <w:r w:rsidRPr="00072161">
              <w:rPr>
                <w:sz w:val="24"/>
              </w:rPr>
              <w:t xml:space="preserve"> risk irrespective of whether ‘observable inputs’ or ‘unobservable inputs’ are used. However, the risk attached to ‘observable inputs’ is smaller than the risk attached to ‘unobservable inputs’. Consequently, a fair value measurement should make the most of ‘observable inputs’.</w:t>
            </w:r>
          </w:p>
        </w:tc>
      </w:tr>
    </w:tbl>
    <w:p w14:paraId="74B3CA58" w14:textId="77777777" w:rsidR="00582339" w:rsidRDefault="00582339">
      <w:pPr>
        <w:spacing w:after="0" w:line="240" w:lineRule="auto"/>
        <w:rPr>
          <w:rFonts w:cs="Arial"/>
          <w:b/>
          <w:bCs/>
          <w:szCs w:val="28"/>
        </w:rPr>
      </w:pPr>
      <w:r>
        <w:br w:type="page"/>
      </w:r>
    </w:p>
    <w:p w14:paraId="77CD28F1" w14:textId="6092A43E" w:rsidR="000D5766" w:rsidRPr="003B73E8" w:rsidRDefault="000D5766" w:rsidP="00ED4BA9">
      <w:pPr>
        <w:pStyle w:val="Heading4"/>
      </w:pPr>
      <w:r w:rsidRPr="00072161">
        <w:lastRenderedPageBreak/>
        <w:t xml:space="preserve">Three </w:t>
      </w:r>
      <w:r w:rsidR="00D30A4F">
        <w:t>l</w:t>
      </w:r>
      <w:r w:rsidRPr="00072161">
        <w:t xml:space="preserve">evels of </w:t>
      </w:r>
      <w:r w:rsidR="00D30A4F">
        <w:t>i</w:t>
      </w:r>
      <w:r w:rsidRPr="00072161">
        <w:t>nput</w:t>
      </w:r>
    </w:p>
    <w:p w14:paraId="3E25A27B" w14:textId="6CFC05E7" w:rsidR="00592231" w:rsidRDefault="000D5766" w:rsidP="00D70B5C">
      <w:pPr>
        <w:pStyle w:val="BodyText"/>
        <w:rPr>
          <w:b/>
          <w:bCs/>
        </w:rPr>
      </w:pPr>
      <w:r w:rsidRPr="00E23AE3">
        <w:t xml:space="preserve">AASB 13 Fair Value Measurement (2022) </w:t>
      </w:r>
      <w:r w:rsidR="000B79F3">
        <w:t xml:space="preserve">identifies </w:t>
      </w:r>
      <w:r w:rsidRPr="00E23AE3">
        <w:t>three levels of inputs</w:t>
      </w:r>
      <w:r w:rsidR="000B79F3">
        <w:t xml:space="preserve">: </w:t>
      </w:r>
    </w:p>
    <w:tbl>
      <w:tblPr>
        <w:tblStyle w:val="TableGrid"/>
        <w:tblW w:w="9639" w:type="dxa"/>
        <w:tblLook w:val="06A0" w:firstRow="1" w:lastRow="0" w:firstColumn="1" w:lastColumn="0" w:noHBand="1" w:noVBand="1"/>
      </w:tblPr>
      <w:tblGrid>
        <w:gridCol w:w="9639"/>
      </w:tblGrid>
      <w:tr w:rsidR="00947E3F" w:rsidRPr="00E23AE3" w14:paraId="4020C342" w14:textId="77777777" w:rsidTr="00885130">
        <w:trPr>
          <w:trHeight w:val="300"/>
          <w:tblHeader/>
        </w:trPr>
        <w:tc>
          <w:tcPr>
            <w:tcW w:w="9639" w:type="dxa"/>
            <w:shd w:val="clear" w:color="auto" w:fill="F2F2F2" w:themeFill="background1" w:themeFillShade="F2"/>
          </w:tcPr>
          <w:p w14:paraId="6D03A6BE" w14:textId="77777777" w:rsidR="00947E3F" w:rsidRPr="00A2478E" w:rsidRDefault="00947E3F" w:rsidP="00A2478E">
            <w:pPr>
              <w:pStyle w:val="TableContent"/>
              <w:rPr>
                <w:b/>
                <w:bCs/>
                <w:sz w:val="24"/>
              </w:rPr>
            </w:pPr>
            <w:r w:rsidRPr="00A2478E">
              <w:rPr>
                <w:b/>
                <w:bCs/>
                <w:sz w:val="24"/>
              </w:rPr>
              <w:t>(AASB 2022:15)</w:t>
            </w:r>
          </w:p>
        </w:tc>
      </w:tr>
      <w:tr w:rsidR="00947E3F" w:rsidRPr="00E23AE3" w14:paraId="56138B4A" w14:textId="77777777" w:rsidTr="00885130">
        <w:trPr>
          <w:trHeight w:val="300"/>
          <w:tblHeader/>
        </w:trPr>
        <w:tc>
          <w:tcPr>
            <w:tcW w:w="9639" w:type="dxa"/>
          </w:tcPr>
          <w:p w14:paraId="43EF8023" w14:textId="729C2799" w:rsidR="00947E3F" w:rsidRPr="00A2478E" w:rsidRDefault="00947E3F" w:rsidP="001A22D2">
            <w:pPr>
              <w:pStyle w:val="TableContent"/>
              <w:ind w:left="454" w:hanging="454"/>
              <w:rPr>
                <w:sz w:val="24"/>
              </w:rPr>
            </w:pPr>
            <w:r w:rsidRPr="00A2478E">
              <w:rPr>
                <w:sz w:val="24"/>
              </w:rPr>
              <w:t xml:space="preserve">‘72 To increase consistency and comparability in fair value measurements and related disclosures, this Standard establishes a fair value hierarchy that categorises into three levels (see paragraphs 76–90) the inputs to valuation techniques used to measure fair value. The fair value hierarchy gives the highest priority to quoted </w:t>
            </w:r>
            <w:r w:rsidR="001A22D2" w:rsidRPr="00E23AE3">
              <w:rPr>
                <w:sz w:val="24"/>
              </w:rPr>
              <w:t xml:space="preserve">prices (unadjusted) in active markets for identical assets or liabilities (Level 1 inputs) and the lowest priority to unobservable inputs </w:t>
            </w:r>
            <w:r w:rsidR="001A22D2" w:rsidRPr="00E23AE3">
              <w:rPr>
                <w:i/>
                <w:iCs/>
                <w:sz w:val="24"/>
              </w:rPr>
              <w:t>(Level 3 input</w:t>
            </w:r>
            <w:r w:rsidR="001A22D2" w:rsidRPr="00E23AE3">
              <w:rPr>
                <w:sz w:val="24"/>
              </w:rPr>
              <w:t>s).’</w:t>
            </w:r>
          </w:p>
        </w:tc>
      </w:tr>
    </w:tbl>
    <w:p w14:paraId="72EDD3A9" w14:textId="5AFB99BA" w:rsidR="00A33921" w:rsidRDefault="00A33921" w:rsidP="00B41B5A">
      <w:pPr>
        <w:spacing w:before="120"/>
        <w:rPr>
          <w:b/>
          <w:bCs/>
        </w:rPr>
      </w:pPr>
      <w:r w:rsidRPr="00E23AE3">
        <w:t>AASB 13 Fair Value Measurement (2022) explains the three levels of inputs as follows:</w:t>
      </w:r>
    </w:p>
    <w:tbl>
      <w:tblPr>
        <w:tblStyle w:val="TableGrid"/>
        <w:tblW w:w="9639" w:type="dxa"/>
        <w:tblLook w:val="04A0" w:firstRow="1" w:lastRow="0" w:firstColumn="1" w:lastColumn="0" w:noHBand="0" w:noVBand="1"/>
      </w:tblPr>
      <w:tblGrid>
        <w:gridCol w:w="9639"/>
      </w:tblGrid>
      <w:tr w:rsidR="00947E3F" w:rsidRPr="00DD2B3D" w14:paraId="7B548AEA" w14:textId="77777777">
        <w:trPr>
          <w:tblHeader/>
        </w:trPr>
        <w:tc>
          <w:tcPr>
            <w:tcW w:w="9639" w:type="dxa"/>
            <w:shd w:val="clear" w:color="auto" w:fill="F2F2F2" w:themeFill="background1" w:themeFillShade="F2"/>
          </w:tcPr>
          <w:p w14:paraId="72FD528B" w14:textId="77777777" w:rsidR="00947E3F" w:rsidRPr="00DD2B3D" w:rsidRDefault="00947E3F" w:rsidP="00DD2B3D">
            <w:pPr>
              <w:pStyle w:val="TableContent"/>
              <w:rPr>
                <w:b/>
                <w:bCs/>
                <w:sz w:val="24"/>
              </w:rPr>
            </w:pPr>
            <w:r w:rsidRPr="00DD2B3D">
              <w:rPr>
                <w:b/>
                <w:bCs/>
                <w:sz w:val="24"/>
              </w:rPr>
              <w:t>(AASB 2022: 15)</w:t>
            </w:r>
          </w:p>
        </w:tc>
      </w:tr>
      <w:tr w:rsidR="00947E3F" w:rsidRPr="00DD2B3D" w14:paraId="13EFC168" w14:textId="77777777">
        <w:tc>
          <w:tcPr>
            <w:tcW w:w="9639" w:type="dxa"/>
            <w:tcBorders>
              <w:bottom w:val="single" w:sz="4" w:space="0" w:color="auto"/>
            </w:tcBorders>
          </w:tcPr>
          <w:p w14:paraId="75622CEA" w14:textId="784EB7E0" w:rsidR="00947E3F" w:rsidRPr="00DD2B3D" w:rsidRDefault="00947E3F" w:rsidP="00DD2B3D">
            <w:pPr>
              <w:pStyle w:val="TableContent"/>
              <w:ind w:left="397" w:hanging="397"/>
              <w:rPr>
                <w:sz w:val="24"/>
              </w:rPr>
            </w:pPr>
            <w:r w:rsidRPr="00DD2B3D">
              <w:rPr>
                <w:sz w:val="24"/>
              </w:rPr>
              <w:t xml:space="preserve">‘76 Level 1 inputs are quoted prices (unadjusted) in active markets for identical assets or liabilities that the entity can access at the measurement date. </w:t>
            </w:r>
          </w:p>
          <w:p w14:paraId="5261FB3A" w14:textId="00D85761" w:rsidR="00947E3F" w:rsidRPr="00DD2B3D" w:rsidRDefault="00947E3F" w:rsidP="00DD2B3D">
            <w:pPr>
              <w:pStyle w:val="TableContent"/>
              <w:ind w:left="397" w:hanging="397"/>
              <w:rPr>
                <w:i/>
                <w:iCs/>
                <w:color w:val="000000"/>
                <w:sz w:val="24"/>
              </w:rPr>
            </w:pPr>
            <w:r w:rsidRPr="00DD2B3D">
              <w:rPr>
                <w:sz w:val="24"/>
              </w:rPr>
              <w:t>77 A quoted price in an active market provides the most reliable evidence of fair value and shall be used without adjustment to measure fair value whenever available, except as specified in paragraph 79.’</w:t>
            </w:r>
          </w:p>
        </w:tc>
      </w:tr>
      <w:tr w:rsidR="00947E3F" w:rsidRPr="00DD2B3D" w14:paraId="4EA6E6E2" w14:textId="77777777" w:rsidTr="00582339">
        <w:trPr>
          <w:trHeight w:val="397"/>
        </w:trPr>
        <w:tc>
          <w:tcPr>
            <w:tcW w:w="9639" w:type="dxa"/>
            <w:shd w:val="clear" w:color="auto" w:fill="F2F2F2" w:themeFill="background1" w:themeFillShade="F2"/>
          </w:tcPr>
          <w:p w14:paraId="6FDB6462" w14:textId="77777777" w:rsidR="00947E3F" w:rsidRPr="00DD2B3D" w:rsidRDefault="00947E3F" w:rsidP="00DD2B3D">
            <w:pPr>
              <w:pStyle w:val="TableContent"/>
              <w:rPr>
                <w:b/>
                <w:bCs/>
                <w:sz w:val="24"/>
              </w:rPr>
            </w:pPr>
            <w:r w:rsidRPr="00DD2B3D">
              <w:rPr>
                <w:b/>
                <w:bCs/>
                <w:sz w:val="24"/>
              </w:rPr>
              <w:t>AASB 2022: 16)</w:t>
            </w:r>
          </w:p>
        </w:tc>
      </w:tr>
      <w:tr w:rsidR="00947E3F" w:rsidRPr="00DD2B3D" w14:paraId="1A68BA40" w14:textId="77777777">
        <w:tc>
          <w:tcPr>
            <w:tcW w:w="9639" w:type="dxa"/>
          </w:tcPr>
          <w:p w14:paraId="73F43980" w14:textId="77777777" w:rsidR="00947E3F" w:rsidRPr="00DD2B3D" w:rsidRDefault="00947E3F" w:rsidP="00DD2B3D">
            <w:pPr>
              <w:pStyle w:val="TableContent"/>
              <w:ind w:left="397" w:hanging="397"/>
              <w:rPr>
                <w:color w:val="000000"/>
                <w:sz w:val="24"/>
              </w:rPr>
            </w:pPr>
            <w:r w:rsidRPr="00DD2B3D">
              <w:rPr>
                <w:color w:val="000000"/>
                <w:sz w:val="24"/>
              </w:rPr>
              <w:t xml:space="preserve">‘81 Level 2 inputs are inputs other than quoted prices included within Level 1 that are observable for the asset or liability, either directly or indirectly. </w:t>
            </w:r>
          </w:p>
          <w:p w14:paraId="7B4ED5B0" w14:textId="77777777" w:rsidR="00947E3F" w:rsidRPr="00DD2B3D" w:rsidRDefault="00947E3F" w:rsidP="00DD2B3D">
            <w:pPr>
              <w:pStyle w:val="TableContent"/>
              <w:ind w:left="397" w:hanging="397"/>
              <w:rPr>
                <w:color w:val="000000"/>
                <w:sz w:val="24"/>
              </w:rPr>
            </w:pPr>
            <w:r w:rsidRPr="00DD2B3D">
              <w:rPr>
                <w:color w:val="000000"/>
                <w:sz w:val="24"/>
              </w:rPr>
              <w:t>82 If the asset or liability has a specified (contractual) term, a Level 2 input must be observable for substantially the full term of the asset or liability….’</w:t>
            </w:r>
          </w:p>
        </w:tc>
      </w:tr>
      <w:tr w:rsidR="007D6C70" w:rsidRPr="00DD2B3D" w14:paraId="64DC5E74" w14:textId="77777777" w:rsidTr="00AF39DB">
        <w:tc>
          <w:tcPr>
            <w:tcW w:w="9639" w:type="dxa"/>
            <w:tcBorders>
              <w:bottom w:val="single" w:sz="4" w:space="0" w:color="auto"/>
            </w:tcBorders>
            <w:shd w:val="clear" w:color="auto" w:fill="F2F2F2" w:themeFill="background1" w:themeFillShade="F2"/>
          </w:tcPr>
          <w:p w14:paraId="7CE47EAB" w14:textId="75D36AB2" w:rsidR="007D6C70" w:rsidRPr="00DD2B3D" w:rsidRDefault="007D6C70" w:rsidP="00DD2B3D">
            <w:pPr>
              <w:pStyle w:val="TableContent"/>
              <w:ind w:left="397" w:hanging="397"/>
              <w:rPr>
                <w:i/>
                <w:iCs/>
              </w:rPr>
            </w:pPr>
            <w:r w:rsidRPr="00DD2B3D">
              <w:rPr>
                <w:b/>
                <w:bCs/>
                <w:sz w:val="24"/>
              </w:rPr>
              <w:t>AASB 2022: 16)</w:t>
            </w:r>
          </w:p>
        </w:tc>
      </w:tr>
      <w:tr w:rsidR="00947E3F" w:rsidRPr="00DD2B3D" w14:paraId="50A2B88A" w14:textId="77777777">
        <w:tc>
          <w:tcPr>
            <w:tcW w:w="9639" w:type="dxa"/>
            <w:tcBorders>
              <w:bottom w:val="single" w:sz="4" w:space="0" w:color="auto"/>
            </w:tcBorders>
          </w:tcPr>
          <w:p w14:paraId="3EBDDFB9" w14:textId="77777777" w:rsidR="00947E3F" w:rsidRPr="00DD2B3D" w:rsidRDefault="00947E3F" w:rsidP="00DD2B3D">
            <w:pPr>
              <w:pStyle w:val="TableContent"/>
              <w:ind w:left="397" w:hanging="397"/>
              <w:rPr>
                <w:sz w:val="24"/>
              </w:rPr>
            </w:pPr>
            <w:r w:rsidRPr="00DD2B3D">
              <w:rPr>
                <w:i/>
                <w:iCs/>
                <w:sz w:val="24"/>
              </w:rPr>
              <w:t>‘</w:t>
            </w:r>
            <w:r w:rsidRPr="00DD2B3D">
              <w:rPr>
                <w:sz w:val="24"/>
              </w:rPr>
              <w:t xml:space="preserve">86 Level 3 inputs are unobservable inputs for the asset or liability. </w:t>
            </w:r>
          </w:p>
          <w:p w14:paraId="153C9812" w14:textId="77777777" w:rsidR="00947E3F" w:rsidRPr="00DD2B3D" w:rsidRDefault="00947E3F" w:rsidP="00DD2B3D">
            <w:pPr>
              <w:pStyle w:val="TableContent"/>
              <w:ind w:left="397" w:hanging="397"/>
              <w:rPr>
                <w:i/>
                <w:iCs/>
                <w:sz w:val="24"/>
              </w:rPr>
            </w:pPr>
            <w:r w:rsidRPr="00DD2B3D">
              <w:rPr>
                <w:sz w:val="24"/>
              </w:rPr>
              <w:t xml:space="preserve">87 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w:t>
            </w:r>
            <w:proofErr w:type="spellStart"/>
            <w:r w:rsidRPr="00DD2B3D">
              <w:rPr>
                <w:sz w:val="24"/>
              </w:rPr>
              <w:t>ie</w:t>
            </w:r>
            <w:proofErr w:type="spellEnd"/>
            <w:r w:rsidRPr="00DD2B3D">
              <w:rPr>
                <w:sz w:val="24"/>
              </w:rPr>
              <w:t xml:space="preserv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tc>
      </w:tr>
    </w:tbl>
    <w:p w14:paraId="3A085E31" w14:textId="77777777" w:rsidR="00917705" w:rsidRDefault="00917705">
      <w:r>
        <w:br w:type="page"/>
      </w:r>
    </w:p>
    <w:tbl>
      <w:tblPr>
        <w:tblStyle w:val="TableGrid"/>
        <w:tblW w:w="9639" w:type="dxa"/>
        <w:tblLook w:val="04A0" w:firstRow="1" w:lastRow="0" w:firstColumn="1" w:lastColumn="0" w:noHBand="0" w:noVBand="1"/>
      </w:tblPr>
      <w:tblGrid>
        <w:gridCol w:w="9639"/>
      </w:tblGrid>
      <w:tr w:rsidR="00947E3F" w:rsidRPr="00DD2B3D" w14:paraId="2A85FF50" w14:textId="77777777">
        <w:tc>
          <w:tcPr>
            <w:tcW w:w="9639" w:type="dxa"/>
            <w:shd w:val="clear" w:color="auto" w:fill="F2F2F2" w:themeFill="background1" w:themeFillShade="F2"/>
          </w:tcPr>
          <w:p w14:paraId="0D8E6359" w14:textId="3F65A8C5" w:rsidR="00947E3F" w:rsidRPr="00A16E80" w:rsidRDefault="00947E3F" w:rsidP="00DD2B3D">
            <w:pPr>
              <w:pStyle w:val="TableContent"/>
              <w:rPr>
                <w:b/>
                <w:bCs/>
                <w:sz w:val="24"/>
              </w:rPr>
            </w:pPr>
            <w:r w:rsidRPr="00A16E80">
              <w:rPr>
                <w:b/>
                <w:bCs/>
                <w:sz w:val="24"/>
              </w:rPr>
              <w:lastRenderedPageBreak/>
              <w:t>Interpretation (AASB 2022:16)</w:t>
            </w:r>
          </w:p>
        </w:tc>
      </w:tr>
      <w:tr w:rsidR="00947E3F" w:rsidRPr="00DD2B3D" w14:paraId="05FDE868" w14:textId="77777777">
        <w:tc>
          <w:tcPr>
            <w:tcW w:w="9639" w:type="dxa"/>
          </w:tcPr>
          <w:p w14:paraId="71A05974" w14:textId="77777777" w:rsidR="00947E3F" w:rsidRPr="00DD2B3D" w:rsidRDefault="00947E3F" w:rsidP="00DD2B3D">
            <w:pPr>
              <w:pStyle w:val="TableContent"/>
              <w:rPr>
                <w:color w:val="000000"/>
                <w:sz w:val="24"/>
              </w:rPr>
            </w:pPr>
            <w:r w:rsidRPr="00DD2B3D">
              <w:rPr>
                <w:color w:val="000000"/>
                <w:sz w:val="24"/>
              </w:rPr>
              <w:t>Paragraph 86:</w:t>
            </w:r>
          </w:p>
          <w:p w14:paraId="2F94BC97" w14:textId="77777777" w:rsidR="00947E3F" w:rsidRPr="00DD2B3D" w:rsidRDefault="00947E3F" w:rsidP="00DD2B3D">
            <w:pPr>
              <w:pStyle w:val="TableContent"/>
              <w:rPr>
                <w:sz w:val="24"/>
              </w:rPr>
            </w:pPr>
            <w:r w:rsidRPr="00DD2B3D">
              <w:rPr>
                <w:sz w:val="24"/>
              </w:rPr>
              <w:t xml:space="preserve">There are several instances where ‘unobservable inputs’ may be used in a fair value measurement. ‘Unobservable inputs’ mean those inputs are not available in the public domain. </w:t>
            </w:r>
          </w:p>
          <w:p w14:paraId="7813B3A9" w14:textId="77777777" w:rsidR="00947E3F" w:rsidRPr="00DD2B3D" w:rsidRDefault="00947E3F" w:rsidP="00DD2B3D">
            <w:pPr>
              <w:pStyle w:val="TableContent"/>
              <w:rPr>
                <w:sz w:val="24"/>
              </w:rPr>
            </w:pPr>
            <w:r w:rsidRPr="00DD2B3D">
              <w:rPr>
                <w:sz w:val="24"/>
              </w:rPr>
              <w:t xml:space="preserve">For example: </w:t>
            </w:r>
          </w:p>
          <w:p w14:paraId="26E04D30" w14:textId="4D88A4FA" w:rsidR="00947E3F" w:rsidRPr="00DD2B3D" w:rsidRDefault="00947E3F" w:rsidP="00DD2B3D">
            <w:pPr>
              <w:pStyle w:val="TableContent"/>
              <w:rPr>
                <w:sz w:val="24"/>
              </w:rPr>
            </w:pPr>
            <w:r w:rsidRPr="00DD2B3D">
              <w:rPr>
                <w:sz w:val="24"/>
              </w:rPr>
              <w:t>There may be uncertainty regarding the available quoted prices for an asset due to a significant decline in market activity. In such instance</w:t>
            </w:r>
            <w:r w:rsidR="00917705">
              <w:rPr>
                <w:sz w:val="24"/>
              </w:rPr>
              <w:t>,</w:t>
            </w:r>
            <w:r w:rsidRPr="00DD2B3D">
              <w:rPr>
                <w:sz w:val="24"/>
              </w:rPr>
              <w:t xml:space="preserve"> there is a risk that the quoted price may be too high to reflect current market conditions. Consequently, the risk is that using a quoted price for a fair value measurement may not be the most appropriate input to use. A fair value measurement of the asset will </w:t>
            </w:r>
            <w:r w:rsidRPr="00F01B25">
              <w:rPr>
                <w:b/>
                <w:bCs/>
                <w:sz w:val="24"/>
              </w:rPr>
              <w:t>discount the quoted price</w:t>
            </w:r>
            <w:r w:rsidRPr="00DD2B3D">
              <w:rPr>
                <w:sz w:val="24"/>
              </w:rPr>
              <w:t xml:space="preserve"> to </w:t>
            </w:r>
            <w:r w:rsidR="00A16E80" w:rsidRPr="00DD2B3D">
              <w:rPr>
                <w:sz w:val="24"/>
              </w:rPr>
              <w:t>acknowledge the risk attached to the quoted price. The discount rate used to discount the quoted price is an ‘unobservable input’.</w:t>
            </w:r>
          </w:p>
        </w:tc>
      </w:tr>
    </w:tbl>
    <w:p w14:paraId="7767B775" w14:textId="77777777" w:rsidR="00B3167E" w:rsidRDefault="00B3167E">
      <w:pPr>
        <w:spacing w:after="0" w:line="240" w:lineRule="auto"/>
        <w:rPr>
          <w:rFonts w:cs="Arial"/>
          <w:b/>
          <w:bCs/>
          <w:color w:val="000000"/>
        </w:rPr>
      </w:pPr>
      <w:r>
        <w:rPr>
          <w:rFonts w:cs="Arial"/>
          <w:b/>
          <w:bCs/>
          <w:color w:val="000000"/>
        </w:rPr>
        <w:br w:type="page"/>
      </w:r>
    </w:p>
    <w:p w14:paraId="340C7E9A" w14:textId="1A7AE31E" w:rsidR="00E04CE9" w:rsidRPr="0008465F" w:rsidRDefault="00E04CE9" w:rsidP="00E04CE9">
      <w:pPr>
        <w:spacing w:before="120"/>
        <w:rPr>
          <w:rFonts w:cs="Arial"/>
          <w:b/>
          <w:bCs/>
          <w:color w:val="000000"/>
        </w:rPr>
      </w:pPr>
      <w:r w:rsidRPr="0008465F">
        <w:rPr>
          <w:rFonts w:cs="Arial"/>
          <w:b/>
          <w:bCs/>
          <w:color w:val="000000"/>
        </w:rPr>
        <w:lastRenderedPageBreak/>
        <w:t xml:space="preserve">Flowchart: Identifying the appropriate input </w:t>
      </w:r>
    </w:p>
    <w:p w14:paraId="5E61A2ED" w14:textId="77777777" w:rsidR="00E04CE9" w:rsidRPr="0008465F" w:rsidRDefault="2477899B" w:rsidP="00E04CE9">
      <w:pPr>
        <w:spacing w:before="120"/>
        <w:rPr>
          <w:rFonts w:cs="Arial"/>
          <w:b/>
          <w:bCs/>
          <w:color w:val="000000"/>
        </w:rPr>
      </w:pPr>
      <w:r w:rsidRPr="04E1CD47">
        <w:rPr>
          <w:rFonts w:cs="Arial"/>
          <w:b/>
          <w:bCs/>
          <w:color w:val="000000" w:themeColor="text1"/>
        </w:rPr>
        <w:t>Application of AASB 13 Value Measurement (2022:15-16)</w:t>
      </w:r>
    </w:p>
    <w:p w14:paraId="62B434CA" w14:textId="77777777" w:rsidR="00E04CE9" w:rsidRPr="00133166" w:rsidRDefault="00E04CE9" w:rsidP="00E04CE9">
      <w:pPr>
        <w:spacing w:before="60" w:after="60"/>
        <w:rPr>
          <w:rFonts w:cs="Arial"/>
          <w:color w:val="000000"/>
          <w:sz w:val="20"/>
          <w:szCs w:val="20"/>
        </w:rPr>
      </w:pPr>
      <w:bookmarkStart w:id="101" w:name="_Hlk197953722"/>
    </w:p>
    <w:p w14:paraId="653B7F50" w14:textId="77777777" w:rsidR="00D57B66" w:rsidRPr="00D822DC" w:rsidRDefault="00D57B66" w:rsidP="00D57B66">
      <w:pPr>
        <w:tabs>
          <w:tab w:val="left" w:pos="8266"/>
        </w:tabs>
      </w:pPr>
      <w:r>
        <w:rPr>
          <w:noProof/>
        </w:rPr>
        <mc:AlternateContent>
          <mc:Choice Requires="wps">
            <w:drawing>
              <wp:anchor distT="0" distB="0" distL="114300" distR="114300" simplePos="0" relativeHeight="251658296" behindDoc="0" locked="0" layoutInCell="1" allowOverlap="1" wp14:anchorId="369006DD" wp14:editId="4E642E37">
                <wp:simplePos x="0" y="0"/>
                <wp:positionH relativeFrom="column">
                  <wp:posOffset>2956115</wp:posOffset>
                </wp:positionH>
                <wp:positionV relativeFrom="paragraph">
                  <wp:posOffset>3930650</wp:posOffset>
                </wp:positionV>
                <wp:extent cx="593725" cy="284480"/>
                <wp:effectExtent l="0" t="0" r="0" b="1270"/>
                <wp:wrapNone/>
                <wp:docPr id="768782212"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wps:spPr>
                      <wps:txbx>
                        <w:txbxContent>
                          <w:p w14:paraId="795C7DD6" w14:textId="77777777" w:rsidR="00D57B66" w:rsidRDefault="00D57B66" w:rsidP="00D57B66">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006DD" id="_x0000_s1045" type="#_x0000_t202" style="position:absolute;margin-left:232.75pt;margin-top:309.5pt;width:46.75pt;height:22.4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" filled="f" stroked="f" strokeweight=".5pt">
                <v:textbox>
                  <w:txbxContent>
                    <w:p w14:paraId="795C7DD6" w14:textId="77777777" w:rsidR="00D57B66" w:rsidRDefault="00D57B66" w:rsidP="00D57B66">
                      <w:r>
                        <w:t>Yes</w:t>
                      </w:r>
                    </w:p>
                  </w:txbxContent>
                </v:textbox>
              </v:shape>
            </w:pict>
          </mc:Fallback>
        </mc:AlternateContent>
      </w:r>
      <w:r>
        <w:rPr>
          <w:noProof/>
        </w:rPr>
        <mc:AlternateContent>
          <mc:Choice Requires="wps">
            <w:drawing>
              <wp:anchor distT="0" distB="0" distL="114300" distR="114300" simplePos="0" relativeHeight="251658299" behindDoc="0" locked="0" layoutInCell="1" allowOverlap="1" wp14:anchorId="744DDD54" wp14:editId="32247A63">
                <wp:simplePos x="0" y="0"/>
                <wp:positionH relativeFrom="column">
                  <wp:posOffset>3435985</wp:posOffset>
                </wp:positionH>
                <wp:positionV relativeFrom="paragraph">
                  <wp:posOffset>3902009</wp:posOffset>
                </wp:positionV>
                <wp:extent cx="0" cy="368135"/>
                <wp:effectExtent l="76200" t="0" r="76200" b="51435"/>
                <wp:wrapNone/>
                <wp:docPr id="843254398" name="Straight Arrow Connector 13" descr="Arrow pointing down with yes next to it"/>
                <wp:cNvGraphicFramePr/>
                <a:graphic xmlns:a="http://schemas.openxmlformats.org/drawingml/2006/main">
                  <a:graphicData uri="http://schemas.microsoft.com/office/word/2010/wordprocessingShape">
                    <wps:wsp>
                      <wps:cNvCnPr/>
                      <wps:spPr>
                        <a:xfrm>
                          <a:off x="0" y="0"/>
                          <a:ext cx="0" cy="368135"/>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2495D78" id="Straight Arrow Connector 13" o:spid="_x0000_s1026" type="#_x0000_t32" alt="Arrow pointing down with yes next to it" style="position:absolute;margin-left:270.55pt;margin-top:307.25pt;width:0;height:29pt;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" strokecolor="#8782a8 [1951]" strokeweight="2pt">
                <v:stroke endarrow="block"/>
              </v:shape>
            </w:pict>
          </mc:Fallback>
        </mc:AlternateContent>
      </w:r>
      <w:r>
        <w:rPr>
          <w:noProof/>
        </w:rPr>
        <mc:AlternateContent>
          <mc:Choice Requires="wps">
            <w:drawing>
              <wp:anchor distT="0" distB="0" distL="114300" distR="114300" simplePos="0" relativeHeight="251658298" behindDoc="0" locked="0" layoutInCell="1" allowOverlap="1" wp14:anchorId="6C7CD032" wp14:editId="0B4C0A8C">
                <wp:simplePos x="0" y="0"/>
                <wp:positionH relativeFrom="margin">
                  <wp:posOffset>1815465</wp:posOffset>
                </wp:positionH>
                <wp:positionV relativeFrom="paragraph">
                  <wp:posOffset>3882200</wp:posOffset>
                </wp:positionV>
                <wp:extent cx="593725" cy="284480"/>
                <wp:effectExtent l="0" t="0" r="0" b="1270"/>
                <wp:wrapNone/>
                <wp:docPr id="667630752"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a:effectLst/>
                      </wps:spPr>
                      <wps:txbx>
                        <w:txbxContent>
                          <w:p w14:paraId="7E81F8BA" w14:textId="77777777" w:rsidR="00D57B66" w:rsidRDefault="00D57B66" w:rsidP="00D57B6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CD032" id="_x0000_s1046" type="#_x0000_t202" style="position:absolute;margin-left:142.95pt;margin-top:305.7pt;width:46.75pt;height:22.4pt;z-index:25165829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" filled="f" stroked="f" strokeweight=".5pt">
                <v:textbox>
                  <w:txbxContent>
                    <w:p w14:paraId="7E81F8BA" w14:textId="77777777" w:rsidR="00D57B66" w:rsidRDefault="00D57B66" w:rsidP="00D57B66">
                      <w:r>
                        <w:t>No</w:t>
                      </w:r>
                    </w:p>
                  </w:txbxContent>
                </v:textbox>
                <w10:wrap anchorx="margin"/>
              </v:shape>
            </w:pict>
          </mc:Fallback>
        </mc:AlternateContent>
      </w:r>
      <w:r>
        <w:rPr>
          <w:noProof/>
        </w:rPr>
        <mc:AlternateContent>
          <mc:Choice Requires="wps">
            <w:drawing>
              <wp:anchor distT="0" distB="0" distL="114300" distR="114300" simplePos="0" relativeHeight="251658297" behindDoc="0" locked="0" layoutInCell="1" allowOverlap="1" wp14:anchorId="7F3D646A" wp14:editId="64098093">
                <wp:simplePos x="0" y="0"/>
                <wp:positionH relativeFrom="margin">
                  <wp:posOffset>1263089</wp:posOffset>
                </wp:positionH>
                <wp:positionV relativeFrom="paragraph">
                  <wp:posOffset>3688782</wp:posOffset>
                </wp:positionV>
                <wp:extent cx="1377538" cy="1116280"/>
                <wp:effectExtent l="0" t="0" r="70485" b="65405"/>
                <wp:wrapNone/>
                <wp:docPr id="1821336801" name="Straight Arrow Connector 5" descr="Arrow pointing right with no next to it"/>
                <wp:cNvGraphicFramePr/>
                <a:graphic xmlns:a="http://schemas.openxmlformats.org/drawingml/2006/main">
                  <a:graphicData uri="http://schemas.microsoft.com/office/word/2010/wordprocessingShape">
                    <wps:wsp>
                      <wps:cNvCnPr/>
                      <wps:spPr>
                        <a:xfrm>
                          <a:off x="0" y="0"/>
                          <a:ext cx="1377538" cy="1116280"/>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66E44" id="Straight Arrow Connector 5" o:spid="_x0000_s1026" type="#_x0000_t32" alt="Arrow pointing right with no next to it" style="position:absolute;margin-left:99.45pt;margin-top:290.45pt;width:108.45pt;height:87.9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" strokecolor="#8782a8 [1951]" strokeweight="2pt">
                <v:stroke endarrow="block"/>
                <w10:wrap anchorx="margin"/>
              </v:shape>
            </w:pict>
          </mc:Fallback>
        </mc:AlternateContent>
      </w:r>
      <w:r>
        <w:rPr>
          <w:noProof/>
        </w:rPr>
        <mc:AlternateContent>
          <mc:Choice Requires="wps">
            <w:drawing>
              <wp:anchor distT="0" distB="0" distL="114300" distR="114300" simplePos="0" relativeHeight="251658285" behindDoc="0" locked="0" layoutInCell="1" allowOverlap="1" wp14:anchorId="1128F93F" wp14:editId="6BEEB36F">
                <wp:simplePos x="0" y="0"/>
                <wp:positionH relativeFrom="margin">
                  <wp:posOffset>142108</wp:posOffset>
                </wp:positionH>
                <wp:positionV relativeFrom="paragraph">
                  <wp:posOffset>2104662</wp:posOffset>
                </wp:positionV>
                <wp:extent cx="2058670" cy="1441615"/>
                <wp:effectExtent l="19050" t="19050" r="36830" b="44450"/>
                <wp:wrapNone/>
                <wp:docPr id="826368983" name="Text Box 3"/>
                <wp:cNvGraphicFramePr/>
                <a:graphic xmlns:a="http://schemas.openxmlformats.org/drawingml/2006/main">
                  <a:graphicData uri="http://schemas.microsoft.com/office/word/2010/wordprocessingShape">
                    <wps:wsp>
                      <wps:cNvSpPr txBox="1"/>
                      <wps:spPr>
                        <a:xfrm>
                          <a:off x="0" y="0"/>
                          <a:ext cx="2058670" cy="1441615"/>
                        </a:xfrm>
                        <a:prstGeom prst="rect">
                          <a:avLst/>
                        </a:prstGeom>
                        <a:solidFill>
                          <a:schemeClr val="lt1"/>
                        </a:solidFill>
                        <a:ln w="57150">
                          <a:solidFill>
                            <a:schemeClr val="tx2">
                              <a:lumMod val="60000"/>
                              <a:lumOff val="40000"/>
                            </a:schemeClr>
                          </a:solidFill>
                        </a:ln>
                      </wps:spPr>
                      <wps:txbx>
                        <w:txbxContent>
                          <w:p w14:paraId="5C46A165"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Are inputs ‘observable for the asset’, ‘either directly or indirectly’?                               (for example: ‘quoted price’ for a similar asset in an active market)?</w:t>
                            </w:r>
                          </w:p>
                          <w:p w14:paraId="1CAA9987"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(AASB 13:16, par.81-82)</w:t>
                            </w:r>
                          </w:p>
                          <w:p w14:paraId="57D090DB" w14:textId="77777777" w:rsidR="00D57B66" w:rsidRPr="00F96647" w:rsidRDefault="00D57B66" w:rsidP="00D57B66">
                            <w:pPr>
                              <w:spacing w:before="60" w:after="60"/>
                              <w:rPr>
                                <w:rFonts w:cs="Arial"/>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F93F" id="_x0000_s1047" type="#_x0000_t202" style="position:absolute;margin-left:11.2pt;margin-top:165.7pt;width:162.1pt;height:113.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" fillcolor="white [3201]" strokecolor="#8782a8 [1951]" strokeweight="4.5pt">
                <v:textbox>
                  <w:txbxContent>
                    <w:p w14:paraId="5C46A165"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Are inputs ‘observable for the asset’, ‘either directly or indirectly’?                               (for example: ‘quoted price’ for a similar asset in an active market)?</w:t>
                      </w:r>
                    </w:p>
                    <w:p w14:paraId="1CAA9987"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(AASB 13:16, par.81-82)</w:t>
                      </w:r>
                    </w:p>
                    <w:p w14:paraId="57D090DB" w14:textId="77777777" w:rsidR="00D57B66" w:rsidRPr="00F96647" w:rsidRDefault="00D57B66" w:rsidP="00D57B66">
                      <w:pPr>
                        <w:spacing w:before="60" w:after="60"/>
                        <w:rPr>
                          <w:rFonts w:cs="Arial"/>
                          <w:color w:val="000000" w:themeColor="text1"/>
                          <w:sz w:val="20"/>
                          <w:szCs w:val="20"/>
                          <w:lang w:val="en-US"/>
                        </w:rPr>
                      </w:pPr>
                    </w:p>
                  </w:txbxContent>
                </v:textbox>
                <w10:wrap anchorx="margin"/>
              </v:shape>
            </w:pict>
          </mc:Fallback>
        </mc:AlternateContent>
      </w:r>
      <w:r>
        <w:rPr>
          <w:noProof/>
        </w:rPr>
        <mc:AlternateContent>
          <mc:Choice Requires="wps">
            <w:drawing>
              <wp:anchor distT="0" distB="0" distL="114300" distR="114300" simplePos="0" relativeHeight="251658295" behindDoc="0" locked="0" layoutInCell="1" allowOverlap="1" wp14:anchorId="3F66A974" wp14:editId="607F91FE">
                <wp:simplePos x="0" y="0"/>
                <wp:positionH relativeFrom="column">
                  <wp:posOffset>2196473</wp:posOffset>
                </wp:positionH>
                <wp:positionV relativeFrom="paragraph">
                  <wp:posOffset>2339439</wp:posOffset>
                </wp:positionV>
                <wp:extent cx="593725" cy="284480"/>
                <wp:effectExtent l="0" t="0" r="0" b="1270"/>
                <wp:wrapNone/>
                <wp:docPr id="1543702703"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wps:spPr>
                      <wps:txbx>
                        <w:txbxContent>
                          <w:p w14:paraId="1FD5A1D7" w14:textId="77777777" w:rsidR="00D57B66" w:rsidRDefault="00D57B66" w:rsidP="00D57B66">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6A974" id="_x0000_s1048" type="#_x0000_t202" style="position:absolute;margin-left:172.95pt;margin-top:184.2pt;width:46.75pt;height:22.4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" filled="f" stroked="f" strokeweight=".5pt">
                <v:textbox>
                  <w:txbxContent>
                    <w:p w14:paraId="1FD5A1D7" w14:textId="77777777" w:rsidR="00D57B66" w:rsidRDefault="00D57B66" w:rsidP="00D57B66">
                      <w:r>
                        <w:t>Yes</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1910A8B9" wp14:editId="2F2586D1">
                <wp:simplePos x="0" y="0"/>
                <wp:positionH relativeFrom="margin">
                  <wp:posOffset>4167060</wp:posOffset>
                </wp:positionH>
                <wp:positionV relativeFrom="paragraph">
                  <wp:posOffset>2362835</wp:posOffset>
                </wp:positionV>
                <wp:extent cx="593725" cy="284480"/>
                <wp:effectExtent l="0" t="0" r="0" b="1270"/>
                <wp:wrapNone/>
                <wp:docPr id="1338731632"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a:effectLst/>
                      </wps:spPr>
                      <wps:txbx>
                        <w:txbxContent>
                          <w:p w14:paraId="7D72D0D4" w14:textId="77777777" w:rsidR="00D57B66" w:rsidRDefault="00D57B66" w:rsidP="00D57B6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0A8B9" id="_x0000_s1049" type="#_x0000_t202" style="position:absolute;margin-left:328.1pt;margin-top:186.05pt;width:46.75pt;height:22.4pt;z-index:25165829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rwIgIAAEE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" filled="f" stroked="f" strokeweight=".5pt">
                <v:textbox>
                  <w:txbxContent>
                    <w:p w14:paraId="7D72D0D4" w14:textId="77777777" w:rsidR="00D57B66" w:rsidRDefault="00D57B66" w:rsidP="00D57B66">
                      <w:r>
                        <w:t>No</w:t>
                      </w:r>
                    </w:p>
                  </w:txbxContent>
                </v:textbox>
                <w10:wrap anchorx="margin"/>
              </v:shape>
            </w:pict>
          </mc:Fallback>
        </mc:AlternateContent>
      </w:r>
      <w:r>
        <w:rPr>
          <w:noProof/>
        </w:rPr>
        <mc:AlternateContent>
          <mc:Choice Requires="wps">
            <w:drawing>
              <wp:anchor distT="0" distB="0" distL="114300" distR="114300" simplePos="0" relativeHeight="251658293" behindDoc="0" locked="0" layoutInCell="1" allowOverlap="1" wp14:anchorId="4DB1CFF3" wp14:editId="348788E7">
                <wp:simplePos x="0" y="0"/>
                <wp:positionH relativeFrom="column">
                  <wp:posOffset>2302955</wp:posOffset>
                </wp:positionH>
                <wp:positionV relativeFrom="paragraph">
                  <wp:posOffset>2700020</wp:posOffset>
                </wp:positionV>
                <wp:extent cx="261257" cy="0"/>
                <wp:effectExtent l="0" t="76200" r="24765" b="95250"/>
                <wp:wrapNone/>
                <wp:docPr id="1834733419" name="Straight Arrow Connector 12" descr="Arrow pointing right with yes next to it"/>
                <wp:cNvGraphicFramePr/>
                <a:graphic xmlns:a="http://schemas.openxmlformats.org/drawingml/2006/main">
                  <a:graphicData uri="http://schemas.microsoft.com/office/word/2010/wordprocessingShape">
                    <wps:wsp>
                      <wps:cNvCnPr/>
                      <wps:spPr>
                        <a:xfrm>
                          <a:off x="0" y="0"/>
                          <a:ext cx="261257" cy="0"/>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4A8A86" id="Straight Arrow Connector 12" o:spid="_x0000_s1026" type="#_x0000_t32" alt="Arrow pointing right with yes next to it" style="position:absolute;margin-left:181.35pt;margin-top:212.6pt;width:20.55pt;height:0;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" strokecolor="#8782a8 [1951]" strokeweight="2pt">
                <v:stroke endarrow="block"/>
              </v:shape>
            </w:pict>
          </mc:Fallback>
        </mc:AlternateContent>
      </w:r>
      <w:r>
        <w:rPr>
          <w:noProof/>
        </w:rPr>
        <mc:AlternateContent>
          <mc:Choice Requires="wps">
            <w:drawing>
              <wp:anchor distT="0" distB="0" distL="114300" distR="114300" simplePos="0" relativeHeight="251658292" behindDoc="0" locked="0" layoutInCell="1" allowOverlap="1" wp14:anchorId="03720C17" wp14:editId="49BF0B5C">
                <wp:simplePos x="0" y="0"/>
                <wp:positionH relativeFrom="column">
                  <wp:posOffset>4266952</wp:posOffset>
                </wp:positionH>
                <wp:positionV relativeFrom="paragraph">
                  <wp:posOffset>2667503</wp:posOffset>
                </wp:positionV>
                <wp:extent cx="261257" cy="0"/>
                <wp:effectExtent l="0" t="76200" r="24765" b="95250"/>
                <wp:wrapNone/>
                <wp:docPr id="1796049138" name="Straight Arrow Connector 12" descr="Arrow pointing right with no next to it"/>
                <wp:cNvGraphicFramePr/>
                <a:graphic xmlns:a="http://schemas.openxmlformats.org/drawingml/2006/main">
                  <a:graphicData uri="http://schemas.microsoft.com/office/word/2010/wordprocessingShape">
                    <wps:wsp>
                      <wps:cNvCnPr/>
                      <wps:spPr>
                        <a:xfrm>
                          <a:off x="0" y="0"/>
                          <a:ext cx="261257" cy="0"/>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33B025" id="Straight Arrow Connector 12" o:spid="_x0000_s1026" type="#_x0000_t32" alt="Arrow pointing right with no next to it" style="position:absolute;margin-left:336pt;margin-top:210.05pt;width:20.55pt;height:0;z-index:2516582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" strokecolor="#8782a8 [1951]" strokeweight="2pt">
                <v:stroke endarrow="block"/>
              </v:shape>
            </w:pict>
          </mc:Fallback>
        </mc:AlternateContent>
      </w:r>
      <w:r>
        <w:rPr>
          <w:noProof/>
        </w:rPr>
        <mc:AlternateContent>
          <mc:Choice Requires="wps">
            <w:drawing>
              <wp:anchor distT="0" distB="0" distL="114300" distR="114300" simplePos="0" relativeHeight="251658291" behindDoc="0" locked="0" layoutInCell="1" allowOverlap="1" wp14:anchorId="3356BE60" wp14:editId="0F76719E">
                <wp:simplePos x="0" y="0"/>
                <wp:positionH relativeFrom="column">
                  <wp:posOffset>2449385</wp:posOffset>
                </wp:positionH>
                <wp:positionV relativeFrom="paragraph">
                  <wp:posOffset>731520</wp:posOffset>
                </wp:positionV>
                <wp:extent cx="1995055" cy="0"/>
                <wp:effectExtent l="0" t="76200" r="24765" b="95250"/>
                <wp:wrapNone/>
                <wp:docPr id="685864436" name="Straight Arrow Connector 11" descr="Arrow pointing right with yes next to it"/>
                <wp:cNvGraphicFramePr/>
                <a:graphic xmlns:a="http://schemas.openxmlformats.org/drawingml/2006/main">
                  <a:graphicData uri="http://schemas.microsoft.com/office/word/2010/wordprocessingShape">
                    <wps:wsp>
                      <wps:cNvCnPr/>
                      <wps:spPr>
                        <a:xfrm>
                          <a:off x="0" y="0"/>
                          <a:ext cx="1995055" cy="0"/>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4FC8E0C" id="Straight Arrow Connector 11" o:spid="_x0000_s1026" type="#_x0000_t32" alt="Arrow pointing right with yes next to it" style="position:absolute;margin-left:192.85pt;margin-top:57.6pt;width:157.1pt;height:0;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" strokecolor="#8782a8 [1951]" strokeweight="2pt">
                <v:stroke endarrow="block"/>
              </v:shape>
            </w:pict>
          </mc:Fallback>
        </mc:AlternateContent>
      </w:r>
      <w:r>
        <w:rPr>
          <w:noProof/>
        </w:rPr>
        <mc:AlternateContent>
          <mc:Choice Requires="wps">
            <w:drawing>
              <wp:anchor distT="0" distB="0" distL="114300" distR="114300" simplePos="0" relativeHeight="251658290" behindDoc="0" locked="0" layoutInCell="1" allowOverlap="1" wp14:anchorId="1A563828" wp14:editId="78B5098E">
                <wp:simplePos x="0" y="0"/>
                <wp:positionH relativeFrom="margin">
                  <wp:posOffset>2802131</wp:posOffset>
                </wp:positionH>
                <wp:positionV relativeFrom="paragraph">
                  <wp:posOffset>4400806</wp:posOffset>
                </wp:positionV>
                <wp:extent cx="1263015" cy="823595"/>
                <wp:effectExtent l="19050" t="19050" r="32385" b="33655"/>
                <wp:wrapNone/>
                <wp:docPr id="1063991799" name="Text Box 3"/>
                <wp:cNvGraphicFramePr/>
                <a:graphic xmlns:a="http://schemas.openxmlformats.org/drawingml/2006/main">
                  <a:graphicData uri="http://schemas.microsoft.com/office/word/2010/wordprocessingShape">
                    <wps:wsp>
                      <wps:cNvSpPr txBox="1"/>
                      <wps:spPr>
                        <a:xfrm>
                          <a:off x="0" y="0"/>
                          <a:ext cx="1263015" cy="823595"/>
                        </a:xfrm>
                        <a:prstGeom prst="rect">
                          <a:avLst/>
                        </a:prstGeom>
                        <a:solidFill>
                          <a:schemeClr val="lt1"/>
                        </a:solidFill>
                        <a:ln w="57150">
                          <a:solidFill>
                            <a:schemeClr val="tx2">
                              <a:lumMod val="60000"/>
                              <a:lumOff val="40000"/>
                            </a:schemeClr>
                          </a:solidFill>
                        </a:ln>
                      </wps:spPr>
                      <wps:txbx>
                        <w:txbxContent>
                          <w:p w14:paraId="11DEDC02" w14:textId="77777777" w:rsidR="00D57B66" w:rsidRPr="00F96647" w:rsidRDefault="00D57B66" w:rsidP="00D57B66">
                            <w:pPr>
                              <w:spacing w:before="60" w:after="60"/>
                              <w:rPr>
                                <w:rFonts w:cs="Arial"/>
                                <w:color w:val="000000" w:themeColor="text1"/>
                                <w:sz w:val="20"/>
                                <w:szCs w:val="20"/>
                                <w:lang w:val="en-US"/>
                              </w:rPr>
                            </w:pPr>
                            <w:r>
                              <w:rPr>
                                <w:rFonts w:cs="Arial"/>
                                <w:color w:val="000000" w:themeColor="text1"/>
                                <w:sz w:val="20"/>
                                <w:szCs w:val="20"/>
                                <w:lang w:val="en-US"/>
                              </w:rPr>
                              <w:t>Level 3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3828" id="_x0000_s1050" type="#_x0000_t202" style="position:absolute;margin-left:220.65pt;margin-top:346.5pt;width:99.45pt;height:64.8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" fillcolor="white [3201]" strokecolor="#8782a8 [1951]" strokeweight="4.5pt">
                <v:textbox>
                  <w:txbxContent>
                    <w:p w14:paraId="11DEDC02" w14:textId="77777777" w:rsidR="00D57B66" w:rsidRPr="00F96647" w:rsidRDefault="00D57B66" w:rsidP="00D57B66">
                      <w:pPr>
                        <w:spacing w:before="60" w:after="60"/>
                        <w:rPr>
                          <w:rFonts w:cs="Arial"/>
                          <w:color w:val="000000" w:themeColor="text1"/>
                          <w:sz w:val="20"/>
                          <w:szCs w:val="20"/>
                          <w:lang w:val="en-US"/>
                        </w:rPr>
                      </w:pPr>
                      <w:r>
                        <w:rPr>
                          <w:rFonts w:cs="Arial"/>
                          <w:color w:val="000000" w:themeColor="text1"/>
                          <w:sz w:val="20"/>
                          <w:szCs w:val="20"/>
                          <w:lang w:val="en-US"/>
                        </w:rPr>
                        <w:t>Level 3 input</w:t>
                      </w:r>
                    </w:p>
                  </w:txbxContent>
                </v:textbox>
                <w10:wrap anchorx="margin"/>
              </v:shape>
            </w:pict>
          </mc:Fallback>
        </mc:AlternateContent>
      </w:r>
      <w:r>
        <w:rPr>
          <w:noProof/>
        </w:rPr>
        <mc:AlternateContent>
          <mc:Choice Requires="wps">
            <w:drawing>
              <wp:anchor distT="0" distB="0" distL="114300" distR="114300" simplePos="0" relativeHeight="251658289" behindDoc="0" locked="0" layoutInCell="1" allowOverlap="1" wp14:anchorId="543C812C" wp14:editId="3034671A">
                <wp:simplePos x="0" y="0"/>
                <wp:positionH relativeFrom="margin">
                  <wp:posOffset>4688395</wp:posOffset>
                </wp:positionH>
                <wp:positionV relativeFrom="paragraph">
                  <wp:posOffset>2244725</wp:posOffset>
                </wp:positionV>
                <wp:extent cx="1263015" cy="823595"/>
                <wp:effectExtent l="19050" t="19050" r="32385" b="33655"/>
                <wp:wrapNone/>
                <wp:docPr id="1104205188" name="Text Box 3"/>
                <wp:cNvGraphicFramePr/>
                <a:graphic xmlns:a="http://schemas.openxmlformats.org/drawingml/2006/main">
                  <a:graphicData uri="http://schemas.microsoft.com/office/word/2010/wordprocessingShape">
                    <wps:wsp>
                      <wps:cNvSpPr txBox="1"/>
                      <wps:spPr>
                        <a:xfrm>
                          <a:off x="0" y="0"/>
                          <a:ext cx="1263015" cy="823595"/>
                        </a:xfrm>
                        <a:prstGeom prst="rect">
                          <a:avLst/>
                        </a:prstGeom>
                        <a:solidFill>
                          <a:schemeClr val="lt1"/>
                        </a:solidFill>
                        <a:ln w="57150">
                          <a:solidFill>
                            <a:schemeClr val="tx2">
                              <a:lumMod val="60000"/>
                              <a:lumOff val="40000"/>
                            </a:schemeClr>
                          </a:solidFill>
                        </a:ln>
                      </wps:spPr>
                      <wps:txbx>
                        <w:txbxContent>
                          <w:p w14:paraId="12A727E2" w14:textId="77777777" w:rsidR="00D57B66" w:rsidRPr="00F96647" w:rsidRDefault="00D57B66" w:rsidP="00D57B66">
                            <w:pPr>
                              <w:spacing w:before="60" w:after="60"/>
                              <w:rPr>
                                <w:rFonts w:cs="Arial"/>
                                <w:color w:val="000000" w:themeColor="text1"/>
                                <w:sz w:val="20"/>
                                <w:szCs w:val="20"/>
                                <w:lang w:val="en-US"/>
                              </w:rPr>
                            </w:pPr>
                            <w:r>
                              <w:rPr>
                                <w:rFonts w:cs="Arial"/>
                                <w:color w:val="000000" w:themeColor="text1"/>
                                <w:sz w:val="20"/>
                                <w:szCs w:val="20"/>
                                <w:lang w:val="en-US"/>
                              </w:rPr>
                              <w:t>Level 2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812C" id="_x0000_s1051" type="#_x0000_t202" style="position:absolute;margin-left:369.15pt;margin-top:176.75pt;width:99.45pt;height:64.8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" fillcolor="white [3201]" strokecolor="#8782a8 [1951]" strokeweight="4.5pt">
                <v:textbox>
                  <w:txbxContent>
                    <w:p w14:paraId="12A727E2" w14:textId="77777777" w:rsidR="00D57B66" w:rsidRPr="00F96647" w:rsidRDefault="00D57B66" w:rsidP="00D57B66">
                      <w:pPr>
                        <w:spacing w:before="60" w:after="60"/>
                        <w:rPr>
                          <w:rFonts w:cs="Arial"/>
                          <w:color w:val="000000" w:themeColor="text1"/>
                          <w:sz w:val="20"/>
                          <w:szCs w:val="20"/>
                          <w:lang w:val="en-US"/>
                        </w:rPr>
                      </w:pPr>
                      <w:r>
                        <w:rPr>
                          <w:rFonts w:cs="Arial"/>
                          <w:color w:val="000000" w:themeColor="text1"/>
                          <w:sz w:val="20"/>
                          <w:szCs w:val="20"/>
                          <w:lang w:val="en-US"/>
                        </w:rPr>
                        <w:t>Level 2 input</w:t>
                      </w:r>
                    </w:p>
                  </w:txbxContent>
                </v:textbox>
                <w10:wrap anchorx="margin"/>
              </v:shape>
            </w:pict>
          </mc:Fallback>
        </mc:AlternateContent>
      </w:r>
      <w:r>
        <w:rPr>
          <w:noProof/>
        </w:rPr>
        <mc:AlternateContent>
          <mc:Choice Requires="wps">
            <w:drawing>
              <wp:anchor distT="0" distB="0" distL="114300" distR="114300" simplePos="0" relativeHeight="251658284" behindDoc="0" locked="0" layoutInCell="1" allowOverlap="1" wp14:anchorId="65641C6C" wp14:editId="4CA33C1E">
                <wp:simplePos x="0" y="0"/>
                <wp:positionH relativeFrom="margin">
                  <wp:posOffset>4676330</wp:posOffset>
                </wp:positionH>
                <wp:positionV relativeFrom="paragraph">
                  <wp:posOffset>287020</wp:posOffset>
                </wp:positionV>
                <wp:extent cx="1263015" cy="823595"/>
                <wp:effectExtent l="19050" t="19050" r="32385" b="33655"/>
                <wp:wrapNone/>
                <wp:docPr id="620557218" name="Text Box 3"/>
                <wp:cNvGraphicFramePr/>
                <a:graphic xmlns:a="http://schemas.openxmlformats.org/drawingml/2006/main">
                  <a:graphicData uri="http://schemas.microsoft.com/office/word/2010/wordprocessingShape">
                    <wps:wsp>
                      <wps:cNvSpPr txBox="1"/>
                      <wps:spPr>
                        <a:xfrm>
                          <a:off x="0" y="0"/>
                          <a:ext cx="1263015" cy="823595"/>
                        </a:xfrm>
                        <a:prstGeom prst="rect">
                          <a:avLst/>
                        </a:prstGeom>
                        <a:solidFill>
                          <a:schemeClr val="lt1"/>
                        </a:solidFill>
                        <a:ln w="57150">
                          <a:solidFill>
                            <a:schemeClr val="tx2">
                              <a:lumMod val="60000"/>
                              <a:lumOff val="40000"/>
                            </a:schemeClr>
                          </a:solidFill>
                        </a:ln>
                      </wps:spPr>
                      <wps:txbx>
                        <w:txbxContent>
                          <w:p w14:paraId="0B5CE2C7" w14:textId="77777777" w:rsidR="00D57B66" w:rsidRPr="00F96647" w:rsidRDefault="00D57B66" w:rsidP="00D57B66">
                            <w:pPr>
                              <w:spacing w:before="60" w:after="60"/>
                              <w:rPr>
                                <w:rFonts w:cs="Arial"/>
                                <w:color w:val="000000" w:themeColor="text1"/>
                                <w:sz w:val="20"/>
                                <w:szCs w:val="20"/>
                                <w:lang w:val="en-US"/>
                              </w:rPr>
                            </w:pPr>
                            <w:r>
                              <w:rPr>
                                <w:rFonts w:cs="Arial"/>
                                <w:color w:val="000000" w:themeColor="text1"/>
                                <w:sz w:val="20"/>
                                <w:szCs w:val="20"/>
                                <w:lang w:val="en-US"/>
                              </w:rPr>
                              <w:t>Level 1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41C6C" id="_x0000_s1052" type="#_x0000_t202" style="position:absolute;margin-left:368.2pt;margin-top:22.6pt;width:99.45pt;height:64.8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" fillcolor="white [3201]" strokecolor="#8782a8 [1951]" strokeweight="4.5pt">
                <v:textbox>
                  <w:txbxContent>
                    <w:p w14:paraId="0B5CE2C7" w14:textId="77777777" w:rsidR="00D57B66" w:rsidRPr="00F96647" w:rsidRDefault="00D57B66" w:rsidP="00D57B66">
                      <w:pPr>
                        <w:spacing w:before="60" w:after="60"/>
                        <w:rPr>
                          <w:rFonts w:cs="Arial"/>
                          <w:color w:val="000000" w:themeColor="text1"/>
                          <w:sz w:val="20"/>
                          <w:szCs w:val="20"/>
                          <w:lang w:val="en-US"/>
                        </w:rPr>
                      </w:pPr>
                      <w:r>
                        <w:rPr>
                          <w:rFonts w:cs="Arial"/>
                          <w:color w:val="000000" w:themeColor="text1"/>
                          <w:sz w:val="20"/>
                          <w:szCs w:val="20"/>
                          <w:lang w:val="en-US"/>
                        </w:rPr>
                        <w:t>Level 1 input</w:t>
                      </w:r>
                    </w:p>
                  </w:txbxContent>
                </v:textbox>
                <w10:wrap anchorx="margin"/>
              </v:shape>
            </w:pict>
          </mc:Fallback>
        </mc:AlternateContent>
      </w:r>
      <w:r>
        <w:rPr>
          <w:noProof/>
        </w:rPr>
        <mc:AlternateContent>
          <mc:Choice Requires="wps">
            <w:drawing>
              <wp:anchor distT="0" distB="0" distL="114300" distR="114300" simplePos="0" relativeHeight="251658287" behindDoc="0" locked="0" layoutInCell="1" allowOverlap="1" wp14:anchorId="2D461F6B" wp14:editId="76302183">
                <wp:simplePos x="0" y="0"/>
                <wp:positionH relativeFrom="column">
                  <wp:posOffset>3236026</wp:posOffset>
                </wp:positionH>
                <wp:positionV relativeFrom="paragraph">
                  <wp:posOffset>344170</wp:posOffset>
                </wp:positionV>
                <wp:extent cx="593725" cy="284480"/>
                <wp:effectExtent l="0" t="0" r="0" b="1270"/>
                <wp:wrapNone/>
                <wp:docPr id="1961265200"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wps:spPr>
                      <wps:txbx>
                        <w:txbxContent>
                          <w:p w14:paraId="64EE8813" w14:textId="77777777" w:rsidR="00D57B66" w:rsidRDefault="00D57B66" w:rsidP="00D57B66">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61F6B" id="_x0000_s1053" type="#_x0000_t202" style="position:absolute;margin-left:254.8pt;margin-top:27.1pt;width:46.75pt;height:22.4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" filled="f" stroked="f" strokeweight=".5pt">
                <v:textbox>
                  <w:txbxContent>
                    <w:p w14:paraId="64EE8813" w14:textId="77777777" w:rsidR="00D57B66" w:rsidRDefault="00D57B66" w:rsidP="00D57B66">
                      <w:r>
                        <w:t>Yes</w:t>
                      </w:r>
                    </w:p>
                  </w:txbxContent>
                </v:textbox>
              </v:shape>
            </w:pict>
          </mc:Fallback>
        </mc:AlternateContent>
      </w:r>
      <w:r>
        <w:rPr>
          <w:noProof/>
        </w:rPr>
        <mc:AlternateContent>
          <mc:Choice Requires="wps">
            <w:drawing>
              <wp:anchor distT="0" distB="0" distL="114300" distR="114300" simplePos="0" relativeHeight="251658288" behindDoc="0" locked="0" layoutInCell="1" allowOverlap="1" wp14:anchorId="2F829008" wp14:editId="3EDC5D0C">
                <wp:simplePos x="0" y="0"/>
                <wp:positionH relativeFrom="margin">
                  <wp:posOffset>2684640</wp:posOffset>
                </wp:positionH>
                <wp:positionV relativeFrom="paragraph">
                  <wp:posOffset>1952328</wp:posOffset>
                </wp:positionV>
                <wp:extent cx="1405989" cy="1793017"/>
                <wp:effectExtent l="19050" t="19050" r="41910" b="36195"/>
                <wp:wrapNone/>
                <wp:docPr id="1620436732" name="Text Box 3"/>
                <wp:cNvGraphicFramePr/>
                <a:graphic xmlns:a="http://schemas.openxmlformats.org/drawingml/2006/main">
                  <a:graphicData uri="http://schemas.microsoft.com/office/word/2010/wordprocessingShape">
                    <wps:wsp>
                      <wps:cNvSpPr txBox="1"/>
                      <wps:spPr>
                        <a:xfrm>
                          <a:off x="0" y="0"/>
                          <a:ext cx="1405989" cy="1793017"/>
                        </a:xfrm>
                        <a:prstGeom prst="rect">
                          <a:avLst/>
                        </a:prstGeom>
                        <a:solidFill>
                          <a:schemeClr val="lt1"/>
                        </a:solidFill>
                        <a:ln w="57150">
                          <a:solidFill>
                            <a:schemeClr val="tx2">
                              <a:lumMod val="60000"/>
                              <a:lumOff val="40000"/>
                            </a:schemeClr>
                          </a:solidFill>
                        </a:ln>
                      </wps:spPr>
                      <wps:txbx>
                        <w:txbxContent>
                          <w:p w14:paraId="18BFBCC1"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 xml:space="preserve">Is an ‘adjustment’ using ‘significant unobservable inputs’ required which ‘is significant to the entire measurement’? </w:t>
                            </w:r>
                          </w:p>
                          <w:p w14:paraId="0EB8FD0D"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(AASB 13:16, par.84)</w:t>
                            </w:r>
                          </w:p>
                          <w:p w14:paraId="69D09364" w14:textId="77777777" w:rsidR="00D57B66" w:rsidRPr="00F96647" w:rsidRDefault="00D57B66" w:rsidP="00D57B66">
                            <w:pPr>
                              <w:spacing w:before="60" w:after="60"/>
                              <w:rPr>
                                <w:rFonts w:cs="Arial"/>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29008" id="_x0000_s1054" type="#_x0000_t202" style="position:absolute;margin-left:211.4pt;margin-top:153.75pt;width:110.7pt;height:141.2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" fillcolor="white [3201]" strokecolor="#8782a8 [1951]" strokeweight="4.5pt">
                <v:textbox>
                  <w:txbxContent>
                    <w:p w14:paraId="18BFBCC1"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 xml:space="preserve">Is an ‘adjustment’ using ‘significant unobservable inputs’ required which ‘is significant to the entire measurement’? </w:t>
                      </w:r>
                    </w:p>
                    <w:p w14:paraId="0EB8FD0D"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(AASB 13:16, par.84)</w:t>
                      </w:r>
                    </w:p>
                    <w:p w14:paraId="69D09364" w14:textId="77777777" w:rsidR="00D57B66" w:rsidRPr="00F96647" w:rsidRDefault="00D57B66" w:rsidP="00D57B66">
                      <w:pPr>
                        <w:spacing w:before="60" w:after="60"/>
                        <w:rPr>
                          <w:rFonts w:cs="Arial"/>
                          <w:color w:val="000000" w:themeColor="text1"/>
                          <w:sz w:val="20"/>
                          <w:szCs w:val="20"/>
                          <w:lang w:val="en-US"/>
                        </w:rPr>
                      </w:pPr>
                    </w:p>
                  </w:txbxContent>
                </v:textbox>
                <w10:wrap anchorx="margin"/>
              </v:shape>
            </w:pict>
          </mc:Fallback>
        </mc:AlternateContent>
      </w:r>
      <w:r>
        <w:rPr>
          <w:noProof/>
        </w:rPr>
        <mc:AlternateContent>
          <mc:Choice Requires="wps">
            <w:drawing>
              <wp:anchor distT="0" distB="0" distL="114300" distR="114300" simplePos="0" relativeHeight="251658286" behindDoc="0" locked="0" layoutInCell="1" allowOverlap="1" wp14:anchorId="26EA5C8B" wp14:editId="43FF65CE">
                <wp:simplePos x="0" y="0"/>
                <wp:positionH relativeFrom="column">
                  <wp:posOffset>1269555</wp:posOffset>
                </wp:positionH>
                <wp:positionV relativeFrom="paragraph">
                  <wp:posOffset>1550035</wp:posOffset>
                </wp:positionV>
                <wp:extent cx="0" cy="403225"/>
                <wp:effectExtent l="76200" t="0" r="57150" b="53975"/>
                <wp:wrapNone/>
                <wp:docPr id="1293168127" name="Straight Arrow Connector 9" descr="Arrow pointing down with no next to it"/>
                <wp:cNvGraphicFramePr/>
                <a:graphic xmlns:a="http://schemas.openxmlformats.org/drawingml/2006/main">
                  <a:graphicData uri="http://schemas.microsoft.com/office/word/2010/wordprocessingShape">
                    <wps:wsp>
                      <wps:cNvCnPr/>
                      <wps:spPr>
                        <a:xfrm>
                          <a:off x="0" y="0"/>
                          <a:ext cx="0" cy="403225"/>
                        </a:xfrm>
                        <a:prstGeom prst="straightConnector1">
                          <a:avLst/>
                        </a:prstGeom>
                        <a:ln>
                          <a:solidFill>
                            <a:schemeClr val="tx2">
                              <a:lumMod val="60000"/>
                              <a:lumOff val="4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E6DFAF7" id="Straight Arrow Connector 9" o:spid="_x0000_s1026" type="#_x0000_t32" alt="Arrow pointing down with no next to it" style="position:absolute;margin-left:99.95pt;margin-top:122.05pt;width:0;height:31.75pt;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" strokecolor="#8782a8 [1951]" strokeweight="2pt">
                <v:stroke endarrow="block"/>
              </v:shape>
            </w:pict>
          </mc:Fallback>
        </mc:AlternateContent>
      </w:r>
      <w:r>
        <w:rPr>
          <w:noProof/>
        </w:rPr>
        <mc:AlternateContent>
          <mc:Choice Requires="wps">
            <w:drawing>
              <wp:anchor distT="0" distB="0" distL="114300" distR="114300" simplePos="0" relativeHeight="251658283" behindDoc="0" locked="0" layoutInCell="1" allowOverlap="1" wp14:anchorId="2B8E8425" wp14:editId="15703D1C">
                <wp:simplePos x="0" y="0"/>
                <wp:positionH relativeFrom="margin">
                  <wp:posOffset>837120</wp:posOffset>
                </wp:positionH>
                <wp:positionV relativeFrom="paragraph">
                  <wp:posOffset>1595120</wp:posOffset>
                </wp:positionV>
                <wp:extent cx="593725" cy="284480"/>
                <wp:effectExtent l="0" t="0" r="0" b="1270"/>
                <wp:wrapNone/>
                <wp:docPr id="797013238" name="Text Box 6"/>
                <wp:cNvGraphicFramePr/>
                <a:graphic xmlns:a="http://schemas.openxmlformats.org/drawingml/2006/main">
                  <a:graphicData uri="http://schemas.microsoft.com/office/word/2010/wordprocessingShape">
                    <wps:wsp>
                      <wps:cNvSpPr txBox="1"/>
                      <wps:spPr>
                        <a:xfrm>
                          <a:off x="0" y="0"/>
                          <a:ext cx="593725" cy="284480"/>
                        </a:xfrm>
                        <a:prstGeom prst="rect">
                          <a:avLst/>
                        </a:prstGeom>
                        <a:noFill/>
                        <a:ln w="6350">
                          <a:noFill/>
                        </a:ln>
                        <a:effectLst/>
                      </wps:spPr>
                      <wps:txbx>
                        <w:txbxContent>
                          <w:p w14:paraId="59C1CCCB" w14:textId="77777777" w:rsidR="00D57B66" w:rsidRDefault="00D57B66" w:rsidP="00D57B6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E8425" id="_x0000_s1055" type="#_x0000_t202" style="position:absolute;margin-left:65.9pt;margin-top:125.6pt;width:46.75pt;height:22.4pt;z-index:25165828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" filled="f" stroked="f" strokeweight=".5pt">
                <v:textbox>
                  <w:txbxContent>
                    <w:p w14:paraId="59C1CCCB" w14:textId="77777777" w:rsidR="00D57B66" w:rsidRDefault="00D57B66" w:rsidP="00D57B66">
                      <w:r>
                        <w:t>No</w:t>
                      </w:r>
                    </w:p>
                  </w:txbxContent>
                </v:textbox>
                <w10:wrap anchorx="margin"/>
              </v:shape>
            </w:pict>
          </mc:Fallback>
        </mc:AlternateContent>
      </w:r>
      <w:r>
        <w:rPr>
          <w:noProof/>
        </w:rPr>
        <mc:AlternateContent>
          <mc:Choice Requires="wps">
            <w:drawing>
              <wp:anchor distT="0" distB="0" distL="114300" distR="114300" simplePos="0" relativeHeight="251658282" behindDoc="0" locked="0" layoutInCell="1" allowOverlap="1" wp14:anchorId="0DE52175" wp14:editId="2A414784">
                <wp:simplePos x="0" y="0"/>
                <wp:positionH relativeFrom="margin">
                  <wp:posOffset>124650</wp:posOffset>
                </wp:positionH>
                <wp:positionV relativeFrom="paragraph">
                  <wp:posOffset>48895</wp:posOffset>
                </wp:positionV>
                <wp:extent cx="2058670" cy="1322705"/>
                <wp:effectExtent l="19050" t="19050" r="36830" b="29845"/>
                <wp:wrapNone/>
                <wp:docPr id="330299618" name="Text Box 3"/>
                <wp:cNvGraphicFramePr/>
                <a:graphic xmlns:a="http://schemas.openxmlformats.org/drawingml/2006/main">
                  <a:graphicData uri="http://schemas.microsoft.com/office/word/2010/wordprocessingShape">
                    <wps:wsp>
                      <wps:cNvSpPr txBox="1"/>
                      <wps:spPr>
                        <a:xfrm>
                          <a:off x="0" y="0"/>
                          <a:ext cx="2058670" cy="1322705"/>
                        </a:xfrm>
                        <a:prstGeom prst="rect">
                          <a:avLst/>
                        </a:prstGeom>
                        <a:solidFill>
                          <a:schemeClr val="lt1"/>
                        </a:solidFill>
                        <a:ln w="57150">
                          <a:solidFill>
                            <a:schemeClr val="tx2">
                              <a:lumMod val="60000"/>
                              <a:lumOff val="40000"/>
                            </a:schemeClr>
                          </a:solidFill>
                        </a:ln>
                      </wps:spPr>
                      <wps:txbx>
                        <w:txbxContent>
                          <w:p w14:paraId="2845F001"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Is a ‘quoted price’ in an ‘active market ‘for an ‘identical asset’ accessible ‘at the measurement date’?</w:t>
                            </w:r>
                          </w:p>
                          <w:p w14:paraId="1E15166E" w14:textId="77777777" w:rsidR="00D57B66" w:rsidRPr="00F96647"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(AASB 13:15, par.76)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52175" id="_x0000_s1056" type="#_x0000_t202" style="position:absolute;margin-left:9.8pt;margin-top:3.85pt;width:162.1pt;height:104.1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" fillcolor="white [3201]" strokecolor="#8782a8 [1951]" strokeweight="4.5pt">
                <v:textbox>
                  <w:txbxContent>
                    <w:p w14:paraId="2845F001" w14:textId="77777777" w:rsidR="00D57B66" w:rsidRPr="00133166"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Is a ‘quoted price’ in an ‘active market ‘for an ‘identical asset’ accessible ‘at the measurement date’?</w:t>
                      </w:r>
                    </w:p>
                    <w:p w14:paraId="1E15166E" w14:textId="77777777" w:rsidR="00D57B66" w:rsidRPr="00F96647" w:rsidRDefault="00D57B66" w:rsidP="00D57B66">
                      <w:pPr>
                        <w:spacing w:before="60" w:after="60"/>
                        <w:rPr>
                          <w:rFonts w:cs="Arial"/>
                          <w:color w:val="000000" w:themeColor="text1"/>
                          <w:sz w:val="20"/>
                          <w:szCs w:val="20"/>
                          <w:lang w:val="en-US"/>
                        </w:rPr>
                      </w:pPr>
                      <w:r w:rsidRPr="00133166">
                        <w:rPr>
                          <w:rFonts w:cs="Arial"/>
                          <w:color w:val="000000" w:themeColor="text1"/>
                          <w:sz w:val="20"/>
                          <w:szCs w:val="20"/>
                          <w:lang w:val="en-US"/>
                        </w:rPr>
                        <w:t>(AASB 13:15, par.76)</w:t>
                      </w:r>
                    </w:p>
                  </w:txbxContent>
                </v:textbox>
                <w10:wrap anchorx="margin"/>
              </v:shape>
            </w:pict>
          </mc:Fallback>
        </mc:AlternateContent>
      </w:r>
    </w:p>
    <w:p w14:paraId="365A094B" w14:textId="6A683CF3" w:rsidR="00E04CE9" w:rsidRPr="00133166" w:rsidRDefault="00E04CE9" w:rsidP="00E04CE9">
      <w:pPr>
        <w:spacing w:before="60" w:after="60"/>
        <w:rPr>
          <w:rFonts w:cs="Arial"/>
          <w:color w:val="000000"/>
          <w:sz w:val="20"/>
          <w:szCs w:val="20"/>
        </w:rPr>
      </w:pPr>
    </w:p>
    <w:p w14:paraId="40E472D9" w14:textId="77777777" w:rsidR="00E04CE9" w:rsidRPr="00133166" w:rsidRDefault="00E04CE9" w:rsidP="00D57B66">
      <w:pPr>
        <w:spacing w:before="60" w:after="60"/>
        <w:rPr>
          <w:rFonts w:cs="Arial"/>
          <w:color w:val="000000"/>
          <w:sz w:val="20"/>
          <w:szCs w:val="20"/>
        </w:rPr>
      </w:pPr>
    </w:p>
    <w:bookmarkEnd w:id="101"/>
    <w:p w14:paraId="1716BC76" w14:textId="77777777" w:rsidR="00E04CE9" w:rsidRPr="00133166" w:rsidRDefault="00E04CE9" w:rsidP="00E04CE9">
      <w:pPr>
        <w:spacing w:after="160" w:line="278" w:lineRule="auto"/>
        <w:rPr>
          <w:rFonts w:cs="Arial"/>
          <w:sz w:val="20"/>
          <w:szCs w:val="20"/>
        </w:rPr>
      </w:pPr>
    </w:p>
    <w:p w14:paraId="5E48B53C" w14:textId="77777777" w:rsidR="00E04CE9" w:rsidRPr="0008465F" w:rsidRDefault="00E04CE9" w:rsidP="00E04CE9">
      <w:pPr>
        <w:spacing w:after="160" w:line="278" w:lineRule="auto"/>
        <w:rPr>
          <w:rFonts w:cs="Arial"/>
        </w:rPr>
      </w:pPr>
    </w:p>
    <w:p w14:paraId="5DBE6883" w14:textId="77777777" w:rsidR="00D57B66" w:rsidRDefault="00D57B66" w:rsidP="00D70B5C">
      <w:pPr>
        <w:pStyle w:val="BodyText"/>
      </w:pPr>
    </w:p>
    <w:p w14:paraId="55FA223A" w14:textId="77777777" w:rsidR="00D57B66" w:rsidRDefault="00D57B66" w:rsidP="00D70B5C">
      <w:pPr>
        <w:pStyle w:val="BodyText"/>
      </w:pPr>
    </w:p>
    <w:p w14:paraId="20E2D24E" w14:textId="77777777" w:rsidR="00D57B66" w:rsidRDefault="00D57B66" w:rsidP="00D70B5C">
      <w:pPr>
        <w:pStyle w:val="BodyText"/>
      </w:pPr>
    </w:p>
    <w:p w14:paraId="1B3985B9" w14:textId="77777777" w:rsidR="00D57B66" w:rsidRDefault="00D57B66" w:rsidP="00D70B5C">
      <w:pPr>
        <w:pStyle w:val="BodyText"/>
      </w:pPr>
    </w:p>
    <w:p w14:paraId="1DD6EF7F" w14:textId="77777777" w:rsidR="00D57B66" w:rsidRDefault="00D57B66" w:rsidP="00D70B5C">
      <w:pPr>
        <w:pStyle w:val="BodyText"/>
      </w:pPr>
    </w:p>
    <w:p w14:paraId="621543F5" w14:textId="77777777" w:rsidR="00D57B66" w:rsidRDefault="00D57B66" w:rsidP="00D70B5C">
      <w:pPr>
        <w:pStyle w:val="BodyText"/>
      </w:pPr>
    </w:p>
    <w:p w14:paraId="2EC8C43B" w14:textId="77777777" w:rsidR="00D57B66" w:rsidRDefault="00D57B66" w:rsidP="00D70B5C">
      <w:pPr>
        <w:pStyle w:val="BodyText"/>
      </w:pPr>
    </w:p>
    <w:p w14:paraId="2ED6D10F" w14:textId="77777777" w:rsidR="00D57B66" w:rsidRDefault="00D57B66" w:rsidP="00D70B5C">
      <w:pPr>
        <w:pStyle w:val="BodyText"/>
      </w:pPr>
    </w:p>
    <w:p w14:paraId="013C5928" w14:textId="77777777" w:rsidR="00D57B66" w:rsidRDefault="00D57B66" w:rsidP="00D70B5C">
      <w:pPr>
        <w:pStyle w:val="BodyText"/>
      </w:pPr>
    </w:p>
    <w:p w14:paraId="37851442" w14:textId="77777777" w:rsidR="00D57B66" w:rsidRDefault="00D57B66" w:rsidP="00D70B5C">
      <w:pPr>
        <w:pStyle w:val="BodyText"/>
      </w:pPr>
    </w:p>
    <w:p w14:paraId="6F89409F" w14:textId="77777777" w:rsidR="00D57B66" w:rsidRDefault="00D57B66" w:rsidP="00D70B5C">
      <w:pPr>
        <w:pStyle w:val="BodyText"/>
      </w:pPr>
    </w:p>
    <w:p w14:paraId="1B4510B1" w14:textId="77777777" w:rsidR="00D57B66" w:rsidRDefault="00D57B66" w:rsidP="00D70B5C">
      <w:pPr>
        <w:pStyle w:val="BodyText"/>
      </w:pPr>
    </w:p>
    <w:p w14:paraId="24A42976" w14:textId="77777777" w:rsidR="00D57B66" w:rsidRDefault="00D57B66" w:rsidP="00D70B5C">
      <w:pPr>
        <w:pStyle w:val="BodyText"/>
      </w:pPr>
    </w:p>
    <w:p w14:paraId="6DF4033A" w14:textId="77777777" w:rsidR="00D57B66" w:rsidRDefault="00D57B66" w:rsidP="00D70B5C">
      <w:pPr>
        <w:pStyle w:val="BodyText"/>
      </w:pPr>
    </w:p>
    <w:p w14:paraId="6B1ADBBE" w14:textId="77777777" w:rsidR="00D57B66" w:rsidRDefault="00D57B66" w:rsidP="00D70B5C">
      <w:pPr>
        <w:pStyle w:val="BodyText"/>
      </w:pPr>
    </w:p>
    <w:p w14:paraId="265DABBF" w14:textId="690E77E8" w:rsidR="00E04CE9" w:rsidRPr="0008465F" w:rsidRDefault="00E04CE9" w:rsidP="00D70B5C">
      <w:pPr>
        <w:pStyle w:val="BodyText"/>
      </w:pPr>
      <w:r w:rsidRPr="0008465F">
        <w:t>Note:</w:t>
      </w:r>
    </w:p>
    <w:p w14:paraId="729275E8" w14:textId="77777777" w:rsidR="00E04CE9" w:rsidRPr="0008465F" w:rsidRDefault="00E04CE9" w:rsidP="00D70B5C">
      <w:pPr>
        <w:pStyle w:val="BodyText"/>
      </w:pPr>
      <w:r w:rsidRPr="0008465F">
        <w:t>Level 1 and level 2 inputs are available in the public domain (while ‘unobservable inputs’ are not).</w:t>
      </w:r>
    </w:p>
    <w:p w14:paraId="77C235F8" w14:textId="69382B15" w:rsidR="00E04CE9" w:rsidRPr="0008465F" w:rsidRDefault="00E04CE9" w:rsidP="00D70B5C">
      <w:pPr>
        <w:pStyle w:val="BodyText"/>
      </w:pPr>
      <w:r w:rsidRPr="0008465F">
        <w:t xml:space="preserve">Level 3 inputs are based on assumptions </w:t>
      </w:r>
      <w:r w:rsidR="00917705">
        <w:t>regarding</w:t>
      </w:r>
      <w:r w:rsidRPr="0008465F">
        <w:t xml:space="preserve"> future values and patterns of consumption utilising current information. If the basis of these assumptions were varied, they have the potential to result in a significantly higher or lower fair value measurement.</w:t>
      </w:r>
    </w:p>
    <w:p w14:paraId="2B181C9A" w14:textId="77777777" w:rsidR="004D07D2" w:rsidRDefault="004D07D2">
      <w:pPr>
        <w:spacing w:after="0" w:line="240" w:lineRule="auto"/>
        <w:rPr>
          <w:rFonts w:cs="Arial"/>
          <w:lang w:val="en-GB"/>
        </w:rPr>
      </w:pPr>
      <w:r>
        <w:br w:type="page"/>
      </w:r>
    </w:p>
    <w:p w14:paraId="1FC09990" w14:textId="77777777" w:rsidR="000044FF" w:rsidRPr="00276712" w:rsidRDefault="000044FF" w:rsidP="00DB67A5">
      <w:pPr>
        <w:pStyle w:val="Heading2"/>
      </w:pPr>
      <w:bookmarkStart w:id="102" w:name="_Toc207722751"/>
      <w:bookmarkStart w:id="103" w:name="_Toc223445084"/>
      <w:r w:rsidRPr="00276712">
        <w:lastRenderedPageBreak/>
        <w:t>AASB 116 Property, Plant and Equipment (2022)</w:t>
      </w:r>
      <w:bookmarkEnd w:id="102"/>
      <w:bookmarkEnd w:id="103"/>
    </w:p>
    <w:p w14:paraId="3ACFE149" w14:textId="77777777" w:rsidR="000044FF" w:rsidRPr="00276712" w:rsidRDefault="000044FF" w:rsidP="00ED4BA9">
      <w:pPr>
        <w:pStyle w:val="Heading4"/>
      </w:pPr>
      <w:r w:rsidRPr="00276712">
        <w:t>Definition</w:t>
      </w:r>
    </w:p>
    <w:p w14:paraId="54027B4B" w14:textId="77777777" w:rsidR="000044FF" w:rsidRPr="00276712" w:rsidRDefault="000044FF" w:rsidP="00D70B5C">
      <w:pPr>
        <w:pStyle w:val="BodyText"/>
      </w:pPr>
      <w:r w:rsidRPr="00276712">
        <w:t>AASB 116 Property, Plant and Equipment (2022) defines property, plant and equipment as follows:</w:t>
      </w:r>
    </w:p>
    <w:tbl>
      <w:tblPr>
        <w:tblStyle w:val="TableGrid"/>
        <w:tblW w:w="9639" w:type="dxa"/>
        <w:tblLayout w:type="fixed"/>
        <w:tblLook w:val="06A0" w:firstRow="1" w:lastRow="0" w:firstColumn="1" w:lastColumn="0" w:noHBand="1" w:noVBand="1"/>
      </w:tblPr>
      <w:tblGrid>
        <w:gridCol w:w="9639"/>
      </w:tblGrid>
      <w:tr w:rsidR="000044FF" w:rsidRPr="00276712" w14:paraId="191B27B7" w14:textId="77777777">
        <w:trPr>
          <w:trHeight w:val="300"/>
          <w:tblHeader/>
        </w:trPr>
        <w:tc>
          <w:tcPr>
            <w:tcW w:w="9639" w:type="dxa"/>
            <w:shd w:val="clear" w:color="auto" w:fill="F2F2F2" w:themeFill="background1" w:themeFillShade="F2"/>
          </w:tcPr>
          <w:p w14:paraId="7E40DAE9" w14:textId="77777777" w:rsidR="000044FF" w:rsidRPr="00661AA9" w:rsidRDefault="000044FF" w:rsidP="00661AA9">
            <w:pPr>
              <w:pStyle w:val="TableContent"/>
              <w:rPr>
                <w:b/>
                <w:bCs/>
                <w:sz w:val="24"/>
              </w:rPr>
            </w:pPr>
            <w:r w:rsidRPr="00661AA9">
              <w:rPr>
                <w:b/>
                <w:bCs/>
                <w:sz w:val="24"/>
              </w:rPr>
              <w:t>(AASB 2022: 6)</w:t>
            </w:r>
          </w:p>
        </w:tc>
      </w:tr>
      <w:tr w:rsidR="000044FF" w:rsidRPr="00276712" w14:paraId="3B0EEB55" w14:textId="77777777">
        <w:trPr>
          <w:trHeight w:val="300"/>
        </w:trPr>
        <w:tc>
          <w:tcPr>
            <w:tcW w:w="9639" w:type="dxa"/>
            <w:tcBorders>
              <w:bottom w:val="single" w:sz="4" w:space="0" w:color="auto"/>
            </w:tcBorders>
          </w:tcPr>
          <w:p w14:paraId="41CF4FC0" w14:textId="77777777" w:rsidR="000044FF" w:rsidRPr="00917705" w:rsidRDefault="000044FF" w:rsidP="00AF14EC">
            <w:pPr>
              <w:pStyle w:val="TableContent"/>
              <w:ind w:left="397" w:hanging="397"/>
              <w:rPr>
                <w:sz w:val="24"/>
              </w:rPr>
            </w:pPr>
            <w:r w:rsidRPr="00917705">
              <w:rPr>
                <w:sz w:val="24"/>
              </w:rPr>
              <w:t xml:space="preserve">‘6 The following terms are used in this Standard with the meanings specified: </w:t>
            </w:r>
          </w:p>
          <w:p w14:paraId="49336266" w14:textId="76BC893B" w:rsidR="000044FF" w:rsidRPr="00917705" w:rsidRDefault="000044FF" w:rsidP="00AF14EC">
            <w:pPr>
              <w:pStyle w:val="TableContent"/>
              <w:ind w:left="737" w:hanging="340"/>
              <w:rPr>
                <w:sz w:val="24"/>
              </w:rPr>
            </w:pPr>
            <w:r w:rsidRPr="00917705">
              <w:rPr>
                <w:sz w:val="24"/>
              </w:rPr>
              <w:t>…</w:t>
            </w:r>
            <w:r w:rsidRPr="00917705">
              <w:rPr>
                <w:i/>
                <w:iCs/>
                <w:sz w:val="24"/>
              </w:rPr>
              <w:t>Property, plant and equipment</w:t>
            </w:r>
            <w:r w:rsidRPr="00917705">
              <w:rPr>
                <w:sz w:val="24"/>
              </w:rPr>
              <w:t xml:space="preserve"> are tangible items that: </w:t>
            </w:r>
          </w:p>
          <w:p w14:paraId="5352C13D" w14:textId="77777777" w:rsidR="000044FF" w:rsidRPr="00917705" w:rsidRDefault="000044FF" w:rsidP="00AF14EC">
            <w:pPr>
              <w:pStyle w:val="TableContent"/>
              <w:ind w:left="737" w:hanging="397"/>
              <w:rPr>
                <w:sz w:val="24"/>
              </w:rPr>
            </w:pPr>
            <w:r w:rsidRPr="00917705">
              <w:rPr>
                <w:sz w:val="24"/>
              </w:rPr>
              <w:t xml:space="preserve">(a) are held for use in the production or supply of goods or services, for rental to others, or for administrative purposes; and </w:t>
            </w:r>
          </w:p>
          <w:p w14:paraId="28CC275D" w14:textId="77777777" w:rsidR="000044FF" w:rsidRPr="00661AA9" w:rsidRDefault="000044FF" w:rsidP="00AF14EC">
            <w:pPr>
              <w:pStyle w:val="TableContent"/>
              <w:ind w:left="737" w:hanging="397"/>
              <w:rPr>
                <w:sz w:val="24"/>
              </w:rPr>
            </w:pPr>
            <w:r w:rsidRPr="00917705">
              <w:rPr>
                <w:sz w:val="24"/>
              </w:rPr>
              <w:t>(b) are expected to be used during more than one period.’</w:t>
            </w:r>
          </w:p>
        </w:tc>
      </w:tr>
      <w:tr w:rsidR="000044FF" w:rsidRPr="00C25D79" w14:paraId="7871740E" w14:textId="77777777">
        <w:trPr>
          <w:trHeight w:val="300"/>
        </w:trPr>
        <w:tc>
          <w:tcPr>
            <w:tcW w:w="9639" w:type="dxa"/>
            <w:shd w:val="clear" w:color="auto" w:fill="F2F2F2" w:themeFill="background1" w:themeFillShade="F2"/>
          </w:tcPr>
          <w:p w14:paraId="4666FFD5" w14:textId="77777777" w:rsidR="000044FF" w:rsidRPr="00661AA9" w:rsidRDefault="000044FF" w:rsidP="00661AA9">
            <w:pPr>
              <w:pStyle w:val="TableContent"/>
              <w:rPr>
                <w:b/>
                <w:bCs/>
                <w:i/>
                <w:iCs/>
                <w:sz w:val="24"/>
              </w:rPr>
            </w:pPr>
            <w:r w:rsidRPr="00661AA9">
              <w:rPr>
                <w:b/>
                <w:bCs/>
                <w:sz w:val="24"/>
              </w:rPr>
              <w:t>Interpretation (AASB 2022: 6)</w:t>
            </w:r>
          </w:p>
        </w:tc>
      </w:tr>
      <w:tr w:rsidR="000044FF" w:rsidRPr="00276712" w14:paraId="116FAB23" w14:textId="77777777">
        <w:trPr>
          <w:trHeight w:val="300"/>
        </w:trPr>
        <w:tc>
          <w:tcPr>
            <w:tcW w:w="9639" w:type="dxa"/>
          </w:tcPr>
          <w:p w14:paraId="337E2995" w14:textId="77777777" w:rsidR="000044FF" w:rsidRPr="00661AA9" w:rsidRDefault="000044FF" w:rsidP="00661AA9">
            <w:pPr>
              <w:pStyle w:val="TableContent"/>
              <w:rPr>
                <w:sz w:val="24"/>
              </w:rPr>
            </w:pPr>
            <w:r w:rsidRPr="00661AA9">
              <w:rPr>
                <w:sz w:val="24"/>
              </w:rPr>
              <w:t>Items of property, plant and equipment are non-financial assets as such items are:</w:t>
            </w:r>
          </w:p>
          <w:p w14:paraId="0A0E1392" w14:textId="77777777" w:rsidR="000044FF" w:rsidRPr="00661AA9" w:rsidRDefault="000044FF">
            <w:pPr>
              <w:pStyle w:val="TableContent"/>
              <w:numPr>
                <w:ilvl w:val="0"/>
                <w:numId w:val="87"/>
              </w:numPr>
              <w:rPr>
                <w:sz w:val="24"/>
              </w:rPr>
            </w:pPr>
            <w:r w:rsidRPr="00661AA9">
              <w:rPr>
                <w:sz w:val="24"/>
              </w:rPr>
              <w:t>physical in nature</w:t>
            </w:r>
          </w:p>
          <w:p w14:paraId="591184BB" w14:textId="77777777" w:rsidR="000044FF" w:rsidRPr="00661AA9" w:rsidRDefault="000044FF">
            <w:pPr>
              <w:pStyle w:val="TableContent"/>
              <w:numPr>
                <w:ilvl w:val="0"/>
                <w:numId w:val="87"/>
              </w:numPr>
              <w:rPr>
                <w:sz w:val="24"/>
              </w:rPr>
            </w:pPr>
            <w:r w:rsidRPr="00661AA9">
              <w:rPr>
                <w:sz w:val="24"/>
              </w:rPr>
              <w:t>used to achieve the entity’s objective – not to generate net cash inflows</w:t>
            </w:r>
          </w:p>
          <w:p w14:paraId="101DD8B9" w14:textId="2AD9C403" w:rsidR="000044FF" w:rsidRPr="00661AA9" w:rsidRDefault="000044FF">
            <w:pPr>
              <w:pStyle w:val="TableContent"/>
              <w:numPr>
                <w:ilvl w:val="0"/>
                <w:numId w:val="87"/>
              </w:numPr>
              <w:rPr>
                <w:sz w:val="24"/>
              </w:rPr>
            </w:pPr>
            <w:r w:rsidRPr="00661AA9">
              <w:rPr>
                <w:sz w:val="24"/>
              </w:rPr>
              <w:t>at recognition, ‘expected to be used during more than one period’</w:t>
            </w:r>
            <w:r w:rsidR="00917705">
              <w:rPr>
                <w:sz w:val="24"/>
              </w:rPr>
              <w:t>;</w:t>
            </w:r>
            <w:r w:rsidRPr="00661AA9">
              <w:rPr>
                <w:sz w:val="24"/>
              </w:rPr>
              <w:t xml:space="preserve"> </w:t>
            </w:r>
            <w:r w:rsidRPr="00ED4BA9">
              <w:rPr>
                <w:sz w:val="24"/>
              </w:rPr>
              <w:t>and</w:t>
            </w:r>
          </w:p>
          <w:p w14:paraId="640FDC10" w14:textId="77777777" w:rsidR="000044FF" w:rsidRPr="00661AA9" w:rsidRDefault="000044FF">
            <w:pPr>
              <w:pStyle w:val="TableContent"/>
              <w:numPr>
                <w:ilvl w:val="0"/>
                <w:numId w:val="87"/>
              </w:numPr>
              <w:rPr>
                <w:sz w:val="24"/>
              </w:rPr>
            </w:pPr>
            <w:r w:rsidRPr="00661AA9">
              <w:rPr>
                <w:sz w:val="24"/>
              </w:rPr>
              <w:t>not traded in financial markets.</w:t>
            </w:r>
          </w:p>
          <w:p w14:paraId="4F7A4E1E" w14:textId="77777777" w:rsidR="000044FF" w:rsidRPr="00661AA9" w:rsidRDefault="000044FF" w:rsidP="00661AA9">
            <w:pPr>
              <w:pStyle w:val="TableContent"/>
              <w:rPr>
                <w:sz w:val="24"/>
              </w:rPr>
            </w:pPr>
            <w:r w:rsidRPr="00661AA9">
              <w:rPr>
                <w:sz w:val="24"/>
              </w:rPr>
              <w:t xml:space="preserve">AASB 116 Property, Plant and Equipment (2022) interfaces with several other AAS, including: </w:t>
            </w:r>
          </w:p>
          <w:p w14:paraId="2213BBDA" w14:textId="7F416055" w:rsidR="000044FF" w:rsidRPr="00ED4BA9" w:rsidRDefault="000044FF">
            <w:pPr>
              <w:pStyle w:val="TableContent"/>
              <w:numPr>
                <w:ilvl w:val="0"/>
                <w:numId w:val="88"/>
              </w:numPr>
              <w:rPr>
                <w:sz w:val="24"/>
              </w:rPr>
            </w:pPr>
            <w:r w:rsidRPr="00661AA9">
              <w:rPr>
                <w:sz w:val="24"/>
              </w:rPr>
              <w:t>AASB 140 Investment Property (2022); ‘owner-occupied property’ is an item of property, and should not be accounted for in terms of AASB140 (AASB 140 2022: 6, par. 9(c))</w:t>
            </w:r>
            <w:r w:rsidR="00917705">
              <w:rPr>
                <w:sz w:val="24"/>
              </w:rPr>
              <w:t>;</w:t>
            </w:r>
            <w:r w:rsidRPr="00661AA9">
              <w:rPr>
                <w:sz w:val="24"/>
                <w:vertAlign w:val="superscript"/>
              </w:rPr>
              <w:t xml:space="preserve"> </w:t>
            </w:r>
            <w:r w:rsidRPr="00ED4BA9">
              <w:rPr>
                <w:sz w:val="24"/>
              </w:rPr>
              <w:t>and</w:t>
            </w:r>
          </w:p>
          <w:p w14:paraId="6A1A63B3" w14:textId="0A199465" w:rsidR="000044FF" w:rsidRPr="00661AA9" w:rsidRDefault="000044FF">
            <w:pPr>
              <w:pStyle w:val="TableContent"/>
              <w:numPr>
                <w:ilvl w:val="0"/>
                <w:numId w:val="88"/>
              </w:numPr>
              <w:rPr>
                <w:i/>
                <w:iCs/>
                <w:color w:val="000000"/>
                <w:sz w:val="24"/>
              </w:rPr>
            </w:pPr>
            <w:r w:rsidRPr="00661AA9">
              <w:rPr>
                <w:sz w:val="24"/>
              </w:rPr>
              <w:t>AASB 1051</w:t>
            </w:r>
            <w:r w:rsidR="00917705">
              <w:rPr>
                <w:sz w:val="24"/>
              </w:rPr>
              <w:t xml:space="preserve"> </w:t>
            </w:r>
            <w:r w:rsidRPr="00661AA9">
              <w:rPr>
                <w:sz w:val="24"/>
              </w:rPr>
              <w:t>Land Under Roads (2020);</w:t>
            </w:r>
            <w:r w:rsidRPr="00661AA9">
              <w:rPr>
                <w:i/>
                <w:iCs/>
                <w:sz w:val="24"/>
              </w:rPr>
              <w:t xml:space="preserve"> ‘</w:t>
            </w:r>
            <w:r w:rsidRPr="00661AA9">
              <w:rPr>
                <w:sz w:val="24"/>
              </w:rPr>
              <w:t>land under roads acquired ‘after the end of the first reporting period ending on or after 31 December 2007’ is an item of property (AASB 1051 2020:6, par.15).</w:t>
            </w:r>
          </w:p>
        </w:tc>
      </w:tr>
    </w:tbl>
    <w:p w14:paraId="040520C8" w14:textId="77777777" w:rsidR="000044FF" w:rsidRPr="00276712" w:rsidRDefault="000044FF" w:rsidP="00ED4BA9">
      <w:pPr>
        <w:pStyle w:val="Heading4"/>
      </w:pPr>
      <w:r w:rsidRPr="00276712">
        <w:t xml:space="preserve">Recognition </w:t>
      </w:r>
    </w:p>
    <w:p w14:paraId="53C73B92" w14:textId="77777777" w:rsidR="000044FF" w:rsidRPr="00276712" w:rsidRDefault="000044FF" w:rsidP="00A526D0">
      <w:pPr>
        <w:spacing w:before="120"/>
        <w:ind w:right="567"/>
        <w:rPr>
          <w:rFonts w:cs="Arial"/>
        </w:rPr>
      </w:pPr>
      <w:r w:rsidRPr="00276712">
        <w:rPr>
          <w:rFonts w:cs="Arial"/>
        </w:rPr>
        <w:t>AASB 116 Property, Plant and Equipment (2022)</w:t>
      </w:r>
      <w:r w:rsidRPr="00276712">
        <w:rPr>
          <w:rFonts w:cs="Arial"/>
          <w:vertAlign w:val="superscript"/>
        </w:rPr>
        <w:t xml:space="preserve"> </w:t>
      </w:r>
      <w:r w:rsidRPr="00276712">
        <w:rPr>
          <w:rFonts w:cs="Arial"/>
        </w:rPr>
        <w:t xml:space="preserve">states regarding recognition of such items: </w:t>
      </w:r>
    </w:p>
    <w:tbl>
      <w:tblPr>
        <w:tblStyle w:val="TableGrid"/>
        <w:tblW w:w="9644" w:type="dxa"/>
        <w:tblInd w:w="-5" w:type="dxa"/>
        <w:tblLayout w:type="fixed"/>
        <w:tblLook w:val="06A0" w:firstRow="1" w:lastRow="0" w:firstColumn="1" w:lastColumn="0" w:noHBand="1" w:noVBand="1"/>
      </w:tblPr>
      <w:tblGrid>
        <w:gridCol w:w="9644"/>
      </w:tblGrid>
      <w:tr w:rsidR="000044FF" w:rsidRPr="00276712" w14:paraId="051903BD" w14:textId="77777777" w:rsidTr="00044845">
        <w:trPr>
          <w:trHeight w:val="300"/>
        </w:trPr>
        <w:tc>
          <w:tcPr>
            <w:tcW w:w="9644" w:type="dxa"/>
            <w:shd w:val="clear" w:color="auto" w:fill="F2F2F2" w:themeFill="background1" w:themeFillShade="F2"/>
          </w:tcPr>
          <w:p w14:paraId="1D45429B" w14:textId="77777777" w:rsidR="000044FF" w:rsidRPr="00C25D79" w:rsidRDefault="000044FF">
            <w:pPr>
              <w:spacing w:before="60" w:after="60"/>
              <w:rPr>
                <w:rFonts w:cs="Arial"/>
                <w:b/>
                <w:bCs/>
                <w:sz w:val="24"/>
              </w:rPr>
            </w:pPr>
            <w:r w:rsidRPr="00C25D79">
              <w:rPr>
                <w:rFonts w:cs="Arial"/>
                <w:b/>
                <w:bCs/>
                <w:sz w:val="24"/>
              </w:rPr>
              <w:t>(AASB 2022: 6)</w:t>
            </w:r>
          </w:p>
        </w:tc>
      </w:tr>
      <w:tr w:rsidR="000044FF" w:rsidRPr="00276712" w14:paraId="2CE5356F" w14:textId="77777777">
        <w:trPr>
          <w:trHeight w:val="300"/>
        </w:trPr>
        <w:tc>
          <w:tcPr>
            <w:tcW w:w="9644" w:type="dxa"/>
            <w:tcBorders>
              <w:bottom w:val="single" w:sz="4" w:space="0" w:color="auto"/>
            </w:tcBorders>
          </w:tcPr>
          <w:p w14:paraId="2BB10B74" w14:textId="6455D51D" w:rsidR="000044FF" w:rsidRPr="00917705" w:rsidRDefault="000044FF" w:rsidP="00D248FB">
            <w:pPr>
              <w:autoSpaceDE w:val="0"/>
              <w:autoSpaceDN w:val="0"/>
              <w:adjustRightInd w:val="0"/>
              <w:spacing w:before="60" w:after="60"/>
              <w:ind w:left="340" w:hanging="340"/>
              <w:rPr>
                <w:rFonts w:cs="Arial"/>
                <w:color w:val="000000"/>
                <w:sz w:val="24"/>
              </w:rPr>
            </w:pPr>
            <w:r w:rsidRPr="00917705">
              <w:rPr>
                <w:rFonts w:cs="Arial"/>
                <w:i/>
                <w:iCs/>
                <w:color w:val="000000"/>
                <w:sz w:val="24"/>
              </w:rPr>
              <w:t xml:space="preserve">‘7 </w:t>
            </w:r>
            <w:r w:rsidRPr="00917705">
              <w:rPr>
                <w:rFonts w:cs="Arial"/>
                <w:color w:val="000000"/>
                <w:sz w:val="24"/>
              </w:rPr>
              <w:t xml:space="preserve">The cost of an item of property, plant and equipment shall be recognised as an asset if, and only if: </w:t>
            </w:r>
          </w:p>
          <w:p w14:paraId="421137E8" w14:textId="71269311" w:rsidR="000044FF" w:rsidRPr="00917705" w:rsidRDefault="000044FF">
            <w:pPr>
              <w:autoSpaceDE w:val="0"/>
              <w:autoSpaceDN w:val="0"/>
              <w:adjustRightInd w:val="0"/>
              <w:spacing w:before="60" w:after="60"/>
              <w:ind w:left="681" w:hanging="284"/>
              <w:rPr>
                <w:rFonts w:cs="Arial"/>
                <w:color w:val="000000"/>
                <w:sz w:val="24"/>
              </w:rPr>
            </w:pPr>
            <w:r w:rsidRPr="00917705">
              <w:rPr>
                <w:rFonts w:cs="Arial"/>
                <w:color w:val="000000"/>
                <w:sz w:val="24"/>
              </w:rPr>
              <w:t>(a) it is probable that future economic benefits associated with the item will flow to the entity; and</w:t>
            </w:r>
          </w:p>
          <w:p w14:paraId="299AA629" w14:textId="77777777" w:rsidR="000044FF" w:rsidRPr="00276712" w:rsidRDefault="000044FF">
            <w:pPr>
              <w:autoSpaceDE w:val="0"/>
              <w:autoSpaceDN w:val="0"/>
              <w:adjustRightInd w:val="0"/>
              <w:spacing w:before="60" w:after="60"/>
              <w:ind w:left="681" w:hanging="284"/>
              <w:rPr>
                <w:rFonts w:cs="Arial"/>
                <w:i/>
                <w:iCs/>
                <w:color w:val="000000"/>
                <w:sz w:val="24"/>
              </w:rPr>
            </w:pPr>
            <w:r w:rsidRPr="00917705">
              <w:rPr>
                <w:rFonts w:cs="Arial"/>
                <w:color w:val="000000"/>
                <w:sz w:val="24"/>
              </w:rPr>
              <w:t>(b) the cost of the item can be measured reliably.’</w:t>
            </w:r>
          </w:p>
        </w:tc>
      </w:tr>
      <w:tr w:rsidR="000044FF" w:rsidRPr="00276712" w14:paraId="543DF47C" w14:textId="77777777">
        <w:trPr>
          <w:trHeight w:val="300"/>
          <w:tblHeader/>
        </w:trPr>
        <w:tc>
          <w:tcPr>
            <w:tcW w:w="9644" w:type="dxa"/>
            <w:shd w:val="clear" w:color="auto" w:fill="F2F2F2" w:themeFill="background1" w:themeFillShade="F2"/>
          </w:tcPr>
          <w:p w14:paraId="703FA230" w14:textId="77777777" w:rsidR="000044FF" w:rsidRPr="00044845" w:rsidRDefault="000044FF" w:rsidP="00044845">
            <w:pPr>
              <w:pStyle w:val="TableContent"/>
              <w:rPr>
                <w:b/>
                <w:bCs/>
                <w:sz w:val="24"/>
              </w:rPr>
            </w:pPr>
            <w:r w:rsidRPr="00044845">
              <w:rPr>
                <w:b/>
                <w:bCs/>
                <w:sz w:val="24"/>
              </w:rPr>
              <w:lastRenderedPageBreak/>
              <w:t>Interpretation (AASB 2022: 6)</w:t>
            </w:r>
          </w:p>
        </w:tc>
      </w:tr>
      <w:tr w:rsidR="000044FF" w:rsidRPr="00276712" w14:paraId="1E179AEF" w14:textId="77777777">
        <w:trPr>
          <w:trHeight w:val="300"/>
        </w:trPr>
        <w:tc>
          <w:tcPr>
            <w:tcW w:w="9644" w:type="dxa"/>
          </w:tcPr>
          <w:p w14:paraId="67D92C5C" w14:textId="125E8F61" w:rsidR="000044FF" w:rsidRPr="00044845" w:rsidRDefault="000044FF" w:rsidP="00044845">
            <w:pPr>
              <w:pStyle w:val="TableContent"/>
              <w:rPr>
                <w:sz w:val="24"/>
              </w:rPr>
            </w:pPr>
            <w:r w:rsidRPr="00044845">
              <w:rPr>
                <w:sz w:val="24"/>
              </w:rPr>
              <w:t>For not-for-profit entities</w:t>
            </w:r>
            <w:r w:rsidR="00917705">
              <w:rPr>
                <w:sz w:val="24"/>
              </w:rPr>
              <w:t>,</w:t>
            </w:r>
            <w:r w:rsidRPr="00044845">
              <w:rPr>
                <w:sz w:val="24"/>
              </w:rPr>
              <w:t xml:space="preserve"> the term ‘future economic benefits’ is about using assets ‘to provide goods and services in accordance with the entities’ objectives’ (AASB Framework for the Preparation and Presentation of Financial Statements 2020: 8, par. 54.1)</w:t>
            </w:r>
          </w:p>
          <w:p w14:paraId="1187B42B" w14:textId="77777777" w:rsidR="000044FF" w:rsidRPr="00044845" w:rsidRDefault="000044FF" w:rsidP="00044845">
            <w:pPr>
              <w:pStyle w:val="TableContent"/>
              <w:rPr>
                <w:sz w:val="24"/>
              </w:rPr>
            </w:pPr>
            <w:r w:rsidRPr="00044845">
              <w:rPr>
                <w:sz w:val="24"/>
              </w:rPr>
              <w:t xml:space="preserve">In other words, ‘future economic benefits’ is a wider concept than net cash inflows generated by assets utilised. </w:t>
            </w:r>
          </w:p>
        </w:tc>
      </w:tr>
    </w:tbl>
    <w:p w14:paraId="0A9F76FA" w14:textId="3B349A9D" w:rsidR="000044FF" w:rsidRPr="00D91082" w:rsidRDefault="000044FF" w:rsidP="00ED4BA9">
      <w:pPr>
        <w:pStyle w:val="Heading4"/>
      </w:pPr>
      <w:r w:rsidRPr="00CA73A0">
        <w:t xml:space="preserve">Asset </w:t>
      </w:r>
      <w:r w:rsidR="00D30A4F">
        <w:t>m</w:t>
      </w:r>
      <w:r w:rsidRPr="00CA73A0">
        <w:t xml:space="preserve">easurement at </w:t>
      </w:r>
      <w:r w:rsidR="00D30A4F">
        <w:t>r</w:t>
      </w:r>
      <w:r w:rsidRPr="00CA73A0">
        <w:t>ecognition</w:t>
      </w:r>
    </w:p>
    <w:p w14:paraId="22A4187C" w14:textId="77777777" w:rsidR="000044FF" w:rsidRPr="00C40728" w:rsidRDefault="000044FF" w:rsidP="00D70B5C">
      <w:pPr>
        <w:pStyle w:val="BodyText"/>
        <w:rPr>
          <w:b/>
          <w:bCs/>
        </w:rPr>
      </w:pPr>
      <w:r w:rsidRPr="00C40728">
        <w:t>AASB 116 Property, Plant and Equipment</w:t>
      </w:r>
      <w:r>
        <w:t xml:space="preserve"> (2022)</w:t>
      </w:r>
      <w:r w:rsidRPr="00C40728">
        <w:rPr>
          <w:vertAlign w:val="superscript"/>
        </w:rPr>
        <w:t xml:space="preserve"> </w:t>
      </w:r>
      <w:r w:rsidRPr="00C40728">
        <w:t xml:space="preserve">states regarding </w:t>
      </w:r>
      <w:r>
        <w:t xml:space="preserve">the measurement of such items at recognition: </w:t>
      </w:r>
    </w:p>
    <w:tbl>
      <w:tblPr>
        <w:tblStyle w:val="TableGrid"/>
        <w:tblW w:w="9639" w:type="dxa"/>
        <w:tblLayout w:type="fixed"/>
        <w:tblCellMar>
          <w:right w:w="85" w:type="dxa"/>
        </w:tblCellMar>
        <w:tblLook w:val="06A0" w:firstRow="1" w:lastRow="0" w:firstColumn="1" w:lastColumn="0" w:noHBand="1" w:noVBand="1"/>
      </w:tblPr>
      <w:tblGrid>
        <w:gridCol w:w="9639"/>
      </w:tblGrid>
      <w:tr w:rsidR="000044FF" w:rsidRPr="00C25D79" w14:paraId="5ADC84ED" w14:textId="77777777" w:rsidTr="00D71E5A">
        <w:trPr>
          <w:cantSplit/>
          <w:trHeight w:val="300"/>
        </w:trPr>
        <w:tc>
          <w:tcPr>
            <w:tcW w:w="9639" w:type="dxa"/>
            <w:shd w:val="clear" w:color="auto" w:fill="F2F2F2" w:themeFill="background1" w:themeFillShade="F2"/>
          </w:tcPr>
          <w:p w14:paraId="0C4C015A" w14:textId="77777777" w:rsidR="000044FF" w:rsidRPr="00207E48" w:rsidRDefault="000044FF" w:rsidP="009F5ADD">
            <w:pPr>
              <w:pStyle w:val="TableContent"/>
              <w:rPr>
                <w:b/>
                <w:bCs/>
                <w:sz w:val="24"/>
              </w:rPr>
            </w:pPr>
            <w:r w:rsidRPr="00207E48">
              <w:rPr>
                <w:b/>
                <w:bCs/>
                <w:sz w:val="24"/>
              </w:rPr>
              <w:t>(AASB 2022: 7)</w:t>
            </w:r>
          </w:p>
        </w:tc>
      </w:tr>
      <w:tr w:rsidR="000044FF" w:rsidRPr="00C40728" w14:paraId="6B3FE727" w14:textId="77777777" w:rsidTr="00D71E5A">
        <w:trPr>
          <w:trHeight w:val="300"/>
        </w:trPr>
        <w:tc>
          <w:tcPr>
            <w:tcW w:w="9639" w:type="dxa"/>
            <w:tcBorders>
              <w:bottom w:val="single" w:sz="4" w:space="0" w:color="auto"/>
            </w:tcBorders>
          </w:tcPr>
          <w:p w14:paraId="58E470E2" w14:textId="550DA4E2" w:rsidR="000044FF" w:rsidRPr="00917705" w:rsidRDefault="000044FF" w:rsidP="009F5ADD">
            <w:pPr>
              <w:pStyle w:val="TableContent"/>
              <w:ind w:left="397" w:hanging="397"/>
              <w:rPr>
                <w:color w:val="000000"/>
                <w:sz w:val="24"/>
              </w:rPr>
            </w:pPr>
            <w:r w:rsidRPr="00917705">
              <w:rPr>
                <w:color w:val="000000"/>
                <w:sz w:val="24"/>
              </w:rPr>
              <w:t xml:space="preserve">‘15 An item of property, plant and equipment that qualifies for recognition as an asset shall be measured at its cost. </w:t>
            </w:r>
          </w:p>
          <w:p w14:paraId="4ECB6072" w14:textId="77777777" w:rsidR="000044FF" w:rsidRPr="009F5ADD" w:rsidRDefault="000044FF" w:rsidP="00CA73A0">
            <w:pPr>
              <w:pStyle w:val="TableContent"/>
              <w:ind w:left="1021" w:hanging="1021"/>
              <w:rPr>
                <w:i/>
                <w:iCs/>
                <w:color w:val="000000"/>
                <w:sz w:val="24"/>
              </w:rPr>
            </w:pPr>
            <w:r w:rsidRPr="00917705">
              <w:rPr>
                <w:color w:val="000000"/>
                <w:sz w:val="24"/>
              </w:rPr>
              <w:t xml:space="preserve">Aus15.1 Notwithstanding paragraph 15, </w:t>
            </w:r>
            <w:r w:rsidRPr="00917705">
              <w:rPr>
                <w:i/>
                <w:iCs/>
                <w:color w:val="000000"/>
                <w:sz w:val="24"/>
              </w:rPr>
              <w:t>not-for-profit entities</w:t>
            </w:r>
            <w:r w:rsidRPr="00917705">
              <w:rPr>
                <w:color w:val="000000"/>
                <w:sz w:val="24"/>
              </w:rPr>
              <w:t xml:space="preserve"> shall initially measure the cost of an item of property, plant and equipment at fair value in accordance with AASB 13 </w:t>
            </w:r>
            <w:r w:rsidRPr="00917705">
              <w:rPr>
                <w:i/>
                <w:iCs/>
                <w:color w:val="000000"/>
                <w:sz w:val="24"/>
              </w:rPr>
              <w:t xml:space="preserve">Fair Value Measurement </w:t>
            </w:r>
            <w:r w:rsidRPr="00917705">
              <w:rPr>
                <w:color w:val="000000"/>
                <w:sz w:val="24"/>
              </w:rPr>
              <w:t xml:space="preserve">where the consideration for the asset is significantly less than fair value principally to enable the entity to further its objectives. AASB 1058 </w:t>
            </w:r>
            <w:r w:rsidRPr="00917705">
              <w:rPr>
                <w:i/>
                <w:iCs/>
                <w:color w:val="000000"/>
                <w:sz w:val="24"/>
              </w:rPr>
              <w:t xml:space="preserve">Income of Not-for-Profit Entities </w:t>
            </w:r>
            <w:r w:rsidRPr="00917705">
              <w:rPr>
                <w:color w:val="000000"/>
                <w:sz w:val="24"/>
              </w:rPr>
              <w:t>addresses the recognition of related amounts.’</w:t>
            </w:r>
          </w:p>
        </w:tc>
      </w:tr>
      <w:tr w:rsidR="00B70D89" w:rsidRPr="00C40728" w14:paraId="57158BBD" w14:textId="77777777" w:rsidTr="00D71E5A">
        <w:trPr>
          <w:trHeight w:val="300"/>
        </w:trPr>
        <w:tc>
          <w:tcPr>
            <w:tcW w:w="9639" w:type="dxa"/>
            <w:tcBorders>
              <w:bottom w:val="single" w:sz="4" w:space="0" w:color="000000"/>
            </w:tcBorders>
            <w:shd w:val="clear" w:color="auto" w:fill="F2F2F2" w:themeFill="background1" w:themeFillShade="F2"/>
          </w:tcPr>
          <w:p w14:paraId="6831BC66" w14:textId="70DD4BB8" w:rsidR="00B70D89" w:rsidRPr="00207E48" w:rsidRDefault="00B70D89" w:rsidP="00B70D89">
            <w:pPr>
              <w:pStyle w:val="TableContent"/>
              <w:rPr>
                <w:b/>
                <w:bCs/>
              </w:rPr>
            </w:pPr>
            <w:r w:rsidRPr="00207E48">
              <w:rPr>
                <w:b/>
                <w:bCs/>
                <w:sz w:val="24"/>
              </w:rPr>
              <w:t>Interpretation (AASB 2022: 7)</w:t>
            </w:r>
          </w:p>
        </w:tc>
      </w:tr>
      <w:tr w:rsidR="00B70D89" w:rsidRPr="00C40728" w14:paraId="0EB0E877" w14:textId="77777777" w:rsidTr="00D71E5A">
        <w:trPr>
          <w:trHeight w:val="300"/>
        </w:trPr>
        <w:tc>
          <w:tcPr>
            <w:tcW w:w="9639" w:type="dxa"/>
          </w:tcPr>
          <w:p w14:paraId="74AEB891" w14:textId="77777777" w:rsidR="00B70D89" w:rsidRPr="009F5ADD" w:rsidRDefault="00B70D89" w:rsidP="00B70D89">
            <w:pPr>
              <w:pStyle w:val="TableContent"/>
              <w:rPr>
                <w:rStyle w:val="normaltextrun"/>
                <w:sz w:val="24"/>
              </w:rPr>
            </w:pPr>
            <w:r w:rsidRPr="009F5ADD">
              <w:rPr>
                <w:rStyle w:val="normaltextrun"/>
                <w:sz w:val="24"/>
              </w:rPr>
              <w:t>Paragraph 15:</w:t>
            </w:r>
          </w:p>
          <w:p w14:paraId="6DEB9413" w14:textId="77777777" w:rsidR="00B70D89" w:rsidRPr="009F5ADD" w:rsidRDefault="00B70D89" w:rsidP="00B70D89">
            <w:pPr>
              <w:pStyle w:val="TableContent"/>
              <w:rPr>
                <w:sz w:val="24"/>
              </w:rPr>
            </w:pPr>
            <w:r w:rsidRPr="009F5ADD">
              <w:rPr>
                <w:sz w:val="24"/>
              </w:rPr>
              <w:t xml:space="preserve">The cost of an asset comprises several distinct elements. </w:t>
            </w:r>
          </w:p>
          <w:p w14:paraId="019C916C" w14:textId="77777777" w:rsidR="00B70D89" w:rsidRPr="009F5ADD" w:rsidRDefault="00B70D89" w:rsidP="00B70D89">
            <w:pPr>
              <w:pStyle w:val="TableContent"/>
              <w:rPr>
                <w:rStyle w:val="normaltextrun"/>
                <w:sz w:val="24"/>
              </w:rPr>
            </w:pPr>
            <w:r w:rsidRPr="009F5ADD">
              <w:rPr>
                <w:rStyle w:val="normaltextrun"/>
                <w:sz w:val="24"/>
              </w:rPr>
              <w:t xml:space="preserve">Paragraph Aus15.1: </w:t>
            </w:r>
          </w:p>
          <w:p w14:paraId="6E837ABA" w14:textId="77777777" w:rsidR="00B70D89" w:rsidRPr="009F5ADD" w:rsidRDefault="00B70D89" w:rsidP="00B70D89">
            <w:pPr>
              <w:pStyle w:val="TableContent"/>
              <w:rPr>
                <w:rStyle w:val="normaltextrun"/>
                <w:sz w:val="24"/>
              </w:rPr>
            </w:pPr>
            <w:r w:rsidRPr="009F5ADD">
              <w:rPr>
                <w:rStyle w:val="normaltextrun"/>
                <w:sz w:val="24"/>
              </w:rPr>
              <w:t xml:space="preserve">If a not-for-profit entity: </w:t>
            </w:r>
          </w:p>
          <w:p w14:paraId="45082F00" w14:textId="77777777" w:rsidR="00B70D89" w:rsidRPr="009F5ADD" w:rsidRDefault="00B70D89">
            <w:pPr>
              <w:pStyle w:val="TableContent"/>
              <w:numPr>
                <w:ilvl w:val="0"/>
                <w:numId w:val="89"/>
              </w:numPr>
              <w:rPr>
                <w:rStyle w:val="normaltextrun"/>
                <w:sz w:val="24"/>
              </w:rPr>
            </w:pPr>
            <w:r w:rsidRPr="009F5ADD">
              <w:rPr>
                <w:rStyle w:val="normaltextrun"/>
                <w:sz w:val="24"/>
              </w:rPr>
              <w:t>obtains an item ‘to further its objectives’</w:t>
            </w:r>
          </w:p>
          <w:p w14:paraId="65FFFAEC" w14:textId="3B5FD54F" w:rsidR="00B70D89" w:rsidRPr="00ED4BA9" w:rsidRDefault="00B70D89">
            <w:pPr>
              <w:pStyle w:val="TableContent"/>
              <w:numPr>
                <w:ilvl w:val="0"/>
                <w:numId w:val="89"/>
              </w:numPr>
              <w:rPr>
                <w:rStyle w:val="normaltextrun"/>
                <w:sz w:val="24"/>
              </w:rPr>
            </w:pPr>
            <w:r w:rsidRPr="009F5ADD">
              <w:rPr>
                <w:rStyle w:val="normaltextrun"/>
                <w:sz w:val="24"/>
              </w:rPr>
              <w:t>as a gift or at a nominal cost (significantly less than its fair value)</w:t>
            </w:r>
          </w:p>
          <w:p w14:paraId="469C9849" w14:textId="77777777" w:rsidR="00B70D89" w:rsidRDefault="00B70D89" w:rsidP="00B70D89">
            <w:pPr>
              <w:pStyle w:val="TableContent"/>
              <w:rPr>
                <w:i/>
                <w:iCs/>
                <w:color w:val="000000"/>
                <w:sz w:val="24"/>
              </w:rPr>
            </w:pPr>
            <w:r w:rsidRPr="009F5ADD">
              <w:rPr>
                <w:rStyle w:val="normaltextrun"/>
                <w:sz w:val="24"/>
              </w:rPr>
              <w:t>it shall initially ‘</w:t>
            </w:r>
            <w:r w:rsidRPr="009F5ADD">
              <w:rPr>
                <w:color w:val="000000"/>
                <w:sz w:val="24"/>
              </w:rPr>
              <w:t>measure the cost of the asset at fair value in accordance with AASB 13</w:t>
            </w:r>
            <w:r w:rsidRPr="009F5ADD">
              <w:rPr>
                <w:i/>
                <w:iCs/>
                <w:color w:val="000000"/>
                <w:sz w:val="24"/>
              </w:rPr>
              <w:t xml:space="preserve"> Fair Value Measurement.</w:t>
            </w:r>
            <w:r>
              <w:rPr>
                <w:i/>
                <w:iCs/>
                <w:color w:val="000000"/>
                <w:sz w:val="24"/>
              </w:rPr>
              <w:t>’</w:t>
            </w:r>
          </w:p>
          <w:p w14:paraId="7C3B6C26" w14:textId="4FB9CE09" w:rsidR="00AE6204" w:rsidRPr="00C3071A" w:rsidRDefault="00AE6204" w:rsidP="00B70D89">
            <w:pPr>
              <w:pStyle w:val="TableContent"/>
              <w:rPr>
                <w:b/>
                <w:bCs/>
                <w:sz w:val="24"/>
              </w:rPr>
            </w:pPr>
            <w:r w:rsidRPr="00C3071A">
              <w:rPr>
                <w:sz w:val="24"/>
              </w:rPr>
              <w:t>Sometimes, community land is placed under local government management free-of-charge. Consequently, a local government must on recognition initially measure the cost of the community land at fair value.</w:t>
            </w:r>
          </w:p>
        </w:tc>
      </w:tr>
    </w:tbl>
    <w:p w14:paraId="606AF59D" w14:textId="77777777" w:rsidR="009E1975" w:rsidRDefault="009E1975">
      <w:pPr>
        <w:spacing w:after="0" w:line="240" w:lineRule="auto"/>
        <w:rPr>
          <w:rFonts w:cs="Arial"/>
          <w:b/>
          <w:bCs/>
          <w:color w:val="000000" w:themeColor="text1"/>
        </w:rPr>
      </w:pPr>
      <w:r>
        <w:rPr>
          <w:color w:val="000000" w:themeColor="text1"/>
        </w:rPr>
        <w:br w:type="page"/>
      </w:r>
    </w:p>
    <w:p w14:paraId="09BA4D99" w14:textId="5D342225" w:rsidR="007B5F05" w:rsidRPr="00564F71" w:rsidRDefault="00DA62A4" w:rsidP="009C4E41">
      <w:pPr>
        <w:pStyle w:val="Heading4"/>
      </w:pPr>
      <w:r w:rsidRPr="00564F71">
        <w:lastRenderedPageBreak/>
        <w:t>AASB 116 Property, Plant and Equipment (2022)</w:t>
      </w:r>
      <w:r w:rsidRPr="00564F71">
        <w:rPr>
          <w:vertAlign w:val="superscript"/>
        </w:rPr>
        <w:t xml:space="preserve"> </w:t>
      </w:r>
      <w:r w:rsidRPr="00564F71">
        <w:t xml:space="preserve">states </w:t>
      </w:r>
      <w:r w:rsidR="00564F71" w:rsidRPr="00564F71">
        <w:t>further regarding not-for-profit entities:</w:t>
      </w:r>
    </w:p>
    <w:tbl>
      <w:tblPr>
        <w:tblStyle w:val="TableGrid"/>
        <w:tblW w:w="0" w:type="auto"/>
        <w:tblLook w:val="04A0" w:firstRow="1" w:lastRow="0" w:firstColumn="1" w:lastColumn="0" w:noHBand="0" w:noVBand="1"/>
      </w:tblPr>
      <w:tblGrid>
        <w:gridCol w:w="9607"/>
      </w:tblGrid>
      <w:tr w:rsidR="009E1975" w14:paraId="6546411E" w14:textId="77777777" w:rsidTr="00830B6A">
        <w:tc>
          <w:tcPr>
            <w:tcW w:w="9607" w:type="dxa"/>
            <w:shd w:val="clear" w:color="auto" w:fill="F2F2F2" w:themeFill="background1" w:themeFillShade="F2"/>
          </w:tcPr>
          <w:p w14:paraId="00234CCF" w14:textId="74CD9EA4" w:rsidR="009E1975" w:rsidRPr="006B7555" w:rsidRDefault="009E1975" w:rsidP="00830B6A">
            <w:pPr>
              <w:pStyle w:val="TableContent"/>
              <w:rPr>
                <w:sz w:val="24"/>
              </w:rPr>
            </w:pPr>
            <w:r w:rsidRPr="006B7555">
              <w:rPr>
                <w:b/>
                <w:bCs/>
                <w:sz w:val="24"/>
              </w:rPr>
              <w:t>(AASB 2022: 8)</w:t>
            </w:r>
          </w:p>
        </w:tc>
      </w:tr>
      <w:tr w:rsidR="009E1975" w14:paraId="66D9DAA1" w14:textId="77777777" w:rsidTr="00830B6A">
        <w:tc>
          <w:tcPr>
            <w:tcW w:w="9607" w:type="dxa"/>
            <w:tcBorders>
              <w:bottom w:val="single" w:sz="4" w:space="0" w:color="000000"/>
            </w:tcBorders>
          </w:tcPr>
          <w:p w14:paraId="533D0446" w14:textId="23B4B3BA" w:rsidR="009E1975" w:rsidRPr="009E1975" w:rsidRDefault="009E1975" w:rsidP="00830B6A">
            <w:pPr>
              <w:pStyle w:val="TableContent"/>
              <w:ind w:left="1021" w:hanging="1021"/>
              <w:rPr>
                <w:sz w:val="24"/>
              </w:rPr>
            </w:pPr>
            <w:r w:rsidRPr="009E1975">
              <w:rPr>
                <w:color w:val="000000"/>
                <w:sz w:val="24"/>
              </w:rPr>
              <w:t>‘Aus15.3 In respect of not-for-profit entities, for the purposes of this Standard, the initial recognition and measurement at fair value of an item of property, plant and equipment in accordance with</w:t>
            </w:r>
            <w:r w:rsidRPr="009E1975">
              <w:rPr>
                <w:kern w:val="2"/>
                <w:sz w:val="24"/>
                <w14:ligatures w14:val="standardContextual"/>
              </w:rPr>
              <w:t xml:space="preserve"> </w:t>
            </w:r>
            <w:r w:rsidRPr="009E1975">
              <w:rPr>
                <w:color w:val="000000"/>
                <w:sz w:val="24"/>
              </w:rPr>
              <w:t>paragraph Aus15.1 does not constitute a revaluation. Accordingly, the revaluation requirements in paragraph 31, and the supporting commentary in paragraphs 34 and 35, only apply where an entity elects to revalue an item of property, plant and equipment after its recognition.’</w:t>
            </w:r>
          </w:p>
        </w:tc>
      </w:tr>
      <w:tr w:rsidR="009E1975" w14:paraId="1AAE9256" w14:textId="77777777" w:rsidTr="00830B6A">
        <w:tc>
          <w:tcPr>
            <w:tcW w:w="9607" w:type="dxa"/>
            <w:shd w:val="clear" w:color="auto" w:fill="F2F2F2" w:themeFill="background1" w:themeFillShade="F2"/>
          </w:tcPr>
          <w:p w14:paraId="5BA316CD" w14:textId="267AED8F" w:rsidR="009E1975" w:rsidRPr="00830B6A" w:rsidRDefault="009E1975" w:rsidP="009E1975">
            <w:pPr>
              <w:pStyle w:val="TableContent"/>
              <w:rPr>
                <w:b/>
                <w:bCs/>
                <w:sz w:val="24"/>
              </w:rPr>
            </w:pPr>
            <w:r w:rsidRPr="009E1975">
              <w:rPr>
                <w:b/>
                <w:bCs/>
                <w:sz w:val="24"/>
              </w:rPr>
              <w:t>Interpretation (AASB 2022:8)</w:t>
            </w:r>
          </w:p>
        </w:tc>
      </w:tr>
      <w:tr w:rsidR="009E1975" w14:paraId="068C16BD" w14:textId="77777777" w:rsidTr="009E1975">
        <w:tc>
          <w:tcPr>
            <w:tcW w:w="9607" w:type="dxa"/>
          </w:tcPr>
          <w:p w14:paraId="3630BB3E" w14:textId="557E0FE2" w:rsidR="009E1975" w:rsidRPr="00830B6A" w:rsidRDefault="009E1975" w:rsidP="00830B6A">
            <w:pPr>
              <w:pStyle w:val="TableContent"/>
              <w:rPr>
                <w:sz w:val="24"/>
              </w:rPr>
            </w:pPr>
            <w:r w:rsidRPr="00830B6A">
              <w:rPr>
                <w:sz w:val="24"/>
              </w:rPr>
              <w:t>Not-for profit entities may choose the ‘cost model’ (AASB 2022:10) after the initial recognition of assets at fair value, in circumstances where such assets were acquired at no cost or at a nominal cost.</w:t>
            </w:r>
          </w:p>
        </w:tc>
      </w:tr>
    </w:tbl>
    <w:p w14:paraId="2253B422" w14:textId="3508A4B0" w:rsidR="00E13020" w:rsidRPr="00C40728" w:rsidRDefault="00E13020" w:rsidP="00D70B5C">
      <w:pPr>
        <w:pStyle w:val="BodyText"/>
        <w:rPr>
          <w:b/>
          <w:bCs/>
        </w:rPr>
      </w:pPr>
      <w:r w:rsidRPr="00C40728">
        <w:t>AASB 116 Property, Plant and Equipment</w:t>
      </w:r>
      <w:r>
        <w:t xml:space="preserve"> (2022)</w:t>
      </w:r>
      <w:r w:rsidRPr="00C40728">
        <w:rPr>
          <w:vertAlign w:val="superscript"/>
        </w:rPr>
        <w:t xml:space="preserve"> </w:t>
      </w:r>
      <w:r w:rsidRPr="00C40728">
        <w:t xml:space="preserve">states regarding </w:t>
      </w:r>
      <w:r w:rsidR="008F29D4">
        <w:t>‘elements of cost’:</w:t>
      </w:r>
    </w:p>
    <w:tbl>
      <w:tblPr>
        <w:tblStyle w:val="TableGrid"/>
        <w:tblW w:w="9639" w:type="dxa"/>
        <w:tblLayout w:type="fixed"/>
        <w:tblCellMar>
          <w:right w:w="85" w:type="dxa"/>
        </w:tblCellMar>
        <w:tblLook w:val="06A0" w:firstRow="1" w:lastRow="0" w:firstColumn="1" w:lastColumn="0" w:noHBand="1" w:noVBand="1"/>
      </w:tblPr>
      <w:tblGrid>
        <w:gridCol w:w="9639"/>
      </w:tblGrid>
      <w:tr w:rsidR="00E13020" w:rsidRPr="00C25D79" w14:paraId="24277E3C" w14:textId="77777777" w:rsidTr="00AE7F33">
        <w:trPr>
          <w:cantSplit/>
          <w:trHeight w:val="300"/>
        </w:trPr>
        <w:tc>
          <w:tcPr>
            <w:tcW w:w="9639" w:type="dxa"/>
            <w:shd w:val="clear" w:color="auto" w:fill="F2F2F2" w:themeFill="background1" w:themeFillShade="F2"/>
          </w:tcPr>
          <w:p w14:paraId="00324902" w14:textId="3321E2F0" w:rsidR="00E13020" w:rsidRPr="00207E48" w:rsidRDefault="00E13020" w:rsidP="00AE7F33">
            <w:pPr>
              <w:pStyle w:val="TableContent"/>
              <w:rPr>
                <w:b/>
                <w:bCs/>
                <w:sz w:val="24"/>
              </w:rPr>
            </w:pPr>
            <w:r w:rsidRPr="00207E48">
              <w:rPr>
                <w:b/>
                <w:bCs/>
                <w:sz w:val="24"/>
              </w:rPr>
              <w:t xml:space="preserve">(AASB 2022: </w:t>
            </w:r>
            <w:r w:rsidR="00AA7A76">
              <w:rPr>
                <w:b/>
                <w:bCs/>
                <w:sz w:val="24"/>
              </w:rPr>
              <w:t>8</w:t>
            </w:r>
            <w:r w:rsidRPr="00207E48">
              <w:rPr>
                <w:b/>
                <w:bCs/>
                <w:sz w:val="24"/>
              </w:rPr>
              <w:t>)</w:t>
            </w:r>
          </w:p>
        </w:tc>
      </w:tr>
      <w:tr w:rsidR="00E13020" w:rsidRPr="00C40728" w14:paraId="744E39ED" w14:textId="77777777" w:rsidTr="00AE7F33">
        <w:trPr>
          <w:trHeight w:val="300"/>
        </w:trPr>
        <w:tc>
          <w:tcPr>
            <w:tcW w:w="9639" w:type="dxa"/>
            <w:tcBorders>
              <w:bottom w:val="single" w:sz="4" w:space="0" w:color="auto"/>
            </w:tcBorders>
          </w:tcPr>
          <w:p w14:paraId="3121ACDB" w14:textId="77777777" w:rsidR="00386DFD" w:rsidRPr="000144E4" w:rsidRDefault="00E13020" w:rsidP="003572A4">
            <w:pPr>
              <w:pStyle w:val="TableContent"/>
              <w:ind w:left="397" w:hanging="397"/>
              <w:rPr>
                <w:color w:val="000000"/>
                <w:sz w:val="24"/>
              </w:rPr>
            </w:pPr>
            <w:r w:rsidRPr="009F5ADD">
              <w:rPr>
                <w:b/>
                <w:bCs/>
                <w:color w:val="000000"/>
                <w:sz w:val="24"/>
              </w:rPr>
              <w:t>‘</w:t>
            </w:r>
            <w:r w:rsidR="00386DFD" w:rsidRPr="000144E4">
              <w:rPr>
                <w:color w:val="000000"/>
                <w:sz w:val="24"/>
              </w:rPr>
              <w:t xml:space="preserve">16 The cost of an item of property, plant and equipment comprises: </w:t>
            </w:r>
          </w:p>
          <w:p w14:paraId="07F534CE" w14:textId="77777777" w:rsidR="006F6C96" w:rsidRPr="000144E4" w:rsidRDefault="00386DFD" w:rsidP="000144E4">
            <w:pPr>
              <w:pStyle w:val="TableContent"/>
              <w:ind w:left="794" w:hanging="397"/>
              <w:rPr>
                <w:color w:val="000000"/>
                <w:sz w:val="24"/>
              </w:rPr>
            </w:pPr>
            <w:r w:rsidRPr="000144E4">
              <w:rPr>
                <w:color w:val="000000"/>
                <w:sz w:val="24"/>
              </w:rPr>
              <w:t xml:space="preserve">(a) its purchase price, including import duties and non-refundable purchase taxes, after deducting trade discounts and rebates. </w:t>
            </w:r>
          </w:p>
          <w:p w14:paraId="038897FD" w14:textId="77777777" w:rsidR="006F6C96" w:rsidRPr="000144E4" w:rsidRDefault="00386DFD" w:rsidP="000144E4">
            <w:pPr>
              <w:pStyle w:val="TableContent"/>
              <w:ind w:left="794" w:hanging="397"/>
              <w:rPr>
                <w:color w:val="000000"/>
                <w:sz w:val="24"/>
              </w:rPr>
            </w:pPr>
            <w:r w:rsidRPr="000144E4">
              <w:rPr>
                <w:color w:val="000000"/>
                <w:sz w:val="24"/>
              </w:rPr>
              <w:t xml:space="preserve">(b) any costs directly attributable to bringing the asset to the location and condition necessary for it to be capable of operating in the manner intended by management. </w:t>
            </w:r>
          </w:p>
          <w:p w14:paraId="3C6B1D42" w14:textId="756BCDA8" w:rsidR="00E13020" w:rsidRPr="009F5ADD" w:rsidRDefault="00386DFD" w:rsidP="000144E4">
            <w:pPr>
              <w:pStyle w:val="TableContent"/>
              <w:ind w:left="794" w:hanging="397"/>
              <w:rPr>
                <w:i/>
                <w:iCs/>
                <w:color w:val="000000"/>
                <w:sz w:val="24"/>
              </w:rPr>
            </w:pPr>
            <w:r w:rsidRPr="000144E4">
              <w:rPr>
                <w:color w:val="000000"/>
                <w:sz w:val="24"/>
              </w:rPr>
              <w:t xml:space="preserve">(c) the initial estimate of the costs of dismantling and removing the item and restoring the site on which it is located, the obligation for which an entity incurs either when the item is acquired or </w:t>
            </w:r>
            <w:proofErr w:type="gramStart"/>
            <w:r w:rsidRPr="000144E4">
              <w:rPr>
                <w:color w:val="000000"/>
                <w:sz w:val="24"/>
              </w:rPr>
              <w:t>as a consequence of</w:t>
            </w:r>
            <w:proofErr w:type="gramEnd"/>
            <w:r w:rsidRPr="000144E4">
              <w:rPr>
                <w:color w:val="000000"/>
                <w:sz w:val="24"/>
              </w:rPr>
              <w:t xml:space="preserve"> having used the item during a particular period for purposes other than to produce inventories during that period.</w:t>
            </w:r>
            <w:r w:rsidR="006F6C96" w:rsidRPr="000144E4">
              <w:rPr>
                <w:i/>
                <w:iCs/>
                <w:color w:val="000000"/>
                <w:sz w:val="24"/>
              </w:rPr>
              <w:t>’</w:t>
            </w:r>
          </w:p>
        </w:tc>
      </w:tr>
      <w:tr w:rsidR="00E13020" w:rsidRPr="00C40728" w14:paraId="45324EED" w14:textId="77777777" w:rsidTr="00AE7F33">
        <w:trPr>
          <w:trHeight w:val="300"/>
        </w:trPr>
        <w:tc>
          <w:tcPr>
            <w:tcW w:w="9639" w:type="dxa"/>
            <w:tcBorders>
              <w:bottom w:val="single" w:sz="4" w:space="0" w:color="000000"/>
            </w:tcBorders>
            <w:shd w:val="clear" w:color="auto" w:fill="F2F2F2" w:themeFill="background1" w:themeFillShade="F2"/>
          </w:tcPr>
          <w:p w14:paraId="781127D7" w14:textId="15DA5C17" w:rsidR="00E13020" w:rsidRPr="00207E48" w:rsidRDefault="00E13020" w:rsidP="00AE7F33">
            <w:pPr>
              <w:pStyle w:val="TableContent"/>
              <w:rPr>
                <w:b/>
                <w:bCs/>
              </w:rPr>
            </w:pPr>
            <w:r w:rsidRPr="00207E48">
              <w:rPr>
                <w:b/>
                <w:bCs/>
                <w:sz w:val="24"/>
              </w:rPr>
              <w:t xml:space="preserve">Interpretation (AASB 2022: </w:t>
            </w:r>
            <w:r w:rsidR="006B5DDC">
              <w:rPr>
                <w:b/>
                <w:bCs/>
                <w:sz w:val="24"/>
              </w:rPr>
              <w:t>8</w:t>
            </w:r>
            <w:r w:rsidRPr="00207E48">
              <w:rPr>
                <w:b/>
                <w:bCs/>
                <w:sz w:val="24"/>
              </w:rPr>
              <w:t>)</w:t>
            </w:r>
          </w:p>
        </w:tc>
      </w:tr>
      <w:tr w:rsidR="00E13020" w:rsidRPr="00C40728" w14:paraId="382B3E9C" w14:textId="77777777" w:rsidTr="00AE7F33">
        <w:trPr>
          <w:trHeight w:val="300"/>
        </w:trPr>
        <w:tc>
          <w:tcPr>
            <w:tcW w:w="9639" w:type="dxa"/>
          </w:tcPr>
          <w:p w14:paraId="76586518" w14:textId="2EBBD700" w:rsidR="00E13020" w:rsidRPr="008C7FC1" w:rsidRDefault="00A20876" w:rsidP="00AE7F33">
            <w:pPr>
              <w:pStyle w:val="TableContent"/>
              <w:rPr>
                <w:sz w:val="24"/>
              </w:rPr>
            </w:pPr>
            <w:r w:rsidRPr="008C7FC1">
              <w:rPr>
                <w:sz w:val="24"/>
              </w:rPr>
              <w:t xml:space="preserve">Directly attributable costs will include </w:t>
            </w:r>
            <w:r w:rsidR="00BC755C">
              <w:rPr>
                <w:sz w:val="24"/>
              </w:rPr>
              <w:t>items like professional fees and project costs</w:t>
            </w:r>
            <w:r w:rsidR="00E66FFF">
              <w:rPr>
                <w:sz w:val="24"/>
              </w:rPr>
              <w:t xml:space="preserve">. </w:t>
            </w:r>
          </w:p>
        </w:tc>
      </w:tr>
    </w:tbl>
    <w:p w14:paraId="337F5F56" w14:textId="265839EE" w:rsidR="000044FF" w:rsidRPr="0046688A" w:rsidRDefault="000044FF" w:rsidP="009C4E41">
      <w:pPr>
        <w:pStyle w:val="Heading4"/>
      </w:pPr>
      <w:r w:rsidRPr="00830B6A">
        <w:t xml:space="preserve">Asset </w:t>
      </w:r>
      <w:r w:rsidR="00D30A4F">
        <w:t>m</w:t>
      </w:r>
      <w:r w:rsidRPr="00830B6A">
        <w:t>easurement after recognition</w:t>
      </w:r>
    </w:p>
    <w:p w14:paraId="38793AE9" w14:textId="77777777" w:rsidR="000044FF" w:rsidRPr="00C25D79" w:rsidRDefault="000044FF" w:rsidP="00D70B5C">
      <w:pPr>
        <w:pStyle w:val="BodyText"/>
      </w:pPr>
      <w:r w:rsidRPr="00C25D79">
        <w:t>AASB116 Property, Plant and Equipment (2022) enables local governments to choose one of two measurement models for a class of property, plant and equipment after recognition:</w:t>
      </w:r>
    </w:p>
    <w:tbl>
      <w:tblPr>
        <w:tblStyle w:val="TableGrid"/>
        <w:tblW w:w="9639" w:type="dxa"/>
        <w:tblLook w:val="04A0" w:firstRow="1" w:lastRow="0" w:firstColumn="1" w:lastColumn="0" w:noHBand="0" w:noVBand="1"/>
      </w:tblPr>
      <w:tblGrid>
        <w:gridCol w:w="9639"/>
      </w:tblGrid>
      <w:tr w:rsidR="000044FF" w:rsidRPr="00C25D79" w14:paraId="3107D3E8" w14:textId="77777777">
        <w:trPr>
          <w:tblHeader/>
        </w:trPr>
        <w:tc>
          <w:tcPr>
            <w:tcW w:w="9072" w:type="dxa"/>
            <w:shd w:val="clear" w:color="auto" w:fill="F2F2F2" w:themeFill="background1" w:themeFillShade="F2"/>
          </w:tcPr>
          <w:p w14:paraId="1DD5E03A" w14:textId="77777777" w:rsidR="000044FF" w:rsidRPr="00887F8D" w:rsidRDefault="000044FF" w:rsidP="00887F8D">
            <w:pPr>
              <w:pStyle w:val="TableContent"/>
              <w:rPr>
                <w:b/>
                <w:bCs/>
                <w:sz w:val="24"/>
              </w:rPr>
            </w:pPr>
            <w:r w:rsidRPr="00887F8D">
              <w:rPr>
                <w:b/>
                <w:bCs/>
                <w:sz w:val="24"/>
              </w:rPr>
              <w:lastRenderedPageBreak/>
              <w:t>(AASB 2022: 10)</w:t>
            </w:r>
          </w:p>
        </w:tc>
      </w:tr>
      <w:tr w:rsidR="000044FF" w:rsidRPr="00C25D79" w14:paraId="3FE00662" w14:textId="77777777">
        <w:tc>
          <w:tcPr>
            <w:tcW w:w="9072" w:type="dxa"/>
            <w:tcBorders>
              <w:bottom w:val="single" w:sz="4" w:space="0" w:color="auto"/>
            </w:tcBorders>
          </w:tcPr>
          <w:p w14:paraId="14594606" w14:textId="4CD929BB" w:rsidR="000044FF" w:rsidRPr="00C319EE" w:rsidRDefault="000044FF" w:rsidP="00ED7199">
            <w:pPr>
              <w:pStyle w:val="TableContent"/>
              <w:ind w:left="397" w:hanging="397"/>
              <w:rPr>
                <w:sz w:val="24"/>
              </w:rPr>
            </w:pPr>
            <w:r w:rsidRPr="00C319EE">
              <w:rPr>
                <w:sz w:val="24"/>
              </w:rPr>
              <w:t>‘29 An entity shall choose either the cost model in paragraph 30 or the revaluation model in paragraph 31 as its accounting policy and shall apply that policy to an entire class of property, plant and equipment.’</w:t>
            </w:r>
          </w:p>
        </w:tc>
      </w:tr>
      <w:tr w:rsidR="000044FF" w:rsidRPr="00C25D79" w14:paraId="0E0C8FA4" w14:textId="77777777">
        <w:trPr>
          <w:tblHeader/>
        </w:trPr>
        <w:tc>
          <w:tcPr>
            <w:tcW w:w="9072" w:type="dxa"/>
            <w:shd w:val="clear" w:color="auto" w:fill="F2F2F2" w:themeFill="background1" w:themeFillShade="F2"/>
          </w:tcPr>
          <w:p w14:paraId="1061ABE8" w14:textId="77777777" w:rsidR="000044FF" w:rsidRPr="00887F8D" w:rsidRDefault="000044FF" w:rsidP="00887F8D">
            <w:pPr>
              <w:pStyle w:val="TableContent"/>
              <w:rPr>
                <w:rStyle w:val="normaltextrun"/>
                <w:b/>
                <w:bCs/>
                <w:sz w:val="24"/>
              </w:rPr>
            </w:pPr>
            <w:r w:rsidRPr="00887F8D">
              <w:rPr>
                <w:b/>
                <w:bCs/>
                <w:sz w:val="24"/>
              </w:rPr>
              <w:t>Interpretation (AASB 2022: 10)</w:t>
            </w:r>
          </w:p>
        </w:tc>
      </w:tr>
      <w:tr w:rsidR="000044FF" w:rsidRPr="00C25D79" w14:paraId="79A335FE" w14:textId="77777777">
        <w:tc>
          <w:tcPr>
            <w:tcW w:w="9072" w:type="dxa"/>
          </w:tcPr>
          <w:p w14:paraId="12EF4E70" w14:textId="77777777" w:rsidR="000044FF" w:rsidRPr="00887F8D" w:rsidRDefault="000044FF" w:rsidP="00887F8D">
            <w:pPr>
              <w:pStyle w:val="TableContent"/>
              <w:rPr>
                <w:sz w:val="24"/>
              </w:rPr>
            </w:pPr>
            <w:r w:rsidRPr="00887F8D">
              <w:rPr>
                <w:sz w:val="24"/>
              </w:rPr>
              <w:t xml:space="preserve">Three issues are important: </w:t>
            </w:r>
          </w:p>
          <w:p w14:paraId="01A0D996" w14:textId="77777777" w:rsidR="000044FF" w:rsidRPr="00887F8D" w:rsidRDefault="000044FF">
            <w:pPr>
              <w:pStyle w:val="TableContent"/>
              <w:numPr>
                <w:ilvl w:val="0"/>
                <w:numId w:val="90"/>
              </w:numPr>
              <w:rPr>
                <w:sz w:val="24"/>
              </w:rPr>
            </w:pPr>
            <w:r w:rsidRPr="00887F8D">
              <w:rPr>
                <w:sz w:val="24"/>
              </w:rPr>
              <w:t>a local government has discretion as to its choice of measurement model (subject to any regulatory requirement(s))</w:t>
            </w:r>
          </w:p>
          <w:p w14:paraId="12C7FA21" w14:textId="668707CC" w:rsidR="000044FF" w:rsidRPr="009C4E41" w:rsidRDefault="000044FF">
            <w:pPr>
              <w:pStyle w:val="TableContent"/>
              <w:numPr>
                <w:ilvl w:val="0"/>
                <w:numId w:val="90"/>
              </w:numPr>
              <w:rPr>
                <w:sz w:val="24"/>
              </w:rPr>
            </w:pPr>
            <w:r w:rsidRPr="00887F8D">
              <w:rPr>
                <w:sz w:val="24"/>
              </w:rPr>
              <w:t>the chosen model represents an accounting policy</w:t>
            </w:r>
            <w:r w:rsidR="00C319EE">
              <w:rPr>
                <w:sz w:val="24"/>
              </w:rPr>
              <w:t>;</w:t>
            </w:r>
            <w:r w:rsidRPr="00887F8D">
              <w:rPr>
                <w:sz w:val="24"/>
              </w:rPr>
              <w:t xml:space="preserve"> </w:t>
            </w:r>
            <w:r w:rsidRPr="009C4E41">
              <w:rPr>
                <w:sz w:val="24"/>
              </w:rPr>
              <w:t>and</w:t>
            </w:r>
          </w:p>
          <w:p w14:paraId="1CD38508" w14:textId="77777777" w:rsidR="000044FF" w:rsidRPr="00887F8D" w:rsidRDefault="000044FF">
            <w:pPr>
              <w:pStyle w:val="TableContent"/>
              <w:numPr>
                <w:ilvl w:val="0"/>
                <w:numId w:val="90"/>
              </w:numPr>
              <w:rPr>
                <w:rStyle w:val="normaltextrun"/>
                <w:sz w:val="24"/>
              </w:rPr>
            </w:pPr>
            <w:r w:rsidRPr="00887F8D">
              <w:rPr>
                <w:sz w:val="24"/>
              </w:rPr>
              <w:t>the chosen model must be applied ‘to an entire class of property plant and equipment’.</w:t>
            </w:r>
          </w:p>
        </w:tc>
      </w:tr>
    </w:tbl>
    <w:p w14:paraId="56D27FB2" w14:textId="5A42E1C7" w:rsidR="000B58B3" w:rsidRDefault="00E32A46" w:rsidP="005E6F3D">
      <w:pPr>
        <w:pStyle w:val="Heading4"/>
      </w:pPr>
      <w:r>
        <w:t>Cost model</w:t>
      </w:r>
    </w:p>
    <w:p w14:paraId="055B4EAB" w14:textId="230A224C" w:rsidR="000044FF" w:rsidRPr="00C25D79" w:rsidRDefault="000044FF" w:rsidP="00D70B5C">
      <w:pPr>
        <w:pStyle w:val="BodyText"/>
      </w:pPr>
      <w:r w:rsidRPr="00C25D79">
        <w:t>AASB116 Property, Plant and Equipment (2022) states regarding applying the ‘cost model’:</w:t>
      </w:r>
    </w:p>
    <w:tbl>
      <w:tblPr>
        <w:tblStyle w:val="TableGrid"/>
        <w:tblW w:w="9639" w:type="dxa"/>
        <w:tblLook w:val="04A0" w:firstRow="1" w:lastRow="0" w:firstColumn="1" w:lastColumn="0" w:noHBand="0" w:noVBand="1"/>
      </w:tblPr>
      <w:tblGrid>
        <w:gridCol w:w="9639"/>
      </w:tblGrid>
      <w:tr w:rsidR="000044FF" w:rsidRPr="00C25D79" w14:paraId="7A6584B2" w14:textId="77777777" w:rsidTr="002B11FD">
        <w:trPr>
          <w:tblHeader/>
        </w:trPr>
        <w:tc>
          <w:tcPr>
            <w:tcW w:w="9639" w:type="dxa"/>
            <w:shd w:val="clear" w:color="auto" w:fill="F2F2F2" w:themeFill="background1" w:themeFillShade="F2"/>
          </w:tcPr>
          <w:p w14:paraId="1AE5BBE2" w14:textId="77777777" w:rsidR="000044FF" w:rsidRPr="00C8669F" w:rsidRDefault="000044FF" w:rsidP="00C8669F">
            <w:pPr>
              <w:pStyle w:val="TableContent"/>
              <w:rPr>
                <w:b/>
                <w:bCs/>
                <w:color w:val="FFFFFF" w:themeColor="background1"/>
                <w:sz w:val="24"/>
              </w:rPr>
            </w:pPr>
            <w:r w:rsidRPr="00C8669F">
              <w:rPr>
                <w:b/>
                <w:bCs/>
                <w:sz w:val="24"/>
              </w:rPr>
              <w:t>(AASB 2022: 10)</w:t>
            </w:r>
          </w:p>
        </w:tc>
      </w:tr>
      <w:tr w:rsidR="000044FF" w:rsidRPr="00C25D79" w14:paraId="63008523" w14:textId="77777777" w:rsidTr="002B11FD">
        <w:tc>
          <w:tcPr>
            <w:tcW w:w="9639" w:type="dxa"/>
            <w:tcBorders>
              <w:bottom w:val="single" w:sz="4" w:space="0" w:color="auto"/>
            </w:tcBorders>
          </w:tcPr>
          <w:p w14:paraId="23A09854" w14:textId="4A704C47" w:rsidR="000044FF" w:rsidRPr="00C319EE" w:rsidRDefault="000044FF" w:rsidP="00C8669F">
            <w:pPr>
              <w:pStyle w:val="TableContent"/>
              <w:ind w:left="397" w:hanging="397"/>
              <w:rPr>
                <w:sz w:val="24"/>
              </w:rPr>
            </w:pPr>
            <w:r w:rsidRPr="00C319EE">
              <w:rPr>
                <w:sz w:val="24"/>
              </w:rPr>
              <w:t>‘30 After recognition as an asset, an item of property, plant and equipment shall be carried at its cost less any accumulated depreciation and any accumulated impairment losses.’</w:t>
            </w:r>
          </w:p>
        </w:tc>
      </w:tr>
      <w:tr w:rsidR="000044FF" w:rsidRPr="00C25D79" w14:paraId="7B4282B5" w14:textId="77777777" w:rsidTr="002B11FD">
        <w:trPr>
          <w:tblHeader/>
        </w:trPr>
        <w:tc>
          <w:tcPr>
            <w:tcW w:w="9639" w:type="dxa"/>
            <w:shd w:val="clear" w:color="auto" w:fill="F2F2F2" w:themeFill="background1" w:themeFillShade="F2"/>
          </w:tcPr>
          <w:p w14:paraId="26007984" w14:textId="77777777" w:rsidR="000044FF" w:rsidRPr="00C8669F" w:rsidRDefault="000044FF" w:rsidP="00C8669F">
            <w:pPr>
              <w:pStyle w:val="TableContent"/>
              <w:rPr>
                <w:rStyle w:val="normaltextrun"/>
                <w:b/>
                <w:bCs/>
                <w:sz w:val="24"/>
                <w:highlight w:val="yellow"/>
              </w:rPr>
            </w:pPr>
            <w:r w:rsidRPr="00C8669F">
              <w:rPr>
                <w:b/>
                <w:bCs/>
                <w:sz w:val="24"/>
              </w:rPr>
              <w:t>Interpretation (AASB 2022: 10)</w:t>
            </w:r>
          </w:p>
        </w:tc>
      </w:tr>
      <w:tr w:rsidR="000044FF" w:rsidRPr="00C25D79" w14:paraId="4D2EF6B6" w14:textId="77777777" w:rsidTr="002B11FD">
        <w:trPr>
          <w:tblHeader/>
        </w:trPr>
        <w:tc>
          <w:tcPr>
            <w:tcW w:w="9639" w:type="dxa"/>
          </w:tcPr>
          <w:p w14:paraId="419D5E14" w14:textId="494583C0" w:rsidR="000044FF" w:rsidRPr="00C8669F" w:rsidRDefault="00C319EE" w:rsidP="00C8669F">
            <w:pPr>
              <w:pStyle w:val="TableContent"/>
              <w:rPr>
                <w:sz w:val="24"/>
              </w:rPr>
            </w:pPr>
            <w:r>
              <w:rPr>
                <w:rStyle w:val="normaltextrun"/>
                <w:sz w:val="24"/>
              </w:rPr>
              <w:t>I</w:t>
            </w:r>
            <w:r w:rsidR="000044FF" w:rsidRPr="00C8669F">
              <w:rPr>
                <w:rStyle w:val="normaltextrun"/>
                <w:sz w:val="24"/>
              </w:rPr>
              <w:t>f a local government chooses the cost model for a specific asset class</w:t>
            </w:r>
            <w:r>
              <w:rPr>
                <w:rStyle w:val="normaltextrun"/>
                <w:sz w:val="24"/>
              </w:rPr>
              <w:t>,</w:t>
            </w:r>
            <w:r w:rsidR="000044FF" w:rsidRPr="00C8669F">
              <w:rPr>
                <w:rStyle w:val="normaltextrun"/>
                <w:sz w:val="24"/>
              </w:rPr>
              <w:t xml:space="preserve"> the valuation guidance provided in these Guidelines DO</w:t>
            </w:r>
            <w:r>
              <w:rPr>
                <w:rStyle w:val="normaltextrun"/>
                <w:sz w:val="24"/>
              </w:rPr>
              <w:t>ES</w:t>
            </w:r>
            <w:r w:rsidR="000044FF" w:rsidRPr="00C8669F">
              <w:rPr>
                <w:rStyle w:val="normaltextrun"/>
                <w:sz w:val="24"/>
              </w:rPr>
              <w:t xml:space="preserve"> NOT apply to that asset class.</w:t>
            </w:r>
          </w:p>
        </w:tc>
      </w:tr>
    </w:tbl>
    <w:p w14:paraId="07AC2B2C" w14:textId="77777777" w:rsidR="000C49A4" w:rsidRDefault="00CE719C" w:rsidP="006F51D6">
      <w:pPr>
        <w:pStyle w:val="Heading4"/>
      </w:pPr>
      <w:r>
        <w:t>Revaluation mode</w:t>
      </w:r>
      <w:r w:rsidR="000C49A4">
        <w:t>l</w:t>
      </w:r>
    </w:p>
    <w:p w14:paraId="1DBB8EF8" w14:textId="65DDC3C4" w:rsidR="000044FF" w:rsidRPr="00C25D79" w:rsidDel="00DC0F18" w:rsidRDefault="000044FF" w:rsidP="00D70B5C">
      <w:pPr>
        <w:pStyle w:val="BodyText"/>
      </w:pPr>
      <w:r w:rsidRPr="00C25D79">
        <w:t>AASB116 Property, Plant and Equipment (2022) states regarding the revaluation model:</w:t>
      </w:r>
    </w:p>
    <w:tbl>
      <w:tblPr>
        <w:tblStyle w:val="TableGrid"/>
        <w:tblW w:w="9639" w:type="dxa"/>
        <w:tblLook w:val="04A0" w:firstRow="1" w:lastRow="0" w:firstColumn="1" w:lastColumn="0" w:noHBand="0" w:noVBand="1"/>
      </w:tblPr>
      <w:tblGrid>
        <w:gridCol w:w="9639"/>
      </w:tblGrid>
      <w:tr w:rsidR="000044FF" w:rsidRPr="00C25D79" w14:paraId="2543386B" w14:textId="77777777">
        <w:trPr>
          <w:tblHeader/>
        </w:trPr>
        <w:tc>
          <w:tcPr>
            <w:tcW w:w="9639" w:type="dxa"/>
            <w:tcBorders>
              <w:bottom w:val="single" w:sz="4" w:space="0" w:color="auto"/>
            </w:tcBorders>
            <w:shd w:val="clear" w:color="auto" w:fill="F2F2F2" w:themeFill="background1" w:themeFillShade="F2"/>
          </w:tcPr>
          <w:p w14:paraId="3F687452" w14:textId="77777777" w:rsidR="000044FF" w:rsidRPr="004022CD" w:rsidRDefault="000044FF" w:rsidP="0028178F">
            <w:pPr>
              <w:pStyle w:val="TableContent"/>
              <w:rPr>
                <w:b/>
                <w:bCs/>
                <w:sz w:val="24"/>
              </w:rPr>
            </w:pPr>
            <w:r w:rsidRPr="004022CD">
              <w:rPr>
                <w:b/>
                <w:bCs/>
                <w:sz w:val="24"/>
              </w:rPr>
              <w:t>(AASB 2022: 10)</w:t>
            </w:r>
          </w:p>
        </w:tc>
      </w:tr>
      <w:tr w:rsidR="000044FF" w:rsidRPr="00C25D79" w14:paraId="67D2AF7A" w14:textId="77777777" w:rsidTr="002B11FD">
        <w:tc>
          <w:tcPr>
            <w:tcW w:w="9639" w:type="dxa"/>
            <w:tcBorders>
              <w:bottom w:val="single" w:sz="4" w:space="0" w:color="auto"/>
            </w:tcBorders>
          </w:tcPr>
          <w:p w14:paraId="1ED8376A" w14:textId="1DA24312" w:rsidR="00985704" w:rsidRPr="00C319EE" w:rsidRDefault="000044FF" w:rsidP="00993B3D">
            <w:pPr>
              <w:pStyle w:val="TableContent"/>
              <w:ind w:left="397" w:hanging="397"/>
              <w:rPr>
                <w:sz w:val="24"/>
              </w:rPr>
            </w:pPr>
            <w:r w:rsidRPr="00C319EE">
              <w:rPr>
                <w:i/>
                <w:iCs/>
                <w:sz w:val="24"/>
              </w:rPr>
              <w:t xml:space="preserve">‘31 </w:t>
            </w:r>
            <w:r w:rsidRPr="00C319EE">
              <w:rPr>
                <w:sz w:val="24"/>
              </w:rPr>
              <w:t>After recognition as an asset, an item of property, plant and equipment whose fair value can be measured reliably shall be carried at a revalued amount, being its fair value at the date of the revaluation less any subsequent accumulated depreciation and subsequent accumulated impairment losses. Revaluations shall be made with sufficient regularity to ensure that the carrying amount does not differ materially from that which would be determined using fair value at the end of the reporting period.’</w:t>
            </w:r>
          </w:p>
        </w:tc>
      </w:tr>
    </w:tbl>
    <w:p w14:paraId="1C001DF9" w14:textId="77777777" w:rsidR="00993B3D" w:rsidRDefault="00993B3D">
      <w:pPr>
        <w:spacing w:after="0" w:line="240" w:lineRule="auto"/>
      </w:pPr>
      <w:r>
        <w:br w:type="page"/>
      </w:r>
    </w:p>
    <w:tbl>
      <w:tblPr>
        <w:tblStyle w:val="TableGrid"/>
        <w:tblW w:w="9639" w:type="dxa"/>
        <w:tblLook w:val="04A0" w:firstRow="1" w:lastRow="0" w:firstColumn="1" w:lastColumn="0" w:noHBand="0" w:noVBand="1"/>
      </w:tblPr>
      <w:tblGrid>
        <w:gridCol w:w="9639"/>
      </w:tblGrid>
      <w:tr w:rsidR="00154FF9" w:rsidRPr="0028178F" w14:paraId="295617EB" w14:textId="77777777" w:rsidTr="00AE7F33">
        <w:tc>
          <w:tcPr>
            <w:tcW w:w="9639" w:type="dxa"/>
            <w:tcBorders>
              <w:top w:val="single" w:sz="4" w:space="0" w:color="auto"/>
              <w:bottom w:val="single" w:sz="4" w:space="0" w:color="auto"/>
            </w:tcBorders>
            <w:shd w:val="clear" w:color="auto" w:fill="F2F2F2" w:themeFill="background1" w:themeFillShade="F2"/>
          </w:tcPr>
          <w:p w14:paraId="2ED48098" w14:textId="77777777" w:rsidR="00154FF9" w:rsidRPr="0028178F" w:rsidRDefault="00154FF9" w:rsidP="00AE7F33">
            <w:pPr>
              <w:pStyle w:val="TableContent"/>
              <w:ind w:left="397" w:hanging="397"/>
            </w:pPr>
            <w:r w:rsidRPr="0028178F">
              <w:rPr>
                <w:rStyle w:val="normaltextrun"/>
                <w:sz w:val="24"/>
              </w:rPr>
              <w:lastRenderedPageBreak/>
              <w:br w:type="page"/>
            </w:r>
            <w:r w:rsidRPr="004E6F8E">
              <w:rPr>
                <w:rStyle w:val="normaltextrun"/>
                <w:b/>
                <w:sz w:val="24"/>
              </w:rPr>
              <w:t xml:space="preserve">Interpretation </w:t>
            </w:r>
            <w:r w:rsidRPr="004E6F8E">
              <w:rPr>
                <w:b/>
                <w:sz w:val="24"/>
              </w:rPr>
              <w:t>(AASB 2022: 10)</w:t>
            </w:r>
          </w:p>
        </w:tc>
      </w:tr>
      <w:tr w:rsidR="00154FF9" w:rsidRPr="0028178F" w14:paraId="487F1DFD" w14:textId="77777777" w:rsidTr="00AE7F33">
        <w:tc>
          <w:tcPr>
            <w:tcW w:w="9639" w:type="dxa"/>
            <w:tcBorders>
              <w:bottom w:val="single" w:sz="4" w:space="0" w:color="auto"/>
            </w:tcBorders>
          </w:tcPr>
          <w:p w14:paraId="66E05DE6" w14:textId="3E29C4E3" w:rsidR="00154FF9" w:rsidRPr="0028178F" w:rsidRDefault="00154FF9" w:rsidP="00AE7F33">
            <w:pPr>
              <w:pStyle w:val="TableContent"/>
            </w:pPr>
            <w:r w:rsidRPr="0028178F">
              <w:rPr>
                <w:sz w:val="24"/>
              </w:rPr>
              <w:t>If the revaluation model has been chosen for an asset class, the local government should</w:t>
            </w:r>
            <w:r w:rsidR="00C319EE">
              <w:rPr>
                <w:sz w:val="24"/>
              </w:rPr>
              <w:t>,</w:t>
            </w:r>
            <w:r w:rsidRPr="0028178F">
              <w:rPr>
                <w:sz w:val="24"/>
              </w:rPr>
              <w:t xml:space="preserve"> on an annual basis</w:t>
            </w:r>
            <w:r w:rsidR="00C319EE">
              <w:rPr>
                <w:sz w:val="24"/>
              </w:rPr>
              <w:t>,</w:t>
            </w:r>
            <w:r w:rsidRPr="0028178F">
              <w:rPr>
                <w:sz w:val="24"/>
              </w:rPr>
              <w:t xml:space="preserve"> assess whether that asset class’s carrying amount differs materially from its fair value at the reporting date. If such an assessment suggests a material difference exists, an actual revaluation of the asset class must be performed.</w:t>
            </w:r>
          </w:p>
        </w:tc>
      </w:tr>
    </w:tbl>
    <w:p w14:paraId="77B2B856" w14:textId="0CE2CD11" w:rsidR="00CD05FF" w:rsidRPr="00C25D79" w:rsidDel="00DC0F18" w:rsidRDefault="00CD05FF" w:rsidP="00D70B5C">
      <w:pPr>
        <w:pStyle w:val="BodyText"/>
      </w:pPr>
      <w:r w:rsidRPr="00C25D79">
        <w:t xml:space="preserve">AASB116 Property, Plant and Equipment (2022) states regarding the </w:t>
      </w:r>
      <w:r>
        <w:t>frequency of revaluations</w:t>
      </w:r>
      <w:r w:rsidR="00022445">
        <w:t xml:space="preserve">: </w:t>
      </w:r>
    </w:p>
    <w:tbl>
      <w:tblPr>
        <w:tblStyle w:val="TableGrid"/>
        <w:tblW w:w="0" w:type="auto"/>
        <w:tblLook w:val="04A0" w:firstRow="1" w:lastRow="0" w:firstColumn="1" w:lastColumn="0" w:noHBand="0" w:noVBand="1"/>
      </w:tblPr>
      <w:tblGrid>
        <w:gridCol w:w="9607"/>
      </w:tblGrid>
      <w:tr w:rsidR="001474A9" w14:paraId="10FC08DB" w14:textId="77777777" w:rsidTr="00F51FB6">
        <w:tc>
          <w:tcPr>
            <w:tcW w:w="9607" w:type="dxa"/>
            <w:shd w:val="clear" w:color="auto" w:fill="F2F2F2" w:themeFill="background1" w:themeFillShade="F2"/>
          </w:tcPr>
          <w:p w14:paraId="61F50CE1" w14:textId="11631BFA" w:rsidR="001474A9" w:rsidRPr="00F51FB6" w:rsidRDefault="001474A9" w:rsidP="00F51FB6">
            <w:pPr>
              <w:pStyle w:val="TableContent"/>
              <w:rPr>
                <w:b/>
                <w:bCs/>
                <w:sz w:val="24"/>
              </w:rPr>
            </w:pPr>
            <w:r w:rsidRPr="001E084D">
              <w:rPr>
                <w:b/>
                <w:bCs/>
                <w:sz w:val="24"/>
              </w:rPr>
              <w:t>(AASB 2022: 10)</w:t>
            </w:r>
          </w:p>
        </w:tc>
      </w:tr>
      <w:tr w:rsidR="001474A9" w14:paraId="1B92EA48" w14:textId="77777777" w:rsidTr="00F51FB6">
        <w:tc>
          <w:tcPr>
            <w:tcW w:w="9607" w:type="dxa"/>
            <w:tcBorders>
              <w:bottom w:val="single" w:sz="4" w:space="0" w:color="000000"/>
            </w:tcBorders>
          </w:tcPr>
          <w:p w14:paraId="2FEC695D" w14:textId="2234F4F4" w:rsidR="001474A9" w:rsidRPr="00F51FB6" w:rsidRDefault="001474A9" w:rsidP="00F51FB6">
            <w:pPr>
              <w:pStyle w:val="TableContent"/>
              <w:ind w:left="454" w:hanging="454"/>
              <w:rPr>
                <w:sz w:val="24"/>
              </w:rPr>
            </w:pPr>
            <w:r w:rsidRPr="00F51FB6">
              <w:t>‘</w:t>
            </w:r>
            <w:r w:rsidRPr="00F51FB6">
              <w:rPr>
                <w:sz w:val="24"/>
              </w:rPr>
              <w:t xml:space="preserve">34 The frequency of revaluations depends upon the changes in fair values of the items of property, plant and equipment being revalued. When the fair value of a revalued asset differs materially from </w:t>
            </w:r>
            <w:proofErr w:type="gramStart"/>
            <w:r w:rsidRPr="00F51FB6">
              <w:rPr>
                <w:sz w:val="24"/>
              </w:rPr>
              <w:t>its</w:t>
            </w:r>
            <w:proofErr w:type="gramEnd"/>
            <w:r w:rsidRPr="00F51FB6">
              <w:rPr>
                <w:sz w:val="24"/>
              </w:rPr>
              <w:t xml:space="preserve"> carrying amount, a further revaluation is required. Some items of property, plant and equipment experience significant and volatile changes in fair value, thus necessitating annual revaluation. Such frequent revaluations are unnecessary for items of property, plant and equipment with only insignificant changes in fair value. Instead, it may be necessary to revalue the item only every three or five years.’</w:t>
            </w:r>
          </w:p>
        </w:tc>
      </w:tr>
      <w:tr w:rsidR="001E084D" w14:paraId="6FCE0DF5" w14:textId="77777777" w:rsidTr="00F51FB6">
        <w:tc>
          <w:tcPr>
            <w:tcW w:w="9607" w:type="dxa"/>
            <w:shd w:val="clear" w:color="auto" w:fill="F2F2F2" w:themeFill="background1" w:themeFillShade="F2"/>
          </w:tcPr>
          <w:p w14:paraId="289178A5" w14:textId="5712C529" w:rsidR="001E084D" w:rsidRPr="00F51FB6" w:rsidRDefault="001E084D" w:rsidP="009A39C4">
            <w:pPr>
              <w:pStyle w:val="TableContent"/>
              <w:rPr>
                <w:b/>
                <w:sz w:val="24"/>
              </w:rPr>
            </w:pPr>
            <w:r w:rsidRPr="00B37B27">
              <w:rPr>
                <w:rStyle w:val="normaltextrun"/>
                <w:highlight w:val="cyan"/>
              </w:rPr>
              <w:br w:type="page"/>
            </w:r>
            <w:r w:rsidRPr="00A2391A">
              <w:rPr>
                <w:rStyle w:val="normaltextrun"/>
                <w:b/>
                <w:sz w:val="24"/>
                <w:shd w:val="clear" w:color="auto" w:fill="F2F2F2" w:themeFill="background1" w:themeFillShade="F2"/>
              </w:rPr>
              <w:t xml:space="preserve">Interpretation </w:t>
            </w:r>
            <w:r w:rsidRPr="00A2391A">
              <w:rPr>
                <w:b/>
                <w:sz w:val="24"/>
                <w:shd w:val="clear" w:color="auto" w:fill="F2F2F2" w:themeFill="background1" w:themeFillShade="F2"/>
              </w:rPr>
              <w:t>(AASB 2022: 10)</w:t>
            </w:r>
          </w:p>
        </w:tc>
      </w:tr>
      <w:tr w:rsidR="001E084D" w14:paraId="75C6F46B" w14:textId="77777777" w:rsidTr="00F03E38">
        <w:tc>
          <w:tcPr>
            <w:tcW w:w="9607" w:type="dxa"/>
          </w:tcPr>
          <w:p w14:paraId="4EFA5CCD" w14:textId="08E6E862" w:rsidR="001E084D" w:rsidRPr="00F51FB6" w:rsidRDefault="001E084D" w:rsidP="00F51FB6">
            <w:pPr>
              <w:pStyle w:val="TableContent"/>
              <w:rPr>
                <w:sz w:val="24"/>
              </w:rPr>
            </w:pPr>
            <w:r w:rsidRPr="0028178F">
              <w:rPr>
                <w:sz w:val="24"/>
              </w:rPr>
              <w:t xml:space="preserve">Asset classes subject to the revaluation model, require an annual assessment as to whether </w:t>
            </w:r>
            <w:proofErr w:type="gramStart"/>
            <w:r w:rsidRPr="0028178F">
              <w:rPr>
                <w:sz w:val="24"/>
              </w:rPr>
              <w:t>its</w:t>
            </w:r>
            <w:proofErr w:type="gramEnd"/>
            <w:r w:rsidRPr="0028178F">
              <w:rPr>
                <w:sz w:val="24"/>
              </w:rPr>
              <w:t xml:space="preserve"> carrying amount differs materially from its fair value at the reporting date. This annual assessment is not dependent on the nature/characteristics of the asset class. However, an asset class’s nature/characteristics may make it more susceptible to material differences between </w:t>
            </w:r>
            <w:proofErr w:type="gramStart"/>
            <w:r w:rsidRPr="0028178F">
              <w:rPr>
                <w:sz w:val="24"/>
              </w:rPr>
              <w:t>it</w:t>
            </w:r>
            <w:r w:rsidR="00C319EE">
              <w:rPr>
                <w:sz w:val="24"/>
              </w:rPr>
              <w:t>s</w:t>
            </w:r>
            <w:proofErr w:type="gramEnd"/>
            <w:r w:rsidRPr="0028178F">
              <w:rPr>
                <w:sz w:val="24"/>
              </w:rPr>
              <w:t xml:space="preserve"> carrying amount and its fair value. Consequently, the annual assessment may trigger more frequent actual revaluations for such assets.</w:t>
            </w:r>
          </w:p>
        </w:tc>
      </w:tr>
    </w:tbl>
    <w:p w14:paraId="20EA3922" w14:textId="6E54F379" w:rsidR="007C30EA" w:rsidRPr="00C25D79" w:rsidDel="00DC0F18" w:rsidRDefault="007C30EA" w:rsidP="00D70B5C">
      <w:pPr>
        <w:pStyle w:val="BodyText"/>
      </w:pPr>
      <w:r w:rsidRPr="00C25D79">
        <w:t xml:space="preserve">AASB116 Property, Plant and Equipment (2022) states regarding </w:t>
      </w:r>
      <w:r w:rsidR="00A2391A">
        <w:t>having a class perspective to revaluations:</w:t>
      </w:r>
    </w:p>
    <w:tbl>
      <w:tblPr>
        <w:tblStyle w:val="TableGrid"/>
        <w:tblW w:w="0" w:type="auto"/>
        <w:tblLook w:val="04A0" w:firstRow="1" w:lastRow="0" w:firstColumn="1" w:lastColumn="0" w:noHBand="0" w:noVBand="1"/>
      </w:tblPr>
      <w:tblGrid>
        <w:gridCol w:w="9607"/>
      </w:tblGrid>
      <w:tr w:rsidR="00884F01" w14:paraId="7D688B1D" w14:textId="77777777" w:rsidTr="00F51FB6">
        <w:tc>
          <w:tcPr>
            <w:tcW w:w="9607" w:type="dxa"/>
            <w:shd w:val="clear" w:color="auto" w:fill="F2F2F2" w:themeFill="background1" w:themeFillShade="F2"/>
          </w:tcPr>
          <w:p w14:paraId="2B086DC9" w14:textId="48D63B36" w:rsidR="00884F01" w:rsidRPr="00AD339A" w:rsidRDefault="004E04AF" w:rsidP="00F51FB6">
            <w:pPr>
              <w:pStyle w:val="TableContent"/>
              <w:rPr>
                <w:b/>
                <w:bCs/>
                <w:sz w:val="24"/>
              </w:rPr>
            </w:pPr>
            <w:r w:rsidRPr="00AD339A">
              <w:rPr>
                <w:b/>
                <w:bCs/>
                <w:sz w:val="24"/>
              </w:rPr>
              <w:t>(AASB 2022: 10)</w:t>
            </w:r>
          </w:p>
        </w:tc>
      </w:tr>
      <w:tr w:rsidR="00884F01" w14:paraId="5B014472" w14:textId="77777777" w:rsidTr="00F51FB6">
        <w:tc>
          <w:tcPr>
            <w:tcW w:w="9607" w:type="dxa"/>
            <w:tcBorders>
              <w:bottom w:val="single" w:sz="4" w:space="0" w:color="000000"/>
            </w:tcBorders>
          </w:tcPr>
          <w:p w14:paraId="2EADC23C" w14:textId="535A3DB8" w:rsidR="00884F01" w:rsidRPr="00C319EE" w:rsidRDefault="00884F01" w:rsidP="00F51FB6">
            <w:pPr>
              <w:pStyle w:val="TableContent"/>
              <w:ind w:left="397" w:hanging="397"/>
              <w:rPr>
                <w:sz w:val="24"/>
              </w:rPr>
            </w:pPr>
            <w:r w:rsidRPr="00C319EE">
              <w:rPr>
                <w:i/>
                <w:iCs/>
              </w:rPr>
              <w:t>‘</w:t>
            </w:r>
            <w:r w:rsidRPr="00C319EE">
              <w:rPr>
                <w:sz w:val="24"/>
              </w:rPr>
              <w:t>36 If an item of property, plant and equipment is revalued, the entire class of property, plant and equipment to which that asset belongs shall be revalued.’</w:t>
            </w:r>
          </w:p>
        </w:tc>
      </w:tr>
      <w:tr w:rsidR="007F7EED" w14:paraId="0A57301A" w14:textId="77777777" w:rsidTr="00F51FB6">
        <w:tc>
          <w:tcPr>
            <w:tcW w:w="9607" w:type="dxa"/>
            <w:shd w:val="clear" w:color="auto" w:fill="F2F2F2" w:themeFill="background1" w:themeFillShade="F2"/>
          </w:tcPr>
          <w:p w14:paraId="5AABC2A6" w14:textId="179BDC17" w:rsidR="007F7EED" w:rsidRPr="00F51FB6" w:rsidRDefault="007F7EED" w:rsidP="00A2391A">
            <w:pPr>
              <w:pStyle w:val="TableContent"/>
              <w:rPr>
                <w:b/>
                <w:bCs/>
                <w:sz w:val="24"/>
              </w:rPr>
            </w:pPr>
            <w:r w:rsidRPr="004E04AF">
              <w:rPr>
                <w:rStyle w:val="normaltextrun"/>
                <w:highlight w:val="cyan"/>
              </w:rPr>
              <w:br w:type="page"/>
            </w:r>
            <w:r w:rsidRPr="00F77159">
              <w:rPr>
                <w:rStyle w:val="normaltextrun"/>
                <w:b/>
                <w:bCs/>
                <w:sz w:val="24"/>
                <w:shd w:val="clear" w:color="auto" w:fill="F2F2F2" w:themeFill="background1" w:themeFillShade="F2"/>
              </w:rPr>
              <w:t xml:space="preserve">Interpretation </w:t>
            </w:r>
            <w:r w:rsidRPr="00F77159">
              <w:rPr>
                <w:b/>
                <w:bCs/>
                <w:sz w:val="24"/>
                <w:shd w:val="clear" w:color="auto" w:fill="F2F2F2" w:themeFill="background1" w:themeFillShade="F2"/>
              </w:rPr>
              <w:t>(AASB 2022: 10)</w:t>
            </w:r>
          </w:p>
        </w:tc>
      </w:tr>
      <w:tr w:rsidR="007F7EED" w14:paraId="338C78D4" w14:textId="77777777" w:rsidTr="00884F01">
        <w:tc>
          <w:tcPr>
            <w:tcW w:w="9607" w:type="dxa"/>
          </w:tcPr>
          <w:p w14:paraId="4DDD0819" w14:textId="1D6D9AE5" w:rsidR="007F7EED" w:rsidRPr="003D73B8" w:rsidRDefault="007F7EED" w:rsidP="00D70B5C">
            <w:pPr>
              <w:pStyle w:val="BodyText"/>
            </w:pPr>
            <w:r w:rsidRPr="004E04AF">
              <w:rPr>
                <w:rStyle w:val="normaltextrun"/>
                <w:sz w:val="24"/>
              </w:rPr>
              <w:t>The revaluation model, if chosen as an accounting policy</w:t>
            </w:r>
            <w:r w:rsidR="00C319EE">
              <w:rPr>
                <w:rStyle w:val="normaltextrun"/>
                <w:sz w:val="24"/>
              </w:rPr>
              <w:t>,</w:t>
            </w:r>
            <w:r w:rsidRPr="004E04AF">
              <w:rPr>
                <w:rStyle w:val="normaltextrun"/>
                <w:sz w:val="24"/>
              </w:rPr>
              <w:t xml:space="preserve"> must be applied across ‘an entire class of property, plant and equipment’ (AASB 116 2022:10, par.29). Consequently, revaluation of a </w:t>
            </w:r>
            <w:r w:rsidRPr="00C319EE">
              <w:rPr>
                <w:rStyle w:val="normaltextrun"/>
                <w:sz w:val="24"/>
                <w:szCs w:val="32"/>
              </w:rPr>
              <w:t>single</w:t>
            </w:r>
            <w:r w:rsidRPr="00C319EE">
              <w:rPr>
                <w:rStyle w:val="normaltextrun"/>
                <w:sz w:val="32"/>
                <w:szCs w:val="32"/>
              </w:rPr>
              <w:t xml:space="preserve"> </w:t>
            </w:r>
            <w:r w:rsidRPr="004E04AF">
              <w:rPr>
                <w:rStyle w:val="normaltextrun"/>
                <w:sz w:val="24"/>
              </w:rPr>
              <w:t xml:space="preserve">asset in a class to which the revaluation model applies will necessitate the revaluation of </w:t>
            </w:r>
            <w:r w:rsidRPr="00C319EE">
              <w:rPr>
                <w:rStyle w:val="normaltextrun"/>
                <w:sz w:val="24"/>
                <w:szCs w:val="32"/>
              </w:rPr>
              <w:t>all</w:t>
            </w:r>
            <w:r w:rsidRPr="00C319EE">
              <w:rPr>
                <w:rStyle w:val="normaltextrun"/>
                <w:sz w:val="32"/>
                <w:szCs w:val="32"/>
              </w:rPr>
              <w:t xml:space="preserve"> </w:t>
            </w:r>
            <w:r w:rsidRPr="004E04AF">
              <w:rPr>
                <w:rStyle w:val="normaltextrun"/>
                <w:sz w:val="24"/>
              </w:rPr>
              <w:t>assets in that class.</w:t>
            </w:r>
          </w:p>
        </w:tc>
      </w:tr>
    </w:tbl>
    <w:p w14:paraId="40118732" w14:textId="77777777" w:rsidR="00C319EE" w:rsidRDefault="00C319EE" w:rsidP="00D70B5C">
      <w:pPr>
        <w:pStyle w:val="BodyText"/>
      </w:pPr>
      <w:r>
        <w:br w:type="page"/>
      </w:r>
    </w:p>
    <w:p w14:paraId="2E0AFA93" w14:textId="1E6ADBFD" w:rsidR="00310A8E" w:rsidRDefault="000044FF" w:rsidP="00D70B5C">
      <w:pPr>
        <w:pStyle w:val="BodyText"/>
        <w:rPr>
          <w:rStyle w:val="normaltextrun"/>
        </w:rPr>
      </w:pPr>
      <w:r w:rsidRPr="00F51FB6">
        <w:lastRenderedPageBreak/>
        <w:t>An asset's carrying amount at the reporting date is known (recorded in the accounting records). Consequently, the asset’s fair value at the reporting date must be assessed to determine whether it differs materially from the carrying amount. The question is</w:t>
      </w:r>
      <w:r w:rsidR="00C319EE">
        <w:t>,</w:t>
      </w:r>
      <w:r w:rsidRPr="00F51FB6">
        <w:t xml:space="preserve"> which factors affect the fair value of an asset and will have to be considered in the annual assessment of an asset’s fair value? These factors include</w:t>
      </w:r>
      <w:r w:rsidRPr="00134173">
        <w:rPr>
          <w:rStyle w:val="normaltextrun"/>
        </w:rPr>
        <w:t>:</w:t>
      </w:r>
    </w:p>
    <w:p w14:paraId="1D311E0A" w14:textId="763B9FD5" w:rsidR="000044FF" w:rsidRPr="000B7CD2" w:rsidRDefault="000044FF">
      <w:pPr>
        <w:pStyle w:val="BodyText"/>
        <w:numPr>
          <w:ilvl w:val="0"/>
          <w:numId w:val="141"/>
        </w:numPr>
        <w:rPr>
          <w:rStyle w:val="normaltextrun"/>
        </w:rPr>
      </w:pPr>
      <w:r w:rsidRPr="000B7CD2">
        <w:rPr>
          <w:rStyle w:val="normaltextrun"/>
        </w:rPr>
        <w:t>market factors</w:t>
      </w:r>
    </w:p>
    <w:p w14:paraId="005A2C72" w14:textId="77777777" w:rsidR="000044FF" w:rsidRPr="000B7CD2" w:rsidRDefault="000044FF">
      <w:pPr>
        <w:pStyle w:val="BodyText"/>
        <w:numPr>
          <w:ilvl w:val="0"/>
          <w:numId w:val="136"/>
        </w:numPr>
        <w:rPr>
          <w:rStyle w:val="normaltextrun"/>
        </w:rPr>
      </w:pPr>
      <w:r w:rsidRPr="000B7CD2">
        <w:rPr>
          <w:rStyle w:val="normaltextrun"/>
        </w:rPr>
        <w:t>asset condition</w:t>
      </w:r>
    </w:p>
    <w:p w14:paraId="1E67B77B" w14:textId="04863A7A" w:rsidR="000044FF" w:rsidRPr="000B7CD2" w:rsidRDefault="000044FF">
      <w:pPr>
        <w:pStyle w:val="BodyText"/>
        <w:numPr>
          <w:ilvl w:val="0"/>
          <w:numId w:val="137"/>
        </w:numPr>
        <w:rPr>
          <w:rStyle w:val="normaltextrun"/>
        </w:rPr>
      </w:pPr>
      <w:r w:rsidRPr="000B7CD2">
        <w:rPr>
          <w:rStyle w:val="normaltextrun"/>
        </w:rPr>
        <w:t>functional (technological) obsolescence</w:t>
      </w:r>
      <w:r w:rsidR="00C319EE">
        <w:rPr>
          <w:rStyle w:val="normaltextrun"/>
        </w:rPr>
        <w:t>;</w:t>
      </w:r>
      <w:r w:rsidR="00D8344B" w:rsidRPr="000B7CD2">
        <w:rPr>
          <w:rStyle w:val="normaltextrun"/>
        </w:rPr>
        <w:t xml:space="preserve"> and</w:t>
      </w:r>
    </w:p>
    <w:p w14:paraId="0BF6A7A7" w14:textId="77777777" w:rsidR="000044FF" w:rsidRPr="000B7CD2" w:rsidRDefault="000044FF">
      <w:pPr>
        <w:pStyle w:val="BodyText"/>
        <w:numPr>
          <w:ilvl w:val="0"/>
          <w:numId w:val="137"/>
        </w:numPr>
        <w:rPr>
          <w:rStyle w:val="normaltextrun"/>
        </w:rPr>
      </w:pPr>
      <w:r w:rsidRPr="000B7CD2">
        <w:rPr>
          <w:rStyle w:val="normaltextrun"/>
        </w:rPr>
        <w:t>economic obsolescence.</w:t>
      </w:r>
    </w:p>
    <w:p w14:paraId="108A7BDA" w14:textId="77777777" w:rsidR="000044FF" w:rsidRPr="00673AC9" w:rsidRDefault="000044FF" w:rsidP="00D70B5C">
      <w:pPr>
        <w:pStyle w:val="BodyText"/>
        <w:rPr>
          <w:rStyle w:val="normaltextrun"/>
        </w:rPr>
      </w:pPr>
      <w:r w:rsidRPr="005E6F3D">
        <w:rPr>
          <w:rStyle w:val="normaltextrun"/>
        </w:rPr>
        <w:t>The fair value assessment should consider:</w:t>
      </w:r>
      <w:r w:rsidRPr="00673AC9">
        <w:rPr>
          <w:rStyle w:val="normaltextrun"/>
        </w:rPr>
        <w:t xml:space="preserve"> </w:t>
      </w:r>
    </w:p>
    <w:p w14:paraId="2BBE06EE" w14:textId="77777777" w:rsidR="000044FF" w:rsidRPr="005E6F3D" w:rsidRDefault="000044FF">
      <w:pPr>
        <w:pStyle w:val="BodyText"/>
        <w:numPr>
          <w:ilvl w:val="0"/>
          <w:numId w:val="138"/>
        </w:numPr>
        <w:rPr>
          <w:rStyle w:val="normaltextrun"/>
        </w:rPr>
      </w:pPr>
      <w:r w:rsidRPr="005E6F3D">
        <w:rPr>
          <w:rStyle w:val="normaltextrun"/>
        </w:rPr>
        <w:t>changes in the above-mentioned factors since the last official valuation, which</w:t>
      </w:r>
    </w:p>
    <w:p w14:paraId="341C9CCC" w14:textId="77777777" w:rsidR="000044FF" w:rsidRPr="005E6F3D" w:rsidRDefault="000044FF">
      <w:pPr>
        <w:pStyle w:val="BodyText"/>
        <w:numPr>
          <w:ilvl w:val="0"/>
          <w:numId w:val="138"/>
        </w:numPr>
        <w:rPr>
          <w:rStyle w:val="normaltextrun"/>
        </w:rPr>
      </w:pPr>
      <w:r w:rsidRPr="005E6F3D">
        <w:rPr>
          <w:rStyle w:val="normaltextrun"/>
        </w:rPr>
        <w:t>are not reflected in the carrying amount of the asset.</w:t>
      </w:r>
    </w:p>
    <w:p w14:paraId="48B80AC3" w14:textId="7B059568" w:rsidR="000044FF" w:rsidRPr="00B840AF" w:rsidRDefault="000044FF" w:rsidP="00D70B5C">
      <w:pPr>
        <w:pStyle w:val="BodyText"/>
      </w:pPr>
      <w:r w:rsidRPr="00B840AF">
        <w:t xml:space="preserve">Only if the annual assessment determines that an asset class’s carrying amount at the reporting date differs materially from </w:t>
      </w:r>
      <w:r w:rsidR="004C3AEA" w:rsidRPr="00B840AF">
        <w:t>its</w:t>
      </w:r>
      <w:r w:rsidRPr="00B840AF">
        <w:t xml:space="preserve"> fair value should an actual revaluation of the asset class be performed. </w:t>
      </w:r>
    </w:p>
    <w:p w14:paraId="24F1F4E9" w14:textId="12CFCDA4" w:rsidR="000044FF" w:rsidRPr="00B840AF" w:rsidRDefault="000044FF">
      <w:pPr>
        <w:pStyle w:val="BodyText"/>
        <w:numPr>
          <w:ilvl w:val="0"/>
          <w:numId w:val="139"/>
        </w:numPr>
      </w:pPr>
      <w:r w:rsidRPr="00B840AF">
        <w:t xml:space="preserve">The failure to assess the need for revaluations as required under AASB116 Property, Plant and Equipment (2022) creates uncertainty, specifically whether: the financial statements have been prepared in accordance with the accounting standards, </w:t>
      </w:r>
      <w:r w:rsidRPr="000B7CD2">
        <w:t>and</w:t>
      </w:r>
    </w:p>
    <w:p w14:paraId="714D67A8" w14:textId="77777777" w:rsidR="000044FF" w:rsidRPr="00B840AF" w:rsidRDefault="000044FF">
      <w:pPr>
        <w:pStyle w:val="BodyText"/>
        <w:numPr>
          <w:ilvl w:val="0"/>
          <w:numId w:val="139"/>
        </w:numPr>
      </w:pPr>
      <w:r w:rsidRPr="00B840AF">
        <w:t xml:space="preserve">assets are disclosed at a fair value in the Statement of Financial Position. </w:t>
      </w:r>
    </w:p>
    <w:p w14:paraId="418E9024" w14:textId="77777777" w:rsidR="000044FF" w:rsidRPr="00DD466C" w:rsidRDefault="000044FF" w:rsidP="00D70B5C">
      <w:pPr>
        <w:pStyle w:val="BodyText"/>
      </w:pPr>
      <w:r w:rsidRPr="00DD466C">
        <w:t xml:space="preserve">If assets are not accounted for at fair value, depreciation of those assets will be inaccurate (as disclosed in the Statement of Comprehensive Income). </w:t>
      </w:r>
    </w:p>
    <w:p w14:paraId="153C9584" w14:textId="77777777" w:rsidR="000044FF" w:rsidRPr="00F57DB1" w:rsidRDefault="000044FF" w:rsidP="00D70B5C">
      <w:pPr>
        <w:pStyle w:val="BodyText"/>
      </w:pPr>
      <w:r w:rsidRPr="00F57DB1">
        <w:t>AASB 116 Property, Plant and Equipment (2022)</w:t>
      </w:r>
      <w:r w:rsidRPr="00F57DB1">
        <w:rPr>
          <w:vertAlign w:val="superscript"/>
        </w:rPr>
        <w:t xml:space="preserve"> </w:t>
      </w:r>
      <w:r w:rsidRPr="00F57DB1">
        <w:t>states the following regarding accounting for an increase or a decrease on revaluation of an asset:</w:t>
      </w:r>
    </w:p>
    <w:tbl>
      <w:tblPr>
        <w:tblStyle w:val="TableGrid"/>
        <w:tblW w:w="9639" w:type="dxa"/>
        <w:tblLook w:val="04A0" w:firstRow="1" w:lastRow="0" w:firstColumn="1" w:lastColumn="0" w:noHBand="0" w:noVBand="1"/>
      </w:tblPr>
      <w:tblGrid>
        <w:gridCol w:w="9639"/>
      </w:tblGrid>
      <w:tr w:rsidR="000044FF" w:rsidRPr="00F57DB1" w14:paraId="586DA8C3" w14:textId="77777777">
        <w:trPr>
          <w:tblHeader/>
        </w:trPr>
        <w:tc>
          <w:tcPr>
            <w:tcW w:w="9072" w:type="dxa"/>
            <w:shd w:val="clear" w:color="auto" w:fill="F2F2F2" w:themeFill="background1" w:themeFillShade="F2"/>
          </w:tcPr>
          <w:p w14:paraId="504093A9" w14:textId="77777777" w:rsidR="000044FF" w:rsidRPr="00793B42" w:rsidRDefault="000044FF" w:rsidP="00793B42">
            <w:pPr>
              <w:pStyle w:val="TableContent"/>
              <w:rPr>
                <w:b/>
                <w:bCs/>
                <w:sz w:val="24"/>
              </w:rPr>
            </w:pPr>
            <w:r w:rsidRPr="00793B42">
              <w:rPr>
                <w:b/>
                <w:bCs/>
                <w:sz w:val="24"/>
              </w:rPr>
              <w:t>(AASB 2022: 11)</w:t>
            </w:r>
          </w:p>
        </w:tc>
      </w:tr>
      <w:tr w:rsidR="000044FF" w:rsidRPr="00F57DB1" w14:paraId="766F9206" w14:textId="77777777">
        <w:tc>
          <w:tcPr>
            <w:tcW w:w="9072" w:type="dxa"/>
          </w:tcPr>
          <w:p w14:paraId="01F0300A" w14:textId="06B50298" w:rsidR="00BF24CD" w:rsidRPr="00793B42" w:rsidRDefault="000044FF" w:rsidP="004B514A">
            <w:pPr>
              <w:pStyle w:val="TableContent"/>
              <w:rPr>
                <w:color w:val="000000"/>
                <w:sz w:val="24"/>
              </w:rPr>
            </w:pPr>
            <w:r w:rsidRPr="00793B42">
              <w:rPr>
                <w:color w:val="000000"/>
                <w:sz w:val="24"/>
              </w:rPr>
              <w:t xml:space="preserve">‘Aus39.1 Notwithstanding paragraph 39, in respect of not-for-profit entities, if the carrying amount of a class of assets is </w:t>
            </w:r>
            <w:r w:rsidRPr="00793B42">
              <w:rPr>
                <w:color w:val="000000"/>
                <w:sz w:val="24"/>
                <w:u w:val="single"/>
              </w:rPr>
              <w:t>increased</w:t>
            </w:r>
            <w:r w:rsidRPr="00793B42">
              <w:rPr>
                <w:color w:val="000000"/>
                <w:sz w:val="24"/>
              </w:rPr>
              <w:t xml:space="preserve"> </w:t>
            </w:r>
            <w:proofErr w:type="gramStart"/>
            <w:r w:rsidRPr="00793B42">
              <w:rPr>
                <w:color w:val="000000"/>
                <w:sz w:val="24"/>
              </w:rPr>
              <w:t>as a result of</w:t>
            </w:r>
            <w:proofErr w:type="gramEnd"/>
            <w:r w:rsidRPr="00793B42">
              <w:rPr>
                <w:color w:val="000000"/>
                <w:sz w:val="24"/>
              </w:rPr>
              <w:t xml:space="preserve"> a revaluation, the net revaluation increase shall be recognised in other comprehensive income and accumulated in equity under the heading of revaluation surplus. However, the net revaluation increase shall be recognised in profit or loss to the extent that it reverses a net revaluation decrease of the same class of assets previously recognised in profit or loss.’</w:t>
            </w:r>
          </w:p>
        </w:tc>
      </w:tr>
      <w:tr w:rsidR="000044FF" w:rsidRPr="00F57DB1" w14:paraId="315B3516" w14:textId="77777777">
        <w:tblPrEx>
          <w:tblLook w:val="06A0" w:firstRow="1" w:lastRow="0" w:firstColumn="1" w:lastColumn="0" w:noHBand="1" w:noVBand="1"/>
        </w:tblPrEx>
        <w:trPr>
          <w:trHeight w:val="300"/>
          <w:tblHeader/>
        </w:trPr>
        <w:tc>
          <w:tcPr>
            <w:tcW w:w="9072" w:type="dxa"/>
            <w:tcBorders>
              <w:bottom w:val="single" w:sz="4" w:space="0" w:color="auto"/>
            </w:tcBorders>
          </w:tcPr>
          <w:p w14:paraId="3141D855" w14:textId="77777777" w:rsidR="000044FF" w:rsidRPr="00793B42" w:rsidRDefault="000044FF" w:rsidP="004C3AEA">
            <w:pPr>
              <w:pStyle w:val="TableContent"/>
              <w:ind w:left="1021" w:hanging="1021"/>
              <w:rPr>
                <w:color w:val="000000"/>
                <w:sz w:val="24"/>
              </w:rPr>
            </w:pPr>
            <w:r w:rsidRPr="00793B42">
              <w:rPr>
                <w:color w:val="000000"/>
                <w:sz w:val="24"/>
              </w:rPr>
              <w:t xml:space="preserve">‘Aus40.1 Notwithstanding paragraph 40, in respect of not-for-profit entities, if the carrying amount of a class of assets </w:t>
            </w:r>
            <w:r w:rsidRPr="00793B42">
              <w:rPr>
                <w:color w:val="000000"/>
                <w:sz w:val="24"/>
                <w:u w:val="single"/>
              </w:rPr>
              <w:t xml:space="preserve">decreased </w:t>
            </w:r>
            <w:proofErr w:type="gramStart"/>
            <w:r w:rsidRPr="00793B42">
              <w:rPr>
                <w:color w:val="000000"/>
                <w:sz w:val="24"/>
              </w:rPr>
              <w:t>as a result of</w:t>
            </w:r>
            <w:proofErr w:type="gramEnd"/>
            <w:r w:rsidRPr="00793B42">
              <w:rPr>
                <w:color w:val="000000"/>
                <w:sz w:val="24"/>
              </w:rPr>
              <w:t xml:space="preserve"> a revaluation, the net revaluation decrease shall be recognised in profit or loss. However, the net revaluation decrease shall be recognised in other comprehensive income to the </w:t>
            </w:r>
            <w:r w:rsidRPr="00793B42">
              <w:rPr>
                <w:color w:val="000000"/>
                <w:sz w:val="24"/>
              </w:rPr>
              <w:lastRenderedPageBreak/>
              <w:t xml:space="preserve">extent of any credit balance existing in any revaluation surplus in respect of that same class of asset. The net revaluation decrease recognised in other comprehensive income reduces the amount accumulated in equity under the heading of revaluation surplus. </w:t>
            </w:r>
          </w:p>
          <w:p w14:paraId="461511DD" w14:textId="5368C427" w:rsidR="000044FF" w:rsidRPr="00793B42" w:rsidRDefault="000044FF" w:rsidP="00BF24CD">
            <w:pPr>
              <w:pStyle w:val="TableContent"/>
              <w:ind w:left="964" w:hanging="964"/>
              <w:rPr>
                <w:color w:val="000000"/>
                <w:sz w:val="24"/>
              </w:rPr>
            </w:pPr>
            <w:r w:rsidRPr="00793B42">
              <w:rPr>
                <w:color w:val="000000"/>
                <w:sz w:val="24"/>
              </w:rPr>
              <w:t>Aus40.2 Notwithstanding paragraph 40, in respect of not-for-profit entities, revaluation increases and revaluation decreases relating to individual assets within a class of property, plant and equipment shall be offset against one another within that class but shall not be offset in respect of assets in different classes.’</w:t>
            </w:r>
          </w:p>
        </w:tc>
      </w:tr>
      <w:tr w:rsidR="000044FF" w:rsidRPr="00F57DB1" w14:paraId="74436DB5" w14:textId="77777777">
        <w:trPr>
          <w:tblHeader/>
        </w:trPr>
        <w:tc>
          <w:tcPr>
            <w:tcW w:w="9072" w:type="dxa"/>
            <w:shd w:val="clear" w:color="auto" w:fill="F2F2F2" w:themeFill="background1" w:themeFillShade="F2"/>
          </w:tcPr>
          <w:p w14:paraId="131052C1" w14:textId="77777777" w:rsidR="000044FF" w:rsidRPr="00BF24CD" w:rsidRDefault="000044FF" w:rsidP="00793B42">
            <w:pPr>
              <w:pStyle w:val="TableContent"/>
              <w:rPr>
                <w:rStyle w:val="normaltextrun"/>
                <w:b/>
                <w:bCs/>
                <w:sz w:val="24"/>
              </w:rPr>
            </w:pPr>
            <w:r w:rsidRPr="00BF24CD">
              <w:rPr>
                <w:b/>
                <w:bCs/>
                <w:sz w:val="24"/>
              </w:rPr>
              <w:t>Interpretation (AASB 2022: 11)</w:t>
            </w:r>
          </w:p>
        </w:tc>
      </w:tr>
      <w:tr w:rsidR="000044FF" w:rsidRPr="00F57DB1" w14:paraId="52C0267A" w14:textId="77777777">
        <w:tc>
          <w:tcPr>
            <w:tcW w:w="9072" w:type="dxa"/>
          </w:tcPr>
          <w:p w14:paraId="59D4B06A" w14:textId="77777777" w:rsidR="000044FF" w:rsidRPr="00793B42" w:rsidRDefault="000044FF" w:rsidP="00793B42">
            <w:pPr>
              <w:pStyle w:val="TableContent"/>
              <w:rPr>
                <w:sz w:val="24"/>
              </w:rPr>
            </w:pPr>
            <w:r w:rsidRPr="00793B42">
              <w:rPr>
                <w:sz w:val="24"/>
              </w:rPr>
              <w:t xml:space="preserve">Scenario one: </w:t>
            </w:r>
          </w:p>
          <w:p w14:paraId="4F80AF7E" w14:textId="77777777" w:rsidR="000044FF" w:rsidRPr="00793B42" w:rsidRDefault="000044FF" w:rsidP="00793B42">
            <w:pPr>
              <w:pStyle w:val="TableContent"/>
              <w:rPr>
                <w:sz w:val="24"/>
              </w:rPr>
            </w:pPr>
            <w:r w:rsidRPr="00793B42">
              <w:rPr>
                <w:sz w:val="24"/>
              </w:rPr>
              <w:t xml:space="preserve">No prior financial year asset revaluation increases or decreases carried forward: </w:t>
            </w:r>
          </w:p>
          <w:p w14:paraId="16D95E93" w14:textId="2C7E0B53" w:rsidR="000044FF" w:rsidRPr="00793B42" w:rsidRDefault="000044FF">
            <w:pPr>
              <w:pStyle w:val="TableContent"/>
              <w:numPr>
                <w:ilvl w:val="0"/>
                <w:numId w:val="91"/>
              </w:numPr>
              <w:rPr>
                <w:rStyle w:val="normaltextrun"/>
                <w:sz w:val="24"/>
              </w:rPr>
            </w:pPr>
            <w:r w:rsidRPr="00793B42">
              <w:rPr>
                <w:rStyle w:val="normaltextrun"/>
                <w:sz w:val="24"/>
              </w:rPr>
              <w:t>carrying amount of a class of assets increases – recognise the net revaluation increase in other comprehensive income and equity (revaluation surplus)</w:t>
            </w:r>
            <w:r w:rsidR="00C319EE">
              <w:rPr>
                <w:rStyle w:val="normaltextrun"/>
                <w:sz w:val="24"/>
              </w:rPr>
              <w:t>,</w:t>
            </w:r>
            <w:r w:rsidRPr="00793B42">
              <w:rPr>
                <w:rStyle w:val="normaltextrun"/>
                <w:sz w:val="24"/>
              </w:rPr>
              <w:t xml:space="preserve"> or</w:t>
            </w:r>
          </w:p>
          <w:p w14:paraId="2C0DF32A" w14:textId="77777777" w:rsidR="000044FF" w:rsidRPr="00793B42" w:rsidRDefault="000044FF">
            <w:pPr>
              <w:pStyle w:val="TableContent"/>
              <w:numPr>
                <w:ilvl w:val="0"/>
                <w:numId w:val="91"/>
              </w:numPr>
              <w:rPr>
                <w:rStyle w:val="normaltextrun"/>
                <w:sz w:val="24"/>
              </w:rPr>
            </w:pPr>
            <w:r w:rsidRPr="00793B42">
              <w:rPr>
                <w:rStyle w:val="normaltextrun"/>
                <w:sz w:val="24"/>
              </w:rPr>
              <w:t>carrying amount of a class of assets decreases – recognise the net revaluation decrease in profit or loss.</w:t>
            </w:r>
          </w:p>
          <w:p w14:paraId="4CF4BD06" w14:textId="114514BF" w:rsidR="001031C9" w:rsidRDefault="000044FF" w:rsidP="007B22CA">
            <w:pPr>
              <w:pStyle w:val="TableContent"/>
              <w:rPr>
                <w:rStyle w:val="normaltextrun"/>
                <w:sz w:val="24"/>
              </w:rPr>
            </w:pPr>
            <w:r w:rsidRPr="00793B42">
              <w:rPr>
                <w:rStyle w:val="normaltextrun"/>
                <w:sz w:val="24"/>
              </w:rPr>
              <w:t xml:space="preserve">Scenario </w:t>
            </w:r>
            <w:r w:rsidR="001031C9" w:rsidRPr="00787A5C">
              <w:rPr>
                <w:rStyle w:val="normaltextrun"/>
                <w:sz w:val="24"/>
              </w:rPr>
              <w:t>two</w:t>
            </w:r>
          </w:p>
          <w:p w14:paraId="73BC27DA" w14:textId="48D2758F" w:rsidR="000044FF" w:rsidRPr="00793B42" w:rsidRDefault="000044FF" w:rsidP="001031C9">
            <w:pPr>
              <w:pStyle w:val="TableContent"/>
              <w:rPr>
                <w:sz w:val="24"/>
              </w:rPr>
            </w:pPr>
            <w:r w:rsidRPr="00793B42">
              <w:rPr>
                <w:sz w:val="24"/>
              </w:rPr>
              <w:t xml:space="preserve">Prior financial year asset revaluation increases or decreases carried forward: </w:t>
            </w:r>
          </w:p>
          <w:p w14:paraId="1451D979" w14:textId="7A85410C" w:rsidR="000044FF" w:rsidRPr="00793B42" w:rsidRDefault="000044FF">
            <w:pPr>
              <w:pStyle w:val="TableContent"/>
              <w:numPr>
                <w:ilvl w:val="0"/>
                <w:numId w:val="92"/>
              </w:numPr>
              <w:rPr>
                <w:rStyle w:val="normaltextrun"/>
                <w:sz w:val="24"/>
              </w:rPr>
            </w:pPr>
            <w:r w:rsidRPr="00793B42">
              <w:rPr>
                <w:rStyle w:val="normaltextrun"/>
                <w:sz w:val="24"/>
              </w:rPr>
              <w:t>carrying amount of a class of assets increases – recognise the net revaluation increase in profit or loss (‘</w:t>
            </w:r>
            <w:r w:rsidRPr="00793B42">
              <w:rPr>
                <w:color w:val="000000"/>
                <w:sz w:val="24"/>
              </w:rPr>
              <w:t>to the extent that it reverses a net revaluation decrease of the same class of assets previously recognised in profit or loss’)</w:t>
            </w:r>
            <w:r w:rsidR="00C319EE">
              <w:rPr>
                <w:color w:val="000000"/>
                <w:sz w:val="24"/>
              </w:rPr>
              <w:t>,</w:t>
            </w:r>
            <w:r w:rsidRPr="00793B42">
              <w:rPr>
                <w:rStyle w:val="normaltextrun"/>
                <w:sz w:val="24"/>
              </w:rPr>
              <w:t xml:space="preserve"> or</w:t>
            </w:r>
          </w:p>
          <w:p w14:paraId="2310B36D" w14:textId="77777777" w:rsidR="000044FF" w:rsidRPr="00793B42" w:rsidRDefault="000044FF">
            <w:pPr>
              <w:pStyle w:val="TableContent"/>
              <w:numPr>
                <w:ilvl w:val="0"/>
                <w:numId w:val="92"/>
              </w:numPr>
              <w:rPr>
                <w:rStyle w:val="normaltextrun"/>
                <w:sz w:val="24"/>
              </w:rPr>
            </w:pPr>
            <w:r w:rsidRPr="00793B42">
              <w:rPr>
                <w:rStyle w:val="normaltextrun"/>
                <w:sz w:val="24"/>
              </w:rPr>
              <w:t>carrying amount of assets decreases – recognise the net revaluation decrease in other comprehensive income and equity (revaluation surplus) (‘</w:t>
            </w:r>
            <w:r w:rsidRPr="00793B42">
              <w:rPr>
                <w:sz w:val="24"/>
              </w:rPr>
              <w:t>to the extent of any credit balance existing in any revaluation surplus in respect of that same class of asset’</w:t>
            </w:r>
            <w:r w:rsidRPr="00793B42">
              <w:rPr>
                <w:i/>
                <w:iCs/>
                <w:sz w:val="24"/>
              </w:rPr>
              <w:t>).</w:t>
            </w:r>
          </w:p>
        </w:tc>
      </w:tr>
    </w:tbl>
    <w:p w14:paraId="3090F3E8" w14:textId="77777777" w:rsidR="000044FF" w:rsidRDefault="000044FF" w:rsidP="000044FF">
      <w:pPr>
        <w:spacing w:after="160" w:line="278" w:lineRule="auto"/>
        <w:rPr>
          <w:b/>
          <w:bCs/>
        </w:rPr>
      </w:pPr>
      <w:r>
        <w:rPr>
          <w:b/>
          <w:bCs/>
        </w:rPr>
        <w:br w:type="page"/>
      </w:r>
    </w:p>
    <w:p w14:paraId="43E9E01A" w14:textId="77777777" w:rsidR="000044FF" w:rsidRDefault="000044FF" w:rsidP="000044FF">
      <w:pPr>
        <w:pStyle w:val="Heading2"/>
      </w:pPr>
      <w:bookmarkStart w:id="104" w:name="_Toc170118985"/>
      <w:bookmarkStart w:id="105" w:name="_Toc207722752"/>
      <w:bookmarkStart w:id="106" w:name="_Toc223445085"/>
      <w:r w:rsidRPr="00F57DB1">
        <w:lastRenderedPageBreak/>
        <w:t>AASB 136 Impairment of Assets</w:t>
      </w:r>
      <w:bookmarkEnd w:id="104"/>
      <w:r w:rsidRPr="00F57DB1">
        <w:t xml:space="preserve"> (2022)</w:t>
      </w:r>
      <w:bookmarkEnd w:id="105"/>
      <w:bookmarkEnd w:id="106"/>
    </w:p>
    <w:p w14:paraId="53993480" w14:textId="0DF97CD7" w:rsidR="005775C7" w:rsidRPr="005775C7" w:rsidRDefault="005775C7" w:rsidP="00114449">
      <w:pPr>
        <w:pStyle w:val="Heading4"/>
      </w:pPr>
      <w:r w:rsidRPr="007A5FB7">
        <w:t>Annual assessment</w:t>
      </w:r>
    </w:p>
    <w:p w14:paraId="7E471098" w14:textId="77777777" w:rsidR="000044FF" w:rsidRPr="00F57DB1" w:rsidRDefault="000044FF" w:rsidP="00D70B5C">
      <w:pPr>
        <w:pStyle w:val="BodyText"/>
        <w:rPr>
          <w:b/>
        </w:rPr>
      </w:pPr>
      <w:r w:rsidRPr="00F57DB1">
        <w:t xml:space="preserve">AASB 136 Impairment of Assets (2022) places an annual obligation on local governments: </w:t>
      </w:r>
    </w:p>
    <w:tbl>
      <w:tblPr>
        <w:tblStyle w:val="TableGrid"/>
        <w:tblW w:w="9639" w:type="dxa"/>
        <w:tblLook w:val="04A0" w:firstRow="1" w:lastRow="0" w:firstColumn="1" w:lastColumn="0" w:noHBand="0" w:noVBand="1"/>
      </w:tblPr>
      <w:tblGrid>
        <w:gridCol w:w="9639"/>
      </w:tblGrid>
      <w:tr w:rsidR="000044FF" w:rsidRPr="00F57DB1" w14:paraId="5452EFC5" w14:textId="77777777">
        <w:trPr>
          <w:tblHeader/>
        </w:trPr>
        <w:tc>
          <w:tcPr>
            <w:tcW w:w="0" w:type="auto"/>
            <w:shd w:val="clear" w:color="auto" w:fill="F2F2F2" w:themeFill="background1" w:themeFillShade="F2"/>
          </w:tcPr>
          <w:p w14:paraId="07549E8B" w14:textId="77777777" w:rsidR="000044FF" w:rsidRPr="00CB3878" w:rsidRDefault="000044FF" w:rsidP="00CB3878">
            <w:pPr>
              <w:pStyle w:val="TableContent"/>
              <w:rPr>
                <w:b/>
                <w:bCs/>
                <w:sz w:val="24"/>
              </w:rPr>
            </w:pPr>
            <w:r w:rsidRPr="00CB3878">
              <w:rPr>
                <w:b/>
                <w:bCs/>
                <w:sz w:val="24"/>
              </w:rPr>
              <w:t>(AASB 2022: 7)</w:t>
            </w:r>
          </w:p>
        </w:tc>
      </w:tr>
      <w:tr w:rsidR="000044FF" w:rsidRPr="00F57DB1" w14:paraId="087BF6D8" w14:textId="77777777">
        <w:tc>
          <w:tcPr>
            <w:tcW w:w="0" w:type="auto"/>
            <w:tcBorders>
              <w:bottom w:val="single" w:sz="4" w:space="0" w:color="auto"/>
            </w:tcBorders>
          </w:tcPr>
          <w:p w14:paraId="0CC53807" w14:textId="25FA6C76" w:rsidR="000044FF" w:rsidRPr="00C319EE" w:rsidRDefault="000044FF" w:rsidP="00CB3878">
            <w:pPr>
              <w:pStyle w:val="TableContent"/>
              <w:rPr>
                <w:i/>
                <w:iCs/>
                <w:sz w:val="24"/>
              </w:rPr>
            </w:pPr>
            <w:r w:rsidRPr="00C319EE">
              <w:rPr>
                <w:i/>
                <w:iCs/>
                <w:sz w:val="24"/>
              </w:rPr>
              <w:t>‘</w:t>
            </w:r>
            <w:r w:rsidRPr="00C319EE">
              <w:rPr>
                <w:sz w:val="24"/>
              </w:rPr>
              <w:t>6 The following terms are used in this Standard with the meanings specified:</w:t>
            </w:r>
            <w:r w:rsidRPr="00C319EE">
              <w:rPr>
                <w:i/>
                <w:iCs/>
                <w:sz w:val="24"/>
              </w:rPr>
              <w:t xml:space="preserve"> </w:t>
            </w:r>
          </w:p>
          <w:p w14:paraId="050327C2" w14:textId="77777777" w:rsidR="000044FF" w:rsidRPr="00C319EE" w:rsidRDefault="000044FF" w:rsidP="00901375">
            <w:pPr>
              <w:pStyle w:val="TableContent"/>
              <w:ind w:left="340"/>
              <w:rPr>
                <w:sz w:val="24"/>
              </w:rPr>
            </w:pPr>
            <w:r w:rsidRPr="00C319EE">
              <w:rPr>
                <w:sz w:val="24"/>
              </w:rPr>
              <w:t xml:space="preserve">    An impairment loss is the amount by which the carrying amount of an asset or a cash-generating unit exceeds its recoverable amount.</w:t>
            </w:r>
          </w:p>
          <w:p w14:paraId="6518EE54" w14:textId="77777777" w:rsidR="000044FF" w:rsidRPr="00901375" w:rsidRDefault="000044FF" w:rsidP="00901375">
            <w:pPr>
              <w:pStyle w:val="TableContent"/>
              <w:ind w:left="340"/>
              <w:rPr>
                <w:b/>
                <w:bCs/>
                <w:i/>
                <w:iCs/>
                <w:sz w:val="24"/>
              </w:rPr>
            </w:pPr>
            <w:r w:rsidRPr="00C319EE">
              <w:rPr>
                <w:sz w:val="24"/>
              </w:rPr>
              <w:t>…The</w:t>
            </w:r>
            <w:r w:rsidRPr="00C319EE">
              <w:rPr>
                <w:i/>
                <w:iCs/>
                <w:sz w:val="24"/>
              </w:rPr>
              <w:t xml:space="preserve"> recoverable amount </w:t>
            </w:r>
            <w:r w:rsidRPr="00C319EE">
              <w:rPr>
                <w:sz w:val="24"/>
              </w:rPr>
              <w:t>of an asset or a cash-generating unit is the higher of its fair value less costs of disposal and its value in use</w:t>
            </w:r>
            <w:r w:rsidRPr="00C319EE">
              <w:rPr>
                <w:i/>
                <w:iCs/>
                <w:sz w:val="24"/>
              </w:rPr>
              <w:t>.’</w:t>
            </w:r>
          </w:p>
        </w:tc>
      </w:tr>
      <w:tr w:rsidR="000044FF" w:rsidRPr="00F57DB1" w14:paraId="61959944" w14:textId="77777777">
        <w:tc>
          <w:tcPr>
            <w:tcW w:w="0" w:type="auto"/>
            <w:shd w:val="clear" w:color="auto" w:fill="F2F2F2" w:themeFill="background1" w:themeFillShade="F2"/>
          </w:tcPr>
          <w:p w14:paraId="16B96648" w14:textId="77777777" w:rsidR="000044FF" w:rsidRPr="00CB3878" w:rsidRDefault="000044FF" w:rsidP="00CB3878">
            <w:pPr>
              <w:pStyle w:val="TableContent"/>
              <w:rPr>
                <w:b/>
                <w:bCs/>
                <w:sz w:val="24"/>
              </w:rPr>
            </w:pPr>
            <w:r w:rsidRPr="00CB3878">
              <w:rPr>
                <w:b/>
                <w:bCs/>
                <w:sz w:val="24"/>
              </w:rPr>
              <w:t>(AASB 2022:8)</w:t>
            </w:r>
          </w:p>
        </w:tc>
      </w:tr>
      <w:tr w:rsidR="000044FF" w:rsidRPr="00F57DB1" w14:paraId="1A43112C" w14:textId="77777777">
        <w:tc>
          <w:tcPr>
            <w:tcW w:w="0" w:type="auto"/>
            <w:tcBorders>
              <w:bottom w:val="single" w:sz="4" w:space="0" w:color="auto"/>
            </w:tcBorders>
          </w:tcPr>
          <w:p w14:paraId="4325BFFC" w14:textId="610F8FFB" w:rsidR="000044FF" w:rsidRPr="00C319EE" w:rsidRDefault="000044FF" w:rsidP="00901375">
            <w:pPr>
              <w:pStyle w:val="TableContent"/>
              <w:ind w:left="284" w:hanging="284"/>
              <w:rPr>
                <w:i/>
                <w:iCs/>
                <w:sz w:val="24"/>
              </w:rPr>
            </w:pPr>
            <w:r w:rsidRPr="00C319EE">
              <w:rPr>
                <w:i/>
                <w:iCs/>
                <w:sz w:val="24"/>
              </w:rPr>
              <w:t>‘</w:t>
            </w:r>
            <w:r w:rsidRPr="00C319EE">
              <w:rPr>
                <w:sz w:val="24"/>
              </w:rPr>
              <w:t>9</w:t>
            </w:r>
            <w:r w:rsidRPr="00C319EE">
              <w:rPr>
                <w:i/>
                <w:iCs/>
                <w:sz w:val="24"/>
              </w:rPr>
              <w:t xml:space="preserve"> </w:t>
            </w:r>
            <w:r w:rsidRPr="00C319EE">
              <w:rPr>
                <w:sz w:val="24"/>
              </w:rPr>
              <w:t>An entity shall assess at the end of each reporting period whether there is any indication that an asset may be impaired. If any such indication exists, the entity shall estimate the recoverable amount of the asset.</w:t>
            </w:r>
            <w:r w:rsidRPr="00C319EE">
              <w:rPr>
                <w:i/>
                <w:iCs/>
                <w:sz w:val="24"/>
              </w:rPr>
              <w:t>’</w:t>
            </w:r>
          </w:p>
        </w:tc>
      </w:tr>
      <w:tr w:rsidR="000044FF" w:rsidRPr="00F57DB1" w14:paraId="2232991D" w14:textId="77777777">
        <w:tc>
          <w:tcPr>
            <w:tcW w:w="9639" w:type="dxa"/>
            <w:shd w:val="clear" w:color="auto" w:fill="F2F2F2" w:themeFill="background1" w:themeFillShade="F2"/>
          </w:tcPr>
          <w:p w14:paraId="19F68AAC" w14:textId="77777777" w:rsidR="000044FF" w:rsidRPr="00CB3878" w:rsidRDefault="000044FF" w:rsidP="00CB3878">
            <w:pPr>
              <w:pStyle w:val="TableContent"/>
              <w:rPr>
                <w:b/>
                <w:bCs/>
                <w:color w:val="FFFFFF" w:themeColor="background1"/>
                <w:sz w:val="24"/>
              </w:rPr>
            </w:pPr>
            <w:r w:rsidRPr="00CB3878">
              <w:rPr>
                <w:b/>
                <w:bCs/>
                <w:sz w:val="24"/>
              </w:rPr>
              <w:t>Interpretation</w:t>
            </w:r>
            <w:r w:rsidRPr="00CB3878">
              <w:rPr>
                <w:b/>
                <w:bCs/>
                <w:color w:val="FFFFFF" w:themeColor="background1"/>
                <w:sz w:val="24"/>
              </w:rPr>
              <w:t xml:space="preserve"> (</w:t>
            </w:r>
            <w:r w:rsidRPr="00CB3878">
              <w:rPr>
                <w:b/>
                <w:bCs/>
                <w:sz w:val="24"/>
              </w:rPr>
              <w:t>AASB 2022:8)</w:t>
            </w:r>
          </w:p>
        </w:tc>
      </w:tr>
      <w:tr w:rsidR="000044FF" w:rsidRPr="00F57DB1" w14:paraId="6B359D66" w14:textId="77777777">
        <w:tc>
          <w:tcPr>
            <w:tcW w:w="9639" w:type="dxa"/>
          </w:tcPr>
          <w:p w14:paraId="0A28C2F5" w14:textId="77777777" w:rsidR="000044FF" w:rsidRPr="00CB3878" w:rsidRDefault="000044FF" w:rsidP="00CB3878">
            <w:pPr>
              <w:pStyle w:val="TableContent"/>
              <w:rPr>
                <w:sz w:val="24"/>
              </w:rPr>
            </w:pPr>
            <w:r w:rsidRPr="00CB3878">
              <w:rPr>
                <w:sz w:val="24"/>
              </w:rPr>
              <w:t xml:space="preserve">Paragraph 9: </w:t>
            </w:r>
          </w:p>
          <w:p w14:paraId="58CBE72D" w14:textId="77777777" w:rsidR="000044FF" w:rsidRPr="00CB3878" w:rsidRDefault="000044FF" w:rsidP="00CB3878">
            <w:pPr>
              <w:pStyle w:val="TableContent"/>
              <w:rPr>
                <w:sz w:val="24"/>
              </w:rPr>
            </w:pPr>
            <w:r w:rsidRPr="00CB3878">
              <w:rPr>
                <w:sz w:val="24"/>
              </w:rPr>
              <w:t xml:space="preserve">The local government should: </w:t>
            </w:r>
          </w:p>
          <w:p w14:paraId="21708FB4" w14:textId="77777777" w:rsidR="000044FF" w:rsidRPr="00CB3878" w:rsidRDefault="000044FF">
            <w:pPr>
              <w:pStyle w:val="TableContent"/>
              <w:numPr>
                <w:ilvl w:val="0"/>
                <w:numId w:val="93"/>
              </w:numPr>
              <w:rPr>
                <w:color w:val="000000"/>
                <w:sz w:val="24"/>
              </w:rPr>
            </w:pPr>
            <w:r w:rsidRPr="00CB3878">
              <w:rPr>
                <w:sz w:val="24"/>
              </w:rPr>
              <w:t xml:space="preserve">annually assess assets for an impairment indicator </w:t>
            </w:r>
          </w:p>
          <w:p w14:paraId="7645A482" w14:textId="651D57A7" w:rsidR="000044FF" w:rsidRPr="00CB3878" w:rsidRDefault="000044FF">
            <w:pPr>
              <w:pStyle w:val="TableContent"/>
              <w:numPr>
                <w:ilvl w:val="0"/>
                <w:numId w:val="93"/>
              </w:numPr>
              <w:rPr>
                <w:color w:val="000000"/>
                <w:sz w:val="24"/>
              </w:rPr>
            </w:pPr>
            <w:r w:rsidRPr="00CB3878">
              <w:rPr>
                <w:sz w:val="24"/>
              </w:rPr>
              <w:t>if an impairment indicator exists, ‘estimate the recoverable amount of the asset’</w:t>
            </w:r>
            <w:r w:rsidR="00C319EE">
              <w:rPr>
                <w:sz w:val="24"/>
              </w:rPr>
              <w:t>;</w:t>
            </w:r>
            <w:r w:rsidRPr="00CB3878">
              <w:rPr>
                <w:sz w:val="24"/>
              </w:rPr>
              <w:t xml:space="preserve"> </w:t>
            </w:r>
            <w:r w:rsidRPr="00114449">
              <w:rPr>
                <w:sz w:val="24"/>
              </w:rPr>
              <w:t>and</w:t>
            </w:r>
            <w:r w:rsidRPr="00CB3878">
              <w:rPr>
                <w:sz w:val="24"/>
              </w:rPr>
              <w:t xml:space="preserve"> </w:t>
            </w:r>
          </w:p>
          <w:p w14:paraId="68C5114D" w14:textId="77777777" w:rsidR="000044FF" w:rsidRPr="00CB3878" w:rsidRDefault="000044FF">
            <w:pPr>
              <w:pStyle w:val="TableContent"/>
              <w:numPr>
                <w:ilvl w:val="0"/>
                <w:numId w:val="93"/>
              </w:numPr>
              <w:rPr>
                <w:color w:val="000000"/>
                <w:sz w:val="24"/>
              </w:rPr>
            </w:pPr>
            <w:r w:rsidRPr="00CB3878">
              <w:rPr>
                <w:sz w:val="24"/>
              </w:rPr>
              <w:t xml:space="preserve">account for impairment. In other words, reduce the carrying amount of the asset to its recoverable amount. </w:t>
            </w:r>
          </w:p>
        </w:tc>
      </w:tr>
    </w:tbl>
    <w:p w14:paraId="61919898" w14:textId="77777777" w:rsidR="001C7A67" w:rsidRDefault="001C7A67" w:rsidP="00114449">
      <w:pPr>
        <w:pStyle w:val="Heading4"/>
      </w:pPr>
      <w:r>
        <w:t>Not-for-profit entities</w:t>
      </w:r>
    </w:p>
    <w:p w14:paraId="02E43783" w14:textId="0B47EE67" w:rsidR="000044FF" w:rsidRPr="00F57DB1" w:rsidRDefault="000044FF" w:rsidP="00D70B5C">
      <w:pPr>
        <w:pStyle w:val="BodyText"/>
      </w:pPr>
      <w:r w:rsidRPr="00F57DB1">
        <w:t xml:space="preserve">AASB 136 Impairment of Assets (2022) was amended by AASB 2016-4 Amendments to Australian Accounting Standards – Recoverable Amount of Non-Cash-Generating Specialised Assets of Not-for-Profit Entities which was issued in June 2016. The amended AASB 136 Impairment of Assets (2022) states: </w:t>
      </w:r>
    </w:p>
    <w:tbl>
      <w:tblPr>
        <w:tblStyle w:val="TableGrid"/>
        <w:tblW w:w="9639" w:type="dxa"/>
        <w:tblLook w:val="04A0" w:firstRow="1" w:lastRow="0" w:firstColumn="1" w:lastColumn="0" w:noHBand="0" w:noVBand="1"/>
      </w:tblPr>
      <w:tblGrid>
        <w:gridCol w:w="9639"/>
      </w:tblGrid>
      <w:tr w:rsidR="000044FF" w:rsidRPr="006B4744" w14:paraId="0CE5F179" w14:textId="77777777" w:rsidTr="00E862D0">
        <w:trPr>
          <w:cantSplit/>
          <w:tblHeader/>
        </w:trPr>
        <w:tc>
          <w:tcPr>
            <w:tcW w:w="0" w:type="auto"/>
            <w:shd w:val="clear" w:color="auto" w:fill="F2F2F2" w:themeFill="background1" w:themeFillShade="F2"/>
          </w:tcPr>
          <w:p w14:paraId="08324DF9" w14:textId="77777777" w:rsidR="000044FF" w:rsidRPr="00F53295" w:rsidRDefault="000044FF" w:rsidP="006B4744">
            <w:pPr>
              <w:pStyle w:val="TableContent"/>
              <w:rPr>
                <w:b/>
                <w:bCs/>
                <w:sz w:val="24"/>
              </w:rPr>
            </w:pPr>
            <w:r w:rsidRPr="00F53295">
              <w:rPr>
                <w:b/>
                <w:bCs/>
                <w:sz w:val="24"/>
              </w:rPr>
              <w:t>(AASB 2022: 7)</w:t>
            </w:r>
          </w:p>
        </w:tc>
      </w:tr>
      <w:tr w:rsidR="000044FF" w:rsidRPr="006B4744" w14:paraId="5C363F92" w14:textId="77777777">
        <w:tc>
          <w:tcPr>
            <w:tcW w:w="0" w:type="auto"/>
            <w:tcBorders>
              <w:bottom w:val="single" w:sz="4" w:space="0" w:color="auto"/>
            </w:tcBorders>
          </w:tcPr>
          <w:p w14:paraId="062F5DF1" w14:textId="2E8F0925" w:rsidR="001C7A67" w:rsidRPr="006B4744" w:rsidRDefault="000044FF" w:rsidP="00114449">
            <w:pPr>
              <w:pStyle w:val="TableContent"/>
              <w:ind w:left="851" w:hanging="851"/>
              <w:rPr>
                <w:color w:val="000000"/>
                <w:sz w:val="24"/>
              </w:rPr>
            </w:pPr>
            <w:r w:rsidRPr="006B4744">
              <w:rPr>
                <w:color w:val="000000"/>
                <w:sz w:val="24"/>
              </w:rPr>
              <w:t xml:space="preserve">‘Aus5.1 Many assets of not-for-profit entities that are not held primarily for their ability to generate net cash inflows are typically specialised assets held for continuing use of their service capacity. Given that these assets are rarely sold, their cost of disposal is typically negligible. The recoverable amount of such assets is expected to be materially the same as fair value, determined under AASB 13 Fair Value Measurement, with the consequence that this Standard: </w:t>
            </w:r>
          </w:p>
          <w:p w14:paraId="3ED26A91" w14:textId="77777777" w:rsidR="000044FF" w:rsidRPr="00114449" w:rsidRDefault="000044FF" w:rsidP="00F53295">
            <w:pPr>
              <w:pStyle w:val="TableContent"/>
              <w:ind w:left="1248" w:hanging="397"/>
              <w:rPr>
                <w:color w:val="000000"/>
                <w:sz w:val="24"/>
              </w:rPr>
            </w:pPr>
            <w:r w:rsidRPr="006B4744">
              <w:rPr>
                <w:color w:val="000000"/>
                <w:sz w:val="24"/>
              </w:rPr>
              <w:lastRenderedPageBreak/>
              <w:t xml:space="preserve">(a) does not apply to such assets that are regularly revalued to fair value under the revaluation model in AASB 116 and AASB 138; </w:t>
            </w:r>
            <w:r w:rsidRPr="00114449">
              <w:rPr>
                <w:color w:val="000000"/>
                <w:sz w:val="24"/>
              </w:rPr>
              <w:t xml:space="preserve">and </w:t>
            </w:r>
          </w:p>
          <w:p w14:paraId="294F2474" w14:textId="77777777" w:rsidR="000044FF" w:rsidRPr="006B4744" w:rsidRDefault="000044FF" w:rsidP="00F53295">
            <w:pPr>
              <w:pStyle w:val="TableContent"/>
              <w:ind w:left="1248" w:hanging="397"/>
              <w:rPr>
                <w:color w:val="000000"/>
                <w:sz w:val="24"/>
              </w:rPr>
            </w:pPr>
            <w:r w:rsidRPr="006B4744">
              <w:rPr>
                <w:color w:val="000000"/>
                <w:sz w:val="24"/>
              </w:rPr>
              <w:t>(b) applies to such assets accounted for under the cost model in AASB 116 and AASB 138.’</w:t>
            </w:r>
          </w:p>
        </w:tc>
      </w:tr>
      <w:tr w:rsidR="000044FF" w:rsidRPr="006B4744" w14:paraId="128E11E5" w14:textId="77777777">
        <w:trPr>
          <w:tblHeader/>
        </w:trPr>
        <w:tc>
          <w:tcPr>
            <w:tcW w:w="0" w:type="auto"/>
            <w:shd w:val="clear" w:color="auto" w:fill="F2F2F2" w:themeFill="background1" w:themeFillShade="F2"/>
          </w:tcPr>
          <w:p w14:paraId="28319E2E" w14:textId="77777777" w:rsidR="000044FF" w:rsidRPr="00124EF6" w:rsidRDefault="000044FF" w:rsidP="006B4744">
            <w:pPr>
              <w:pStyle w:val="TableContent"/>
              <w:rPr>
                <w:b/>
                <w:bCs/>
                <w:sz w:val="24"/>
              </w:rPr>
            </w:pPr>
            <w:r w:rsidRPr="00124EF6">
              <w:rPr>
                <w:b/>
                <w:bCs/>
                <w:sz w:val="24"/>
              </w:rPr>
              <w:t>Interpretation (AASB 2022: 7)</w:t>
            </w:r>
          </w:p>
        </w:tc>
      </w:tr>
      <w:tr w:rsidR="000044FF" w:rsidRPr="006B4744" w14:paraId="272A43D6" w14:textId="77777777">
        <w:tc>
          <w:tcPr>
            <w:tcW w:w="0" w:type="auto"/>
          </w:tcPr>
          <w:p w14:paraId="6F514718" w14:textId="77777777" w:rsidR="000044FF" w:rsidRPr="004D5856" w:rsidRDefault="000044FF" w:rsidP="006B4744">
            <w:pPr>
              <w:pStyle w:val="TableContent"/>
              <w:rPr>
                <w:b/>
                <w:bCs/>
                <w:color w:val="000000"/>
                <w:sz w:val="24"/>
              </w:rPr>
            </w:pPr>
            <w:r w:rsidRPr="004D5856">
              <w:rPr>
                <w:b/>
                <w:bCs/>
                <w:color w:val="000000"/>
                <w:sz w:val="24"/>
              </w:rPr>
              <w:t xml:space="preserve">Assets accounted under the revaluation model: </w:t>
            </w:r>
          </w:p>
          <w:p w14:paraId="1C2159CF" w14:textId="77777777" w:rsidR="000044FF" w:rsidRPr="006B4744" w:rsidRDefault="000044FF" w:rsidP="006B4744">
            <w:pPr>
              <w:pStyle w:val="TableContent"/>
              <w:rPr>
                <w:sz w:val="24"/>
              </w:rPr>
            </w:pPr>
            <w:r w:rsidRPr="006B4744">
              <w:rPr>
                <w:sz w:val="24"/>
              </w:rPr>
              <w:t>It should be noted that, if an asset is revalued, the process will (automatically) consider and account for any impairment of the asset.</w:t>
            </w:r>
          </w:p>
          <w:p w14:paraId="467F17DD" w14:textId="77777777" w:rsidR="000044FF" w:rsidRPr="006B4744" w:rsidRDefault="000044FF" w:rsidP="006B4744">
            <w:pPr>
              <w:pStyle w:val="TableContent"/>
              <w:rPr>
                <w:sz w:val="24"/>
              </w:rPr>
            </w:pPr>
            <w:r w:rsidRPr="00C319EE">
              <w:rPr>
                <w:sz w:val="24"/>
              </w:rPr>
              <w:t>AASB 136 Impairment of Assets (2022) is not applicable if assets are comprehensively revalued on an annual basis.</w:t>
            </w:r>
            <w:r w:rsidRPr="006B4744">
              <w:rPr>
                <w:sz w:val="24"/>
              </w:rPr>
              <w:t xml:space="preserve"> However, if comprehensive revaluations are not performed annually, AASB 136 Impairment of Assets (2022) is applicable, and the local government should: </w:t>
            </w:r>
          </w:p>
          <w:p w14:paraId="759FB63F" w14:textId="77777777" w:rsidR="000044FF" w:rsidRPr="009C5538" w:rsidRDefault="000044FF">
            <w:pPr>
              <w:pStyle w:val="TableContent"/>
              <w:numPr>
                <w:ilvl w:val="0"/>
                <w:numId w:val="94"/>
              </w:numPr>
              <w:rPr>
                <w:color w:val="000000"/>
                <w:sz w:val="24"/>
              </w:rPr>
            </w:pPr>
            <w:r w:rsidRPr="006B4744">
              <w:rPr>
                <w:sz w:val="24"/>
              </w:rPr>
              <w:t xml:space="preserve">annually assess assets for impairment indicators </w:t>
            </w:r>
          </w:p>
          <w:p w14:paraId="0B1F9623" w14:textId="77777777" w:rsidR="009C5538" w:rsidRPr="006B4744" w:rsidRDefault="009C5538">
            <w:pPr>
              <w:pStyle w:val="TableContent"/>
              <w:numPr>
                <w:ilvl w:val="0"/>
                <w:numId w:val="94"/>
              </w:numPr>
              <w:rPr>
                <w:color w:val="000000"/>
                <w:sz w:val="24"/>
              </w:rPr>
            </w:pPr>
            <w:r w:rsidRPr="006B4744">
              <w:rPr>
                <w:sz w:val="24"/>
              </w:rPr>
              <w:t xml:space="preserve">if an impairment indicator exists: </w:t>
            </w:r>
          </w:p>
          <w:p w14:paraId="55CF6AF2" w14:textId="77777777" w:rsidR="009C5538" w:rsidRPr="006B4744" w:rsidRDefault="009C5538">
            <w:pPr>
              <w:pStyle w:val="TableContent"/>
              <w:numPr>
                <w:ilvl w:val="0"/>
                <w:numId w:val="95"/>
              </w:numPr>
              <w:ind w:left="1071" w:hanging="357"/>
              <w:rPr>
                <w:color w:val="000000"/>
                <w:sz w:val="24"/>
              </w:rPr>
            </w:pPr>
            <w:r w:rsidRPr="006B4744">
              <w:rPr>
                <w:sz w:val="24"/>
              </w:rPr>
              <w:t>‘</w:t>
            </w:r>
            <w:proofErr w:type="gramStart"/>
            <w:r w:rsidRPr="006B4744">
              <w:rPr>
                <w:sz w:val="24"/>
              </w:rPr>
              <w:t>estimate</w:t>
            </w:r>
            <w:proofErr w:type="gramEnd"/>
            <w:r w:rsidRPr="006B4744">
              <w:rPr>
                <w:sz w:val="24"/>
              </w:rPr>
              <w:t xml:space="preserve"> the recoverable amount of the asset’ (AASB 136 2022: 8, par. 9) </w:t>
            </w:r>
          </w:p>
          <w:p w14:paraId="2B28300F" w14:textId="77777777" w:rsidR="00C319EE" w:rsidRPr="00C319EE" w:rsidRDefault="009C5538">
            <w:pPr>
              <w:pStyle w:val="TableContent"/>
              <w:numPr>
                <w:ilvl w:val="0"/>
                <w:numId w:val="95"/>
              </w:numPr>
              <w:ind w:left="1071" w:hanging="357"/>
              <w:rPr>
                <w:color w:val="000000"/>
                <w:sz w:val="24"/>
              </w:rPr>
            </w:pPr>
            <w:r w:rsidRPr="006B4744">
              <w:rPr>
                <w:sz w:val="24"/>
              </w:rPr>
              <w:t xml:space="preserve">if ‘the recoverable amount of an asset is less than </w:t>
            </w:r>
            <w:proofErr w:type="gramStart"/>
            <w:r w:rsidRPr="006B4744">
              <w:rPr>
                <w:sz w:val="24"/>
              </w:rPr>
              <w:t>its</w:t>
            </w:r>
            <w:proofErr w:type="gramEnd"/>
            <w:r w:rsidRPr="006B4744">
              <w:rPr>
                <w:sz w:val="24"/>
              </w:rPr>
              <w:t xml:space="preserve"> carrying amount’, reduce the carrying amount of the asset to is ‘recoverable amount’ (AASB 136 2022:14, par.59).</w:t>
            </w:r>
            <w:r w:rsidR="00C319EE">
              <w:rPr>
                <w:sz w:val="24"/>
              </w:rPr>
              <w:t xml:space="preserve"> </w:t>
            </w:r>
          </w:p>
          <w:p w14:paraId="1146A287" w14:textId="083D1A57" w:rsidR="009C5538" w:rsidRPr="00C319EE" w:rsidRDefault="009C5538" w:rsidP="00C319EE">
            <w:pPr>
              <w:pStyle w:val="TableContent"/>
              <w:rPr>
                <w:b/>
                <w:bCs/>
                <w:color w:val="000000"/>
                <w:sz w:val="24"/>
              </w:rPr>
            </w:pPr>
            <w:r w:rsidRPr="00C319EE">
              <w:rPr>
                <w:b/>
                <w:bCs/>
                <w:color w:val="000000"/>
                <w:sz w:val="24"/>
              </w:rPr>
              <w:t xml:space="preserve">Assets accounted under the cost model: </w:t>
            </w:r>
          </w:p>
          <w:p w14:paraId="14C365EF" w14:textId="5DD5DC00" w:rsidR="009C5538" w:rsidRPr="006B4744" w:rsidRDefault="009C5538" w:rsidP="00F42C51">
            <w:pPr>
              <w:pStyle w:val="TableContent"/>
              <w:rPr>
                <w:color w:val="000000"/>
                <w:sz w:val="24"/>
              </w:rPr>
            </w:pPr>
            <w:r w:rsidRPr="006B4744">
              <w:rPr>
                <w:color w:val="000000"/>
                <w:sz w:val="24"/>
              </w:rPr>
              <w:t xml:space="preserve">In compliance with AASB 136 Impairment of Assets (2022) </w:t>
            </w:r>
            <w:r w:rsidRPr="006B4744">
              <w:rPr>
                <w:color w:val="000000"/>
                <w:sz w:val="24"/>
                <w:vertAlign w:val="superscript"/>
              </w:rPr>
              <w:t xml:space="preserve">  </w:t>
            </w:r>
            <w:r w:rsidRPr="006B4744">
              <w:rPr>
                <w:color w:val="000000"/>
                <w:sz w:val="24"/>
              </w:rPr>
              <w:t>paragraph 9, an annual impairment assessment must be performed to identify any impairment indicator(s).</w:t>
            </w:r>
          </w:p>
        </w:tc>
      </w:tr>
    </w:tbl>
    <w:p w14:paraId="73000793" w14:textId="2300A69F" w:rsidR="000044FF" w:rsidRPr="00A84270" w:rsidRDefault="000044FF" w:rsidP="00114449">
      <w:pPr>
        <w:pStyle w:val="Heading4"/>
      </w:pPr>
      <w:r w:rsidRPr="00E862D0">
        <w:t xml:space="preserve">Impairment </w:t>
      </w:r>
      <w:r w:rsidR="00D30A4F">
        <w:t>i</w:t>
      </w:r>
      <w:r w:rsidRPr="00E862D0">
        <w:t>ndicators</w:t>
      </w:r>
    </w:p>
    <w:p w14:paraId="632F918E" w14:textId="77777777" w:rsidR="000044FF" w:rsidRPr="00A84270" w:rsidRDefault="000044FF" w:rsidP="00D70B5C">
      <w:pPr>
        <w:pStyle w:val="BodyText"/>
      </w:pPr>
      <w:r w:rsidRPr="00A84270">
        <w:t>AASB 136 Impairment of Assets (2022) states:</w:t>
      </w:r>
    </w:p>
    <w:tbl>
      <w:tblPr>
        <w:tblStyle w:val="TableGrid"/>
        <w:tblW w:w="9639" w:type="dxa"/>
        <w:tblLook w:val="04A0" w:firstRow="1" w:lastRow="0" w:firstColumn="1" w:lastColumn="0" w:noHBand="0" w:noVBand="1"/>
      </w:tblPr>
      <w:tblGrid>
        <w:gridCol w:w="9639"/>
      </w:tblGrid>
      <w:tr w:rsidR="000044FF" w:rsidRPr="00A84270" w14:paraId="36392CFA" w14:textId="77777777" w:rsidTr="00E862D0">
        <w:trPr>
          <w:cantSplit/>
          <w:tblHeader/>
        </w:trPr>
        <w:tc>
          <w:tcPr>
            <w:tcW w:w="0" w:type="auto"/>
            <w:shd w:val="clear" w:color="auto" w:fill="F2F2F2" w:themeFill="background1" w:themeFillShade="F2"/>
          </w:tcPr>
          <w:p w14:paraId="32EFD7DE" w14:textId="77777777" w:rsidR="000044FF" w:rsidRPr="00B54DE0" w:rsidRDefault="000044FF" w:rsidP="00B54DE0">
            <w:pPr>
              <w:pStyle w:val="TableContent"/>
              <w:rPr>
                <w:b/>
                <w:bCs/>
                <w:sz w:val="24"/>
              </w:rPr>
            </w:pPr>
            <w:r w:rsidRPr="00B54DE0">
              <w:rPr>
                <w:b/>
                <w:bCs/>
                <w:sz w:val="24"/>
              </w:rPr>
              <w:t>(AASB 2022: 8)</w:t>
            </w:r>
          </w:p>
        </w:tc>
      </w:tr>
      <w:tr w:rsidR="000044FF" w:rsidRPr="00A84270" w14:paraId="33CCCD6F" w14:textId="77777777">
        <w:tc>
          <w:tcPr>
            <w:tcW w:w="0" w:type="auto"/>
          </w:tcPr>
          <w:p w14:paraId="4A7F37AE" w14:textId="4BA2661F" w:rsidR="000044FF" w:rsidRPr="00B54DE0" w:rsidRDefault="000044FF" w:rsidP="00B54DE0">
            <w:pPr>
              <w:pStyle w:val="TableContent"/>
              <w:ind w:left="397" w:hanging="397"/>
              <w:rPr>
                <w:color w:val="000000"/>
                <w:sz w:val="24"/>
              </w:rPr>
            </w:pPr>
            <w:r w:rsidRPr="00B54DE0">
              <w:rPr>
                <w:color w:val="000000"/>
                <w:sz w:val="24"/>
              </w:rPr>
              <w:t xml:space="preserve">‘12 In assessing whether there is any indication that an asset may be impaired, an entity shall consider, as a minimum, the following indications: </w:t>
            </w:r>
          </w:p>
          <w:p w14:paraId="0D87E548" w14:textId="77777777" w:rsidR="000044FF" w:rsidRPr="00B54DE0" w:rsidRDefault="000044FF" w:rsidP="00360390">
            <w:pPr>
              <w:pStyle w:val="TableContent"/>
              <w:ind w:left="794" w:hanging="397"/>
              <w:rPr>
                <w:color w:val="000000"/>
                <w:sz w:val="24"/>
              </w:rPr>
            </w:pPr>
            <w:r w:rsidRPr="00B54DE0">
              <w:rPr>
                <w:color w:val="000000"/>
                <w:sz w:val="24"/>
              </w:rPr>
              <w:t xml:space="preserve">External sources of information </w:t>
            </w:r>
          </w:p>
          <w:p w14:paraId="3173B12E" w14:textId="77777777" w:rsidR="000044FF" w:rsidRPr="00C319EE" w:rsidRDefault="000044FF" w:rsidP="00077518">
            <w:pPr>
              <w:pStyle w:val="TableContent"/>
              <w:ind w:left="794" w:hanging="397"/>
              <w:rPr>
                <w:sz w:val="24"/>
              </w:rPr>
            </w:pPr>
            <w:r w:rsidRPr="00C319EE">
              <w:rPr>
                <w:sz w:val="24"/>
              </w:rPr>
              <w:t>(a)</w:t>
            </w:r>
            <w:r w:rsidRPr="00077518">
              <w:rPr>
                <w:b/>
                <w:bCs/>
                <w:sz w:val="24"/>
              </w:rPr>
              <w:t xml:space="preserve"> </w:t>
            </w:r>
            <w:r w:rsidRPr="00C319EE">
              <w:rPr>
                <w:sz w:val="24"/>
              </w:rPr>
              <w:t xml:space="preserve">there are observable indications that the asset’s value has declined during the period significantly more than would be expected </w:t>
            </w:r>
            <w:proofErr w:type="gramStart"/>
            <w:r w:rsidRPr="00C319EE">
              <w:rPr>
                <w:sz w:val="24"/>
              </w:rPr>
              <w:t>as a result of</w:t>
            </w:r>
            <w:proofErr w:type="gramEnd"/>
            <w:r w:rsidRPr="00C319EE">
              <w:rPr>
                <w:sz w:val="24"/>
              </w:rPr>
              <w:t xml:space="preserve"> the passage of time or normal use.</w:t>
            </w:r>
          </w:p>
          <w:p w14:paraId="3E610A20" w14:textId="77777777" w:rsidR="000044FF" w:rsidRPr="00C319EE" w:rsidRDefault="000044FF" w:rsidP="00077518">
            <w:pPr>
              <w:pStyle w:val="TableContent"/>
              <w:ind w:left="794" w:hanging="397"/>
              <w:rPr>
                <w:sz w:val="24"/>
              </w:rPr>
            </w:pPr>
            <w:r w:rsidRPr="00C319EE">
              <w:rPr>
                <w:sz w:val="24"/>
              </w:rPr>
              <w:t xml:space="preserve">(b) significant changes with an adverse effect on the entity have taken place during the period, or will take place </w:t>
            </w:r>
            <w:proofErr w:type="gramStart"/>
            <w:r w:rsidRPr="00C319EE">
              <w:rPr>
                <w:sz w:val="24"/>
              </w:rPr>
              <w:t>in the near future</w:t>
            </w:r>
            <w:proofErr w:type="gramEnd"/>
            <w:r w:rsidRPr="00C319EE">
              <w:rPr>
                <w:sz w:val="24"/>
              </w:rPr>
              <w:t xml:space="preserve">, in the technological, market, economic or legal environment in which the entity operates or in the market to which an asset is dedicated. </w:t>
            </w:r>
          </w:p>
          <w:p w14:paraId="2BCE545A" w14:textId="77777777" w:rsidR="000044FF" w:rsidRPr="00C319EE" w:rsidRDefault="000044FF" w:rsidP="00077518">
            <w:pPr>
              <w:pStyle w:val="TableContent"/>
              <w:ind w:left="794" w:hanging="397"/>
              <w:rPr>
                <w:sz w:val="24"/>
              </w:rPr>
            </w:pPr>
            <w:r w:rsidRPr="00C319EE">
              <w:rPr>
                <w:sz w:val="24"/>
              </w:rPr>
              <w:lastRenderedPageBreak/>
              <w:t xml:space="preserve">(c) market interest rates or other market rates of return on investments have increased during the period, and those increases are likely to affect the discount rate used in calculating an asset’s value in use and decrease the asset’s recoverable amount materially. </w:t>
            </w:r>
          </w:p>
          <w:p w14:paraId="213BAD36" w14:textId="77777777" w:rsidR="00B91EAA" w:rsidRPr="00C319EE" w:rsidRDefault="000044FF" w:rsidP="00077518">
            <w:pPr>
              <w:pStyle w:val="TableContent"/>
              <w:ind w:left="794" w:hanging="397"/>
              <w:rPr>
                <w:sz w:val="24"/>
              </w:rPr>
            </w:pPr>
            <w:r w:rsidRPr="00C319EE">
              <w:rPr>
                <w:sz w:val="24"/>
              </w:rPr>
              <w:t>(d) the carrying amount of the net assets of the entity is more than its market capitalisation.</w:t>
            </w:r>
            <w:r w:rsidR="00B91EAA" w:rsidRPr="00C319EE">
              <w:rPr>
                <w:sz w:val="24"/>
              </w:rPr>
              <w:t xml:space="preserve"> </w:t>
            </w:r>
          </w:p>
          <w:p w14:paraId="41A5A980" w14:textId="2E4ED485" w:rsidR="000044FF" w:rsidRPr="00C319EE" w:rsidRDefault="000044FF" w:rsidP="00E862D0">
            <w:pPr>
              <w:pStyle w:val="TableContent"/>
              <w:ind w:left="397"/>
              <w:rPr>
                <w:color w:val="000000"/>
                <w:sz w:val="24"/>
              </w:rPr>
            </w:pPr>
            <w:r w:rsidRPr="00C319EE">
              <w:rPr>
                <w:color w:val="000000"/>
                <w:sz w:val="24"/>
              </w:rPr>
              <w:t xml:space="preserve">Internal sources of information </w:t>
            </w:r>
          </w:p>
          <w:p w14:paraId="0B647BCE" w14:textId="3FC8689F" w:rsidR="000044FF" w:rsidRPr="00C319EE" w:rsidRDefault="000044FF" w:rsidP="00787335">
            <w:pPr>
              <w:pStyle w:val="TableContent"/>
              <w:ind w:left="794" w:hanging="397"/>
              <w:rPr>
                <w:color w:val="000000"/>
                <w:sz w:val="24"/>
              </w:rPr>
            </w:pPr>
            <w:r w:rsidRPr="00C319EE">
              <w:rPr>
                <w:color w:val="000000"/>
                <w:sz w:val="24"/>
              </w:rPr>
              <w:t xml:space="preserve">(e) evidence is available of obsolescence or physical damage of an asset. </w:t>
            </w:r>
          </w:p>
          <w:p w14:paraId="28EE3B52" w14:textId="77777777" w:rsidR="000044FF" w:rsidRPr="00C319EE" w:rsidRDefault="000044FF" w:rsidP="00787335">
            <w:pPr>
              <w:pStyle w:val="TableContent"/>
              <w:ind w:left="794" w:hanging="397"/>
              <w:rPr>
                <w:color w:val="000000"/>
                <w:sz w:val="24"/>
              </w:rPr>
            </w:pPr>
            <w:r w:rsidRPr="00C319EE">
              <w:rPr>
                <w:color w:val="000000"/>
                <w:sz w:val="24"/>
              </w:rPr>
              <w:t xml:space="preserve">(f) significant changes with an adverse effect on the entity have taken place during the </w:t>
            </w:r>
            <w:proofErr w:type="gramStart"/>
            <w:r w:rsidRPr="00C319EE">
              <w:rPr>
                <w:color w:val="000000"/>
                <w:sz w:val="24"/>
              </w:rPr>
              <w:t>period, or</w:t>
            </w:r>
            <w:proofErr w:type="gramEnd"/>
            <w:r w:rsidRPr="00C319EE">
              <w:rPr>
                <w:color w:val="000000"/>
                <w:sz w:val="24"/>
              </w:rPr>
              <w:t xml:space="preserve"> are expected to take place </w:t>
            </w:r>
            <w:proofErr w:type="gramStart"/>
            <w:r w:rsidRPr="00C319EE">
              <w:rPr>
                <w:color w:val="000000"/>
                <w:sz w:val="24"/>
              </w:rPr>
              <w:t>in the near future</w:t>
            </w:r>
            <w:proofErr w:type="gramEnd"/>
            <w:r w:rsidRPr="00C319EE">
              <w:rPr>
                <w:color w:val="000000"/>
                <w:sz w:val="24"/>
              </w:rPr>
              <w:t xml:space="preserve">, in the extent to which, or </w:t>
            </w:r>
            <w:proofErr w:type="gramStart"/>
            <w:r w:rsidRPr="00C319EE">
              <w:rPr>
                <w:color w:val="000000"/>
                <w:sz w:val="24"/>
              </w:rPr>
              <w:t>manner in which</w:t>
            </w:r>
            <w:proofErr w:type="gramEnd"/>
            <w:r w:rsidRPr="00C319EE">
              <w:rPr>
                <w:color w:val="000000"/>
                <w:sz w:val="24"/>
              </w:rPr>
              <w:t xml:space="preserve">, an asset is used or is expected to be used. These changes include the asset becoming idle, plans to discontinue or restructure the operation to which an asset belongs, plans to dispose of an asset before the previously expected date, and reassessing the useful life of an asset as finite rather than indefinite.2 </w:t>
            </w:r>
          </w:p>
          <w:p w14:paraId="56667614" w14:textId="77777777" w:rsidR="000044FF" w:rsidRPr="00B54DE0" w:rsidRDefault="000044FF" w:rsidP="00787335">
            <w:pPr>
              <w:pStyle w:val="TableContent"/>
              <w:ind w:left="794" w:hanging="397"/>
              <w:rPr>
                <w:color w:val="000000"/>
                <w:sz w:val="24"/>
              </w:rPr>
            </w:pPr>
            <w:r w:rsidRPr="00C319EE">
              <w:rPr>
                <w:color w:val="000000"/>
                <w:sz w:val="24"/>
              </w:rPr>
              <w:t>(g) evidence is available from internal reporting that indicates that the economic performance of an asset is, or will be, worse than expected.'</w:t>
            </w:r>
          </w:p>
        </w:tc>
      </w:tr>
    </w:tbl>
    <w:p w14:paraId="4E50438D" w14:textId="77777777" w:rsidR="000044FF" w:rsidRPr="00A84270" w:rsidRDefault="000044FF" w:rsidP="00114449">
      <w:pPr>
        <w:pStyle w:val="Heading4"/>
      </w:pPr>
      <w:r w:rsidRPr="00E862D0">
        <w:t>Recognition of an impairment loss</w:t>
      </w:r>
    </w:p>
    <w:p w14:paraId="783C5CB3" w14:textId="77777777" w:rsidR="000044FF" w:rsidRPr="00A84270" w:rsidRDefault="000044FF" w:rsidP="00D70B5C">
      <w:pPr>
        <w:pStyle w:val="BodyText"/>
      </w:pPr>
      <w:r w:rsidRPr="00A84270">
        <w:t>AASB 136 Impairment of Assets (2022) states:</w:t>
      </w:r>
    </w:p>
    <w:tbl>
      <w:tblPr>
        <w:tblStyle w:val="TableGrid"/>
        <w:tblW w:w="9639" w:type="dxa"/>
        <w:tblLook w:val="04A0" w:firstRow="1" w:lastRow="0" w:firstColumn="1" w:lastColumn="0" w:noHBand="0" w:noVBand="1"/>
      </w:tblPr>
      <w:tblGrid>
        <w:gridCol w:w="9639"/>
      </w:tblGrid>
      <w:tr w:rsidR="000044FF" w:rsidRPr="00A84270" w14:paraId="7AC587E8" w14:textId="77777777">
        <w:tc>
          <w:tcPr>
            <w:tcW w:w="0" w:type="auto"/>
            <w:shd w:val="clear" w:color="auto" w:fill="F2F2F2" w:themeFill="background1" w:themeFillShade="F2"/>
          </w:tcPr>
          <w:p w14:paraId="3EBD2F1F" w14:textId="77777777" w:rsidR="000044FF" w:rsidRPr="003B02B2" w:rsidRDefault="000044FF" w:rsidP="003B02B2">
            <w:pPr>
              <w:pStyle w:val="TableContent"/>
              <w:rPr>
                <w:b/>
                <w:bCs/>
                <w:sz w:val="24"/>
              </w:rPr>
            </w:pPr>
            <w:r w:rsidRPr="003B02B2">
              <w:rPr>
                <w:b/>
                <w:bCs/>
                <w:sz w:val="24"/>
              </w:rPr>
              <w:t>(AASB 2022: 14)</w:t>
            </w:r>
          </w:p>
        </w:tc>
      </w:tr>
      <w:tr w:rsidR="000044FF" w:rsidRPr="00A84270" w14:paraId="79168A45" w14:textId="77777777">
        <w:tc>
          <w:tcPr>
            <w:tcW w:w="0" w:type="auto"/>
            <w:tcBorders>
              <w:bottom w:val="single" w:sz="4" w:space="0" w:color="auto"/>
            </w:tcBorders>
          </w:tcPr>
          <w:p w14:paraId="06FBD2B6" w14:textId="3E99A2CC" w:rsidR="000044FF" w:rsidRPr="00C319EE" w:rsidRDefault="000044FF" w:rsidP="00644FD1">
            <w:pPr>
              <w:pStyle w:val="TableContent"/>
              <w:ind w:left="397" w:hanging="397"/>
              <w:rPr>
                <w:color w:val="000000"/>
                <w:sz w:val="24"/>
              </w:rPr>
            </w:pPr>
            <w:r w:rsidRPr="00C319EE">
              <w:rPr>
                <w:color w:val="000000"/>
                <w:sz w:val="24"/>
              </w:rPr>
              <w:t xml:space="preserve">‘59 If, and only if, the recoverable amount of an asset is less than </w:t>
            </w:r>
            <w:proofErr w:type="gramStart"/>
            <w:r w:rsidRPr="00C319EE">
              <w:rPr>
                <w:color w:val="000000"/>
                <w:sz w:val="24"/>
              </w:rPr>
              <w:t>its</w:t>
            </w:r>
            <w:proofErr w:type="gramEnd"/>
            <w:r w:rsidRPr="00C319EE">
              <w:rPr>
                <w:color w:val="000000"/>
                <w:sz w:val="24"/>
              </w:rPr>
              <w:t xml:space="preserve"> carrying amount, the carrying amount of the asset shall be reduced to its recoverable amount. That reduction is an impairment loss. </w:t>
            </w:r>
          </w:p>
          <w:p w14:paraId="05CF3450" w14:textId="51FE53FC" w:rsidR="000044FF" w:rsidRPr="003B02B2" w:rsidRDefault="000044FF" w:rsidP="00644FD1">
            <w:pPr>
              <w:pStyle w:val="TableContent"/>
              <w:ind w:left="397" w:hanging="397"/>
              <w:rPr>
                <w:b/>
                <w:bCs/>
                <w:color w:val="000000"/>
                <w:sz w:val="24"/>
              </w:rPr>
            </w:pPr>
            <w:r w:rsidRPr="00C319EE">
              <w:rPr>
                <w:color w:val="000000"/>
                <w:sz w:val="24"/>
              </w:rPr>
              <w:t>60 An impairment loss shall be recognised immediately in profit or loss, unless the asset is carried at revalued amount in accordance with another Standard (for example, in accordance with the revaluation model in AASB 116). Any impairment loss of a revalued asset shall be treated as a revaluation decrease in accordance with that other Standard.’</w:t>
            </w:r>
          </w:p>
        </w:tc>
      </w:tr>
    </w:tbl>
    <w:p w14:paraId="3E0C35AA" w14:textId="77777777" w:rsidR="002A2CDD" w:rsidRDefault="002A2CDD" w:rsidP="003B02B2">
      <w:pPr>
        <w:pStyle w:val="TableContent"/>
        <w:rPr>
          <w:b/>
          <w:bCs/>
        </w:rPr>
        <w:sectPr w:rsidR="002A2CDD" w:rsidSect="00F57F84">
          <w:pgSz w:w="11920" w:h="16840"/>
          <w:pgMar w:top="1440" w:right="863" w:bottom="1440" w:left="1440" w:header="720" w:footer="282" w:gutter="0"/>
          <w:cols w:space="720"/>
        </w:sectPr>
      </w:pPr>
    </w:p>
    <w:tbl>
      <w:tblPr>
        <w:tblStyle w:val="TableGrid"/>
        <w:tblW w:w="9639" w:type="dxa"/>
        <w:tblLook w:val="04A0" w:firstRow="1" w:lastRow="0" w:firstColumn="1" w:lastColumn="0" w:noHBand="0" w:noVBand="1"/>
      </w:tblPr>
      <w:tblGrid>
        <w:gridCol w:w="9639"/>
      </w:tblGrid>
      <w:tr w:rsidR="000044FF" w:rsidRPr="00F54E3E" w14:paraId="15806448" w14:textId="77777777">
        <w:trPr>
          <w:tblHeader/>
        </w:trPr>
        <w:tc>
          <w:tcPr>
            <w:tcW w:w="0" w:type="auto"/>
            <w:shd w:val="clear" w:color="auto" w:fill="F2F2F2" w:themeFill="background1" w:themeFillShade="F2"/>
          </w:tcPr>
          <w:p w14:paraId="70C37585" w14:textId="77777777" w:rsidR="000044FF" w:rsidRPr="003B02B2" w:rsidRDefault="000044FF" w:rsidP="003B02B2">
            <w:pPr>
              <w:pStyle w:val="TableContent"/>
              <w:rPr>
                <w:b/>
                <w:bCs/>
                <w:sz w:val="24"/>
              </w:rPr>
            </w:pPr>
            <w:r w:rsidRPr="003B02B2">
              <w:rPr>
                <w:b/>
                <w:bCs/>
                <w:sz w:val="24"/>
              </w:rPr>
              <w:lastRenderedPageBreak/>
              <w:t>Interpretation (AASB 2022: 14)</w:t>
            </w:r>
          </w:p>
        </w:tc>
      </w:tr>
      <w:tr w:rsidR="000044FF" w:rsidRPr="00940045" w14:paraId="43448289" w14:textId="77777777">
        <w:tc>
          <w:tcPr>
            <w:tcW w:w="0" w:type="auto"/>
          </w:tcPr>
          <w:p w14:paraId="7993E675" w14:textId="77777777" w:rsidR="000044FF" w:rsidRPr="00644FD1" w:rsidRDefault="000044FF" w:rsidP="003B02B2">
            <w:pPr>
              <w:pStyle w:val="TableContent"/>
              <w:rPr>
                <w:color w:val="000000"/>
                <w:sz w:val="24"/>
              </w:rPr>
            </w:pPr>
            <w:r w:rsidRPr="00644FD1">
              <w:rPr>
                <w:color w:val="000000"/>
                <w:sz w:val="24"/>
              </w:rPr>
              <w:t xml:space="preserve">Paragraph 59: </w:t>
            </w:r>
          </w:p>
          <w:p w14:paraId="37CF902F" w14:textId="32789B27" w:rsidR="00E862D0" w:rsidRPr="00644FD1" w:rsidRDefault="000044FF" w:rsidP="003B02B2">
            <w:pPr>
              <w:pStyle w:val="TableContent"/>
              <w:rPr>
                <w:color w:val="000000"/>
                <w:sz w:val="24"/>
              </w:rPr>
            </w:pPr>
            <w:r w:rsidRPr="00644FD1">
              <w:rPr>
                <w:color w:val="000000"/>
                <w:sz w:val="24"/>
              </w:rPr>
              <w:t xml:space="preserve">Impairment loss amount equals carrying amount of the asset minus its recoverable amount. </w:t>
            </w:r>
          </w:p>
          <w:p w14:paraId="3EFDBCAD" w14:textId="24D97428" w:rsidR="000044FF" w:rsidRPr="00644FD1" w:rsidRDefault="000044FF" w:rsidP="003B02B2">
            <w:pPr>
              <w:pStyle w:val="TableContent"/>
              <w:rPr>
                <w:color w:val="000000"/>
                <w:sz w:val="24"/>
              </w:rPr>
            </w:pPr>
            <w:r w:rsidRPr="00644FD1">
              <w:rPr>
                <w:color w:val="000000"/>
                <w:sz w:val="24"/>
              </w:rPr>
              <w:t xml:space="preserve">Paragraph 60: </w:t>
            </w:r>
          </w:p>
          <w:p w14:paraId="273BFC23" w14:textId="77777777" w:rsidR="000044FF" w:rsidRPr="003B02B2" w:rsidRDefault="000044FF" w:rsidP="003B02B2">
            <w:pPr>
              <w:pStyle w:val="TableContent"/>
              <w:rPr>
                <w:b/>
                <w:bCs/>
                <w:color w:val="000000"/>
                <w:sz w:val="24"/>
              </w:rPr>
            </w:pPr>
            <w:r w:rsidRPr="00644FD1">
              <w:rPr>
                <w:color w:val="000000"/>
                <w:sz w:val="24"/>
              </w:rPr>
              <w:t>Impairment losses of asset recorded under the revaluation model must be treated in accordance with AASB116 Property, Plant and Equipment (2022), paragraph Aus40.1 and 2.</w:t>
            </w:r>
          </w:p>
        </w:tc>
      </w:tr>
    </w:tbl>
    <w:p w14:paraId="4F48CC01" w14:textId="77777777" w:rsidR="000044FF" w:rsidRDefault="000044FF" w:rsidP="000044FF">
      <w:pPr>
        <w:spacing w:after="160" w:line="278" w:lineRule="auto"/>
        <w:rPr>
          <w:rFonts w:ascii="Arial Rounded MT Bold" w:eastAsiaTheme="majorEastAsia" w:hAnsi="Arial Rounded MT Bold" w:cstheme="majorBidi"/>
          <w:sz w:val="30"/>
          <w:szCs w:val="30"/>
        </w:rPr>
      </w:pPr>
      <w:bookmarkStart w:id="107" w:name="_Toc170118986"/>
      <w:r>
        <w:br w:type="page"/>
      </w:r>
    </w:p>
    <w:p w14:paraId="36C72652" w14:textId="77777777" w:rsidR="000044FF" w:rsidRPr="0064452F" w:rsidRDefault="000044FF" w:rsidP="004F0359">
      <w:pPr>
        <w:pStyle w:val="Heading2"/>
        <w:rPr>
          <w:b w:val="0"/>
          <w:bCs w:val="0"/>
          <w:vertAlign w:val="superscript"/>
        </w:rPr>
      </w:pPr>
      <w:bookmarkStart w:id="108" w:name="_Toc207722753"/>
      <w:bookmarkStart w:id="109" w:name="_Toc223445086"/>
      <w:r w:rsidRPr="0064452F">
        <w:lastRenderedPageBreak/>
        <w:t xml:space="preserve">AASB 140 </w:t>
      </w:r>
      <w:r w:rsidRPr="004F0359">
        <w:t>Investment</w:t>
      </w:r>
      <w:r w:rsidRPr="0064452F">
        <w:t xml:space="preserve"> Property</w:t>
      </w:r>
      <w:bookmarkEnd w:id="107"/>
      <w:r w:rsidRPr="0064452F">
        <w:t xml:space="preserve"> (2022)</w:t>
      </w:r>
      <w:bookmarkEnd w:id="108"/>
      <w:bookmarkEnd w:id="109"/>
    </w:p>
    <w:p w14:paraId="1115D71B" w14:textId="77777777" w:rsidR="000044FF" w:rsidRPr="00F36D6C" w:rsidRDefault="000044FF" w:rsidP="00F66FCF">
      <w:pPr>
        <w:pStyle w:val="Heading4"/>
      </w:pPr>
      <w:r w:rsidRPr="00F36D6C">
        <w:t>Definitions</w:t>
      </w:r>
    </w:p>
    <w:p w14:paraId="0DE9ECF2" w14:textId="77777777" w:rsidR="000044FF" w:rsidRPr="0064452F" w:rsidRDefault="000044FF" w:rsidP="00D70B5C">
      <w:pPr>
        <w:pStyle w:val="BodyText"/>
      </w:pPr>
      <w:r w:rsidRPr="0064452F">
        <w:t>AASB 140 Investment Property (2022) provides the following definitions:</w:t>
      </w:r>
    </w:p>
    <w:tbl>
      <w:tblPr>
        <w:tblStyle w:val="TableGrid"/>
        <w:tblW w:w="9639" w:type="dxa"/>
        <w:tblInd w:w="-5" w:type="dxa"/>
        <w:tblLayout w:type="fixed"/>
        <w:tblLook w:val="06A0" w:firstRow="1" w:lastRow="0" w:firstColumn="1" w:lastColumn="0" w:noHBand="1" w:noVBand="1"/>
      </w:tblPr>
      <w:tblGrid>
        <w:gridCol w:w="9639"/>
      </w:tblGrid>
      <w:tr w:rsidR="000044FF" w:rsidRPr="0064452F" w14:paraId="748CD3F6" w14:textId="77777777">
        <w:trPr>
          <w:trHeight w:val="300"/>
          <w:tblHeader/>
        </w:trPr>
        <w:tc>
          <w:tcPr>
            <w:tcW w:w="9072" w:type="dxa"/>
            <w:shd w:val="clear" w:color="auto" w:fill="F2F2F2" w:themeFill="background1" w:themeFillShade="F2"/>
          </w:tcPr>
          <w:p w14:paraId="6233B3FD" w14:textId="77777777" w:rsidR="000044FF" w:rsidRPr="000B41E5" w:rsidRDefault="000044FF" w:rsidP="000B41E5">
            <w:pPr>
              <w:pStyle w:val="TableContent"/>
              <w:rPr>
                <w:b/>
                <w:bCs/>
                <w:sz w:val="24"/>
              </w:rPr>
            </w:pPr>
            <w:r w:rsidRPr="000B41E5">
              <w:rPr>
                <w:b/>
                <w:bCs/>
                <w:sz w:val="24"/>
              </w:rPr>
              <w:t>(AASB 2022: 5-6)</w:t>
            </w:r>
          </w:p>
        </w:tc>
      </w:tr>
      <w:tr w:rsidR="000044FF" w:rsidRPr="0064452F" w14:paraId="71A7FF5C" w14:textId="77777777">
        <w:trPr>
          <w:trHeight w:val="300"/>
        </w:trPr>
        <w:tc>
          <w:tcPr>
            <w:tcW w:w="9072" w:type="dxa"/>
            <w:tcBorders>
              <w:bottom w:val="single" w:sz="4" w:space="0" w:color="auto"/>
            </w:tcBorders>
          </w:tcPr>
          <w:p w14:paraId="59AC8983" w14:textId="5406D1CD" w:rsidR="000044FF" w:rsidRPr="00C319EE" w:rsidRDefault="000044FF" w:rsidP="000B41E5">
            <w:pPr>
              <w:pStyle w:val="TableContent"/>
              <w:rPr>
                <w:sz w:val="24"/>
              </w:rPr>
            </w:pPr>
            <w:r w:rsidRPr="00C319EE">
              <w:rPr>
                <w:sz w:val="24"/>
              </w:rPr>
              <w:t xml:space="preserve">‘5 The following terms are used in this Standard with the meanings specified: </w:t>
            </w:r>
          </w:p>
          <w:p w14:paraId="4B245E40" w14:textId="77777777" w:rsidR="000044FF" w:rsidRPr="00C319EE" w:rsidRDefault="000044FF" w:rsidP="000B41E5">
            <w:pPr>
              <w:pStyle w:val="TableContent"/>
              <w:ind w:left="397"/>
              <w:rPr>
                <w:sz w:val="24"/>
              </w:rPr>
            </w:pPr>
            <w:r w:rsidRPr="00C319EE">
              <w:rPr>
                <w:i/>
                <w:iCs/>
                <w:sz w:val="24"/>
              </w:rPr>
              <w:t>Investment property</w:t>
            </w:r>
            <w:r w:rsidRPr="00C319EE">
              <w:rPr>
                <w:sz w:val="24"/>
              </w:rPr>
              <w:t xml:space="preserve"> is property (land or a building—or part of a building—or both) held (by the owner or by the lessee as a right-of-use asset) to earn rentals or for capital appreciation or both, rather than for: </w:t>
            </w:r>
          </w:p>
          <w:p w14:paraId="4D409A29" w14:textId="77777777" w:rsidR="000044FF" w:rsidRPr="00C319EE" w:rsidRDefault="000044FF" w:rsidP="000B41E5">
            <w:pPr>
              <w:pStyle w:val="TableContent"/>
              <w:ind w:left="794" w:hanging="397"/>
              <w:rPr>
                <w:sz w:val="24"/>
              </w:rPr>
            </w:pPr>
            <w:r w:rsidRPr="00C319EE">
              <w:rPr>
                <w:sz w:val="24"/>
              </w:rPr>
              <w:t>(a) use in the production or supply of goods or services or for administrative purposes; or</w:t>
            </w:r>
          </w:p>
          <w:p w14:paraId="4266F9BA" w14:textId="77777777" w:rsidR="000044FF" w:rsidRPr="00C319EE" w:rsidRDefault="000044FF" w:rsidP="000B41E5">
            <w:pPr>
              <w:pStyle w:val="TableContent"/>
              <w:ind w:left="794" w:hanging="397"/>
              <w:rPr>
                <w:sz w:val="24"/>
              </w:rPr>
            </w:pPr>
            <w:r w:rsidRPr="00C319EE">
              <w:rPr>
                <w:sz w:val="24"/>
              </w:rPr>
              <w:t xml:space="preserve">(b) sale in the ordinary course of business. </w:t>
            </w:r>
          </w:p>
          <w:p w14:paraId="03871E74" w14:textId="77777777" w:rsidR="000044FF" w:rsidRPr="000B41E5" w:rsidRDefault="000044FF" w:rsidP="000B41E5">
            <w:pPr>
              <w:pStyle w:val="TableContent"/>
              <w:ind w:left="397"/>
              <w:rPr>
                <w:sz w:val="24"/>
              </w:rPr>
            </w:pPr>
            <w:r w:rsidRPr="00C319EE">
              <w:rPr>
                <w:i/>
                <w:iCs/>
                <w:sz w:val="24"/>
              </w:rPr>
              <w:t>Owner-occupied property</w:t>
            </w:r>
            <w:r w:rsidRPr="00C319EE">
              <w:rPr>
                <w:sz w:val="24"/>
              </w:rPr>
              <w:t xml:space="preserve"> is property held (by the owner or by the lessee as a right-of-use asset) for use in the production or supply of goods or services or for administrative purposes.’</w:t>
            </w:r>
          </w:p>
        </w:tc>
      </w:tr>
      <w:tr w:rsidR="000044FF" w:rsidRPr="0064452F" w14:paraId="721F7075" w14:textId="77777777">
        <w:tblPrEx>
          <w:tblLook w:val="04A0" w:firstRow="1" w:lastRow="0" w:firstColumn="1" w:lastColumn="0" w:noHBand="0" w:noVBand="1"/>
        </w:tblPrEx>
        <w:tc>
          <w:tcPr>
            <w:tcW w:w="9072" w:type="dxa"/>
            <w:shd w:val="clear" w:color="auto" w:fill="F2F2F2" w:themeFill="background1" w:themeFillShade="F2"/>
          </w:tcPr>
          <w:p w14:paraId="54FC679A" w14:textId="77777777" w:rsidR="000044FF" w:rsidRPr="000B41E5" w:rsidRDefault="000044FF" w:rsidP="000B41E5">
            <w:pPr>
              <w:pStyle w:val="TableContent"/>
              <w:rPr>
                <w:rStyle w:val="normaltextrun"/>
                <w:b/>
                <w:bCs/>
                <w:sz w:val="24"/>
              </w:rPr>
            </w:pPr>
            <w:r w:rsidRPr="000B41E5">
              <w:rPr>
                <w:b/>
                <w:bCs/>
                <w:sz w:val="24"/>
              </w:rPr>
              <w:t>Interpretation (AASB 2022: 5-6)</w:t>
            </w:r>
          </w:p>
        </w:tc>
      </w:tr>
      <w:tr w:rsidR="000044FF" w:rsidRPr="0064452F" w14:paraId="495B562E" w14:textId="77777777">
        <w:tblPrEx>
          <w:tblLook w:val="04A0" w:firstRow="1" w:lastRow="0" w:firstColumn="1" w:lastColumn="0" w:noHBand="0" w:noVBand="1"/>
        </w:tblPrEx>
        <w:tc>
          <w:tcPr>
            <w:tcW w:w="9072" w:type="dxa"/>
          </w:tcPr>
          <w:p w14:paraId="3A0ABF58" w14:textId="200EC415" w:rsidR="000044FF" w:rsidRPr="000B41E5" w:rsidRDefault="000044FF" w:rsidP="00C319EE">
            <w:pPr>
              <w:pStyle w:val="TableContent"/>
              <w:rPr>
                <w:rStyle w:val="normaltextrun"/>
                <w:sz w:val="24"/>
              </w:rPr>
            </w:pPr>
            <w:r w:rsidRPr="000B41E5">
              <w:rPr>
                <w:rStyle w:val="normaltextrun"/>
                <w:sz w:val="24"/>
              </w:rPr>
              <w:t>Due care must be taken not to confuse</w:t>
            </w:r>
            <w:r w:rsidR="00C319EE">
              <w:rPr>
                <w:rStyle w:val="normaltextrun"/>
                <w:sz w:val="24"/>
              </w:rPr>
              <w:t xml:space="preserve"> </w:t>
            </w:r>
            <w:r w:rsidRPr="000B41E5">
              <w:rPr>
                <w:rStyle w:val="normaltextrun"/>
                <w:sz w:val="24"/>
              </w:rPr>
              <w:t xml:space="preserve">‘investment property’ with ‘owner-occupied property’. </w:t>
            </w:r>
          </w:p>
        </w:tc>
      </w:tr>
    </w:tbl>
    <w:p w14:paraId="5005F9ED" w14:textId="77777777" w:rsidR="000044FF" w:rsidRPr="0064452F" w:rsidRDefault="000044FF" w:rsidP="00F66FCF">
      <w:pPr>
        <w:pStyle w:val="Heading4"/>
      </w:pPr>
      <w:r w:rsidRPr="00F36D6C">
        <w:t>Property Classification</w:t>
      </w:r>
    </w:p>
    <w:p w14:paraId="1051E36D" w14:textId="77777777" w:rsidR="000044FF" w:rsidRPr="0064452F" w:rsidRDefault="000044FF" w:rsidP="00D70B5C">
      <w:pPr>
        <w:pStyle w:val="BodyText"/>
      </w:pPr>
      <w:r w:rsidRPr="0064452F">
        <w:t xml:space="preserve">AASB 140 Investment Property (2022) provides examples of the above-mentioned property classes: </w:t>
      </w:r>
    </w:p>
    <w:tbl>
      <w:tblPr>
        <w:tblStyle w:val="TableGrid"/>
        <w:tblW w:w="9639" w:type="dxa"/>
        <w:tblLook w:val="04A0" w:firstRow="1" w:lastRow="0" w:firstColumn="1" w:lastColumn="0" w:noHBand="0" w:noVBand="1"/>
      </w:tblPr>
      <w:tblGrid>
        <w:gridCol w:w="9639"/>
      </w:tblGrid>
      <w:tr w:rsidR="000044FF" w:rsidRPr="0064452F" w14:paraId="64615B41" w14:textId="77777777">
        <w:trPr>
          <w:tblHeader/>
        </w:trPr>
        <w:tc>
          <w:tcPr>
            <w:tcW w:w="9639" w:type="dxa"/>
            <w:shd w:val="clear" w:color="auto" w:fill="F2F2F2" w:themeFill="background1" w:themeFillShade="F2"/>
          </w:tcPr>
          <w:p w14:paraId="308E7669" w14:textId="77777777" w:rsidR="000044FF" w:rsidRPr="009E2F8F" w:rsidRDefault="000044FF" w:rsidP="00F505DE">
            <w:pPr>
              <w:pStyle w:val="TableContent"/>
              <w:rPr>
                <w:b/>
                <w:bCs/>
                <w:sz w:val="24"/>
              </w:rPr>
            </w:pPr>
            <w:r w:rsidRPr="009E2F8F">
              <w:rPr>
                <w:b/>
                <w:bCs/>
                <w:sz w:val="24"/>
              </w:rPr>
              <w:t>(AASB 2022: 6)</w:t>
            </w:r>
          </w:p>
        </w:tc>
      </w:tr>
      <w:tr w:rsidR="000044FF" w:rsidRPr="0064452F" w14:paraId="6A1001D6" w14:textId="77777777">
        <w:tc>
          <w:tcPr>
            <w:tcW w:w="9639" w:type="dxa"/>
            <w:tcBorders>
              <w:bottom w:val="single" w:sz="4" w:space="0" w:color="auto"/>
            </w:tcBorders>
          </w:tcPr>
          <w:p w14:paraId="05F6C6E6" w14:textId="1504777A" w:rsidR="000044FF" w:rsidRPr="00F505DE" w:rsidRDefault="000044FF" w:rsidP="00F505DE">
            <w:pPr>
              <w:pStyle w:val="TableContent"/>
              <w:rPr>
                <w:sz w:val="24"/>
              </w:rPr>
            </w:pPr>
            <w:r w:rsidRPr="00F505DE">
              <w:rPr>
                <w:sz w:val="24"/>
              </w:rPr>
              <w:t xml:space="preserve">‘8 The following are examples of investment property: </w:t>
            </w:r>
          </w:p>
          <w:p w14:paraId="673929D0" w14:textId="77777777" w:rsidR="000044FF" w:rsidRPr="00F505DE" w:rsidRDefault="000044FF" w:rsidP="00F505DE">
            <w:pPr>
              <w:pStyle w:val="TableContent"/>
              <w:ind w:left="737" w:hanging="340"/>
              <w:rPr>
                <w:sz w:val="24"/>
              </w:rPr>
            </w:pPr>
            <w:r w:rsidRPr="00F505DE">
              <w:rPr>
                <w:sz w:val="24"/>
              </w:rPr>
              <w:t xml:space="preserve">(a) land held for long-term capital appreciation rather than for short-term sale in the ordinary course of business…. </w:t>
            </w:r>
          </w:p>
          <w:p w14:paraId="1705FC9D" w14:textId="058F5D14" w:rsidR="000044FF" w:rsidRPr="00F505DE" w:rsidRDefault="000044FF" w:rsidP="00F505DE">
            <w:pPr>
              <w:pStyle w:val="TableContent"/>
              <w:ind w:left="737" w:hanging="340"/>
              <w:rPr>
                <w:sz w:val="24"/>
              </w:rPr>
            </w:pPr>
            <w:r w:rsidRPr="00F505DE">
              <w:rPr>
                <w:sz w:val="24"/>
              </w:rPr>
              <w:t>(c) a building owned by the entity (or a right-of-use asset relating to a building held by the entity) and leased out under one or more operating leases.</w:t>
            </w:r>
          </w:p>
          <w:p w14:paraId="5BB8C3AA" w14:textId="6B04EA5D" w:rsidR="000044FF" w:rsidRPr="00F505DE" w:rsidRDefault="000044FF" w:rsidP="002B2DB7">
            <w:pPr>
              <w:pStyle w:val="TableContent"/>
              <w:ind w:left="340" w:hanging="340"/>
              <w:rPr>
                <w:sz w:val="24"/>
              </w:rPr>
            </w:pPr>
            <w:r w:rsidRPr="00F505DE">
              <w:rPr>
                <w:sz w:val="24"/>
              </w:rPr>
              <w:t>9 The following are examples of items that are not investment property and are therefore outside the scope of this Standard:</w:t>
            </w:r>
          </w:p>
          <w:p w14:paraId="5A37262D" w14:textId="12950DF0" w:rsidR="000044FF" w:rsidRPr="00F505DE" w:rsidRDefault="000044FF" w:rsidP="008D211B">
            <w:pPr>
              <w:pStyle w:val="TableContent"/>
              <w:ind w:left="737" w:hanging="397"/>
              <w:rPr>
                <w:sz w:val="24"/>
              </w:rPr>
            </w:pPr>
            <w:r w:rsidRPr="00F505DE">
              <w:rPr>
                <w:sz w:val="24"/>
              </w:rPr>
              <w:t>(c) owner-occupied property (see AASB 116 and AASB 16), including (among other things) property held for future use as owner-occupied property, property held for future development and subsequent use as owner-occupied property, property occupied by employees (</w:t>
            </w:r>
            <w:proofErr w:type="gramStart"/>
            <w:r w:rsidRPr="00F505DE">
              <w:rPr>
                <w:sz w:val="24"/>
              </w:rPr>
              <w:t>whether or not</w:t>
            </w:r>
            <w:proofErr w:type="gramEnd"/>
            <w:r w:rsidRPr="00F505DE">
              <w:rPr>
                <w:sz w:val="24"/>
              </w:rPr>
              <w:t xml:space="preserve"> the employees pay rent at market rates) and owner-occupied property awaiting disposal.</w:t>
            </w:r>
          </w:p>
          <w:p w14:paraId="10C068E3" w14:textId="7B446C94" w:rsidR="000044FF" w:rsidRPr="00F505DE" w:rsidRDefault="000044FF" w:rsidP="009E2F8F">
            <w:pPr>
              <w:pStyle w:val="TableContent"/>
              <w:ind w:left="851" w:hanging="851"/>
              <w:rPr>
                <w:sz w:val="24"/>
              </w:rPr>
            </w:pPr>
            <w:r w:rsidRPr="00F505DE">
              <w:rPr>
                <w:sz w:val="24"/>
              </w:rPr>
              <w:lastRenderedPageBreak/>
              <w:t>Aus9.1 In respect of not-for-profit entities, property may be held to meet service delivery objectives rather than to earn rental or for capital appreciation. In such situations the property will not meet the definition of investment property and will be accounted for under AASB 116, for example:</w:t>
            </w:r>
          </w:p>
          <w:p w14:paraId="40848C74" w14:textId="77777777" w:rsidR="000044FF" w:rsidRPr="00F505DE" w:rsidRDefault="000044FF" w:rsidP="009E2F8F">
            <w:pPr>
              <w:pStyle w:val="TableContent"/>
              <w:ind w:left="1248" w:hanging="397"/>
              <w:rPr>
                <w:sz w:val="24"/>
              </w:rPr>
            </w:pPr>
            <w:r w:rsidRPr="00F505DE">
              <w:rPr>
                <w:sz w:val="24"/>
              </w:rPr>
              <w:t xml:space="preserve">(a) property held for strategic purposes; and </w:t>
            </w:r>
          </w:p>
          <w:p w14:paraId="380D1CA0" w14:textId="77777777" w:rsidR="000044FF" w:rsidRPr="00F505DE" w:rsidRDefault="000044FF" w:rsidP="009E2F8F">
            <w:pPr>
              <w:pStyle w:val="TableContent"/>
              <w:ind w:left="1248" w:hanging="397"/>
              <w:rPr>
                <w:sz w:val="24"/>
              </w:rPr>
            </w:pPr>
            <w:r w:rsidRPr="00F505DE">
              <w:rPr>
                <w:sz w:val="24"/>
              </w:rPr>
              <w:t>(b) property held to provide a social service, including those which generate cash inflows where the rental revenue is incidental to the purpose for holding the property.’</w:t>
            </w:r>
          </w:p>
        </w:tc>
      </w:tr>
      <w:tr w:rsidR="000044FF" w:rsidRPr="00511E21" w14:paraId="7D873812" w14:textId="77777777">
        <w:tc>
          <w:tcPr>
            <w:tcW w:w="9639" w:type="dxa"/>
            <w:tcBorders>
              <w:bottom w:val="single" w:sz="4" w:space="0" w:color="auto"/>
            </w:tcBorders>
            <w:shd w:val="clear" w:color="auto" w:fill="F2F2F2" w:themeFill="background1" w:themeFillShade="F2"/>
          </w:tcPr>
          <w:p w14:paraId="0323552C" w14:textId="77777777" w:rsidR="000044FF" w:rsidRPr="009E2F8F" w:rsidRDefault="000044FF" w:rsidP="00F505DE">
            <w:pPr>
              <w:pStyle w:val="TableContent"/>
              <w:rPr>
                <w:b/>
                <w:bCs/>
                <w:sz w:val="24"/>
              </w:rPr>
            </w:pPr>
            <w:r w:rsidRPr="009E2F8F">
              <w:rPr>
                <w:b/>
                <w:bCs/>
                <w:sz w:val="24"/>
              </w:rPr>
              <w:t>Interpretation (AASB 2022: 6)</w:t>
            </w:r>
          </w:p>
        </w:tc>
      </w:tr>
      <w:tr w:rsidR="000044FF" w:rsidRPr="0064452F" w14:paraId="50CF36BC" w14:textId="77777777">
        <w:tc>
          <w:tcPr>
            <w:tcW w:w="9639" w:type="dxa"/>
          </w:tcPr>
          <w:p w14:paraId="477F087F" w14:textId="77777777" w:rsidR="000044FF" w:rsidRPr="00F505DE" w:rsidRDefault="000044FF" w:rsidP="00F505DE">
            <w:pPr>
              <w:pStyle w:val="TableContent"/>
              <w:rPr>
                <w:rStyle w:val="normaltextrun"/>
                <w:sz w:val="24"/>
              </w:rPr>
            </w:pPr>
            <w:r w:rsidRPr="00F505DE">
              <w:rPr>
                <w:rStyle w:val="normaltextrun"/>
                <w:sz w:val="24"/>
              </w:rPr>
              <w:t xml:space="preserve">Due care must be taken to correctly classify property for compliance with AAS. Local governments must account for: </w:t>
            </w:r>
          </w:p>
          <w:p w14:paraId="6F75C793" w14:textId="77777777" w:rsidR="000044FF" w:rsidRPr="00F505DE" w:rsidRDefault="000044FF">
            <w:pPr>
              <w:pStyle w:val="TableContent"/>
              <w:numPr>
                <w:ilvl w:val="0"/>
                <w:numId w:val="96"/>
              </w:numPr>
              <w:rPr>
                <w:rStyle w:val="normaltextrun"/>
                <w:sz w:val="24"/>
              </w:rPr>
            </w:pPr>
            <w:r w:rsidRPr="00F505DE">
              <w:rPr>
                <w:rStyle w:val="normaltextrun"/>
                <w:sz w:val="24"/>
              </w:rPr>
              <w:t>‘</w:t>
            </w:r>
            <w:proofErr w:type="gramStart"/>
            <w:r w:rsidRPr="00F505DE">
              <w:rPr>
                <w:rStyle w:val="normaltextrun"/>
                <w:sz w:val="24"/>
              </w:rPr>
              <w:t>investment</w:t>
            </w:r>
            <w:proofErr w:type="gramEnd"/>
            <w:r w:rsidRPr="00F505DE">
              <w:rPr>
                <w:rStyle w:val="normaltextrun"/>
                <w:sz w:val="24"/>
              </w:rPr>
              <w:t xml:space="preserve"> property’ in terms of AASB 140 Investment Property (2022)</w:t>
            </w:r>
          </w:p>
          <w:p w14:paraId="147651A2" w14:textId="77777777" w:rsidR="000044FF" w:rsidRPr="00F505DE" w:rsidRDefault="000044FF">
            <w:pPr>
              <w:pStyle w:val="TableContent"/>
              <w:numPr>
                <w:ilvl w:val="0"/>
                <w:numId w:val="96"/>
              </w:numPr>
              <w:rPr>
                <w:rStyle w:val="normaltextrun"/>
                <w:sz w:val="24"/>
              </w:rPr>
            </w:pPr>
            <w:r w:rsidRPr="00F505DE">
              <w:rPr>
                <w:rStyle w:val="normaltextrun"/>
                <w:sz w:val="24"/>
              </w:rPr>
              <w:t xml:space="preserve">‘owner-occupied property’ in terms of AASB 116 Property, Plant and Equipment (2022) or AASB 16 Leases (2022). </w:t>
            </w:r>
          </w:p>
          <w:p w14:paraId="1A2677D0" w14:textId="77777777" w:rsidR="000044FF" w:rsidRPr="00F505DE" w:rsidRDefault="000044FF" w:rsidP="00F505DE">
            <w:pPr>
              <w:pStyle w:val="TableContent"/>
              <w:rPr>
                <w:sz w:val="24"/>
              </w:rPr>
            </w:pPr>
            <w:r w:rsidRPr="00F505DE">
              <w:rPr>
                <w:color w:val="000000"/>
                <w:sz w:val="24"/>
              </w:rPr>
              <w:t>Not-for-profit entities holding property</w:t>
            </w:r>
            <w:r w:rsidRPr="00F505DE">
              <w:rPr>
                <w:i/>
                <w:iCs/>
                <w:color w:val="000000"/>
                <w:sz w:val="24"/>
              </w:rPr>
              <w:t xml:space="preserve"> </w:t>
            </w:r>
            <w:r w:rsidRPr="00F505DE">
              <w:rPr>
                <w:color w:val="000000"/>
                <w:sz w:val="24"/>
              </w:rPr>
              <w:t xml:space="preserve">‘to meet service delivery </w:t>
            </w:r>
            <w:proofErr w:type="gramStart"/>
            <w:r w:rsidRPr="00F505DE">
              <w:rPr>
                <w:color w:val="000000"/>
                <w:sz w:val="24"/>
              </w:rPr>
              <w:t>objectives’</w:t>
            </w:r>
            <w:proofErr w:type="gramEnd"/>
            <w:r w:rsidRPr="00F505DE">
              <w:rPr>
                <w:i/>
                <w:iCs/>
                <w:color w:val="000000"/>
                <w:sz w:val="24"/>
              </w:rPr>
              <w:t xml:space="preserve"> </w:t>
            </w:r>
            <w:r w:rsidRPr="00F505DE">
              <w:rPr>
                <w:color w:val="000000"/>
                <w:sz w:val="24"/>
              </w:rPr>
              <w:t>must account for such property in accordance with AASB 116 Property, Plant and Equipment (2022).</w:t>
            </w:r>
          </w:p>
        </w:tc>
      </w:tr>
    </w:tbl>
    <w:p w14:paraId="3873B1C6" w14:textId="77777777" w:rsidR="000044FF" w:rsidRPr="003D73B8" w:rsidRDefault="000044FF" w:rsidP="008D211B">
      <w:pPr>
        <w:pStyle w:val="Heading4"/>
      </w:pPr>
      <w:r w:rsidRPr="00E05347">
        <w:t>Recognition of investment property</w:t>
      </w:r>
      <w:r w:rsidRPr="003D73B8">
        <w:t xml:space="preserve"> </w:t>
      </w:r>
    </w:p>
    <w:p w14:paraId="4977CCD9" w14:textId="4F71B21E" w:rsidR="000044FF" w:rsidRPr="0064452F" w:rsidRDefault="000044FF" w:rsidP="00D70B5C">
      <w:pPr>
        <w:pStyle w:val="BodyText"/>
      </w:pPr>
      <w:r w:rsidRPr="0064452F">
        <w:t>AASB 140 Investment Property</w:t>
      </w:r>
      <w:r w:rsidRPr="0064452F">
        <w:rPr>
          <w:vertAlign w:val="superscript"/>
        </w:rPr>
        <w:t xml:space="preserve"> </w:t>
      </w:r>
      <w:r w:rsidRPr="0064452F">
        <w:t>(2022</w:t>
      </w:r>
      <w:r w:rsidRPr="004022CD">
        <w:t>) states</w:t>
      </w:r>
      <w:r w:rsidRPr="0064452F">
        <w:t xml:space="preserve"> regarding the recognition of investment property: </w:t>
      </w:r>
    </w:p>
    <w:tbl>
      <w:tblPr>
        <w:tblStyle w:val="TableGrid"/>
        <w:tblW w:w="9639" w:type="dxa"/>
        <w:tblLook w:val="04A0" w:firstRow="1" w:lastRow="0" w:firstColumn="1" w:lastColumn="0" w:noHBand="0" w:noVBand="1"/>
      </w:tblPr>
      <w:tblGrid>
        <w:gridCol w:w="9639"/>
      </w:tblGrid>
      <w:tr w:rsidR="000044FF" w:rsidRPr="00511E21" w14:paraId="0DC4CD31" w14:textId="77777777">
        <w:trPr>
          <w:tblHeader/>
        </w:trPr>
        <w:tc>
          <w:tcPr>
            <w:tcW w:w="9639" w:type="dxa"/>
            <w:shd w:val="clear" w:color="auto" w:fill="F2F2F2" w:themeFill="background1" w:themeFillShade="F2"/>
          </w:tcPr>
          <w:p w14:paraId="13FA8B75" w14:textId="77777777" w:rsidR="000044FF" w:rsidRPr="00E90BE4" w:rsidRDefault="000044FF" w:rsidP="00E90BE4">
            <w:pPr>
              <w:pStyle w:val="TableContent"/>
              <w:rPr>
                <w:b/>
                <w:bCs/>
                <w:sz w:val="24"/>
              </w:rPr>
            </w:pPr>
            <w:r w:rsidRPr="00E90BE4">
              <w:rPr>
                <w:b/>
                <w:bCs/>
                <w:sz w:val="24"/>
              </w:rPr>
              <w:t xml:space="preserve">(AASB 2022: 7) </w:t>
            </w:r>
          </w:p>
        </w:tc>
      </w:tr>
      <w:tr w:rsidR="000044FF" w:rsidRPr="0064452F" w14:paraId="34B8615C" w14:textId="77777777">
        <w:trPr>
          <w:tblHeader/>
        </w:trPr>
        <w:tc>
          <w:tcPr>
            <w:tcW w:w="9639" w:type="dxa"/>
            <w:tcBorders>
              <w:bottom w:val="single" w:sz="4" w:space="0" w:color="auto"/>
            </w:tcBorders>
          </w:tcPr>
          <w:p w14:paraId="5200816E" w14:textId="77777777" w:rsidR="000044FF" w:rsidRPr="00F4600C" w:rsidRDefault="000044FF" w:rsidP="00E05347">
            <w:pPr>
              <w:pStyle w:val="TableContent"/>
              <w:ind w:left="397" w:hanging="397"/>
              <w:rPr>
                <w:color w:val="000000"/>
                <w:sz w:val="24"/>
              </w:rPr>
            </w:pPr>
            <w:r w:rsidRPr="00F4600C">
              <w:rPr>
                <w:color w:val="000000"/>
                <w:sz w:val="24"/>
              </w:rPr>
              <w:t xml:space="preserve">‘16 An owned investment property shall be recognised as an asset when, and only when: </w:t>
            </w:r>
          </w:p>
          <w:p w14:paraId="78722E60" w14:textId="77777777" w:rsidR="000044FF" w:rsidRPr="00F4600C" w:rsidRDefault="000044FF" w:rsidP="00E90BE4">
            <w:pPr>
              <w:pStyle w:val="TableContent"/>
              <w:ind w:left="851" w:hanging="397"/>
              <w:rPr>
                <w:color w:val="000000"/>
                <w:sz w:val="24"/>
              </w:rPr>
            </w:pPr>
            <w:r w:rsidRPr="00F4600C">
              <w:rPr>
                <w:color w:val="000000"/>
                <w:sz w:val="24"/>
              </w:rPr>
              <w:t xml:space="preserve">(a) it is probable that the future economic benefits that are associated with the investment property will flow to the entity; and </w:t>
            </w:r>
          </w:p>
          <w:p w14:paraId="4F6A1BC6" w14:textId="77777777" w:rsidR="000044FF" w:rsidRPr="00E90BE4" w:rsidRDefault="000044FF" w:rsidP="00E90BE4">
            <w:pPr>
              <w:pStyle w:val="TableContent"/>
              <w:ind w:left="851" w:hanging="397"/>
              <w:rPr>
                <w:i/>
                <w:iCs/>
                <w:color w:val="000000"/>
                <w:sz w:val="24"/>
              </w:rPr>
            </w:pPr>
            <w:r w:rsidRPr="00F4600C">
              <w:rPr>
                <w:color w:val="000000"/>
                <w:sz w:val="24"/>
              </w:rPr>
              <w:t>(b) the cost of the investment property can be measured reliably.’</w:t>
            </w:r>
          </w:p>
        </w:tc>
      </w:tr>
      <w:tr w:rsidR="000044FF" w:rsidRPr="0064452F" w14:paraId="47550A2E" w14:textId="77777777">
        <w:tc>
          <w:tcPr>
            <w:tcW w:w="9639" w:type="dxa"/>
            <w:shd w:val="clear" w:color="auto" w:fill="F2F2F2" w:themeFill="background1" w:themeFillShade="F2"/>
          </w:tcPr>
          <w:p w14:paraId="207BC584" w14:textId="77777777" w:rsidR="000044FF" w:rsidRPr="00E90BE4" w:rsidRDefault="000044FF" w:rsidP="00E90BE4">
            <w:pPr>
              <w:pStyle w:val="TableContent"/>
              <w:rPr>
                <w:rStyle w:val="normaltextrun"/>
                <w:b/>
                <w:bCs/>
                <w:sz w:val="24"/>
              </w:rPr>
            </w:pPr>
            <w:r w:rsidRPr="00E90BE4">
              <w:rPr>
                <w:b/>
                <w:bCs/>
                <w:sz w:val="24"/>
              </w:rPr>
              <w:t xml:space="preserve">Interpretation (AASB 2022: 7) </w:t>
            </w:r>
          </w:p>
        </w:tc>
      </w:tr>
      <w:tr w:rsidR="000044FF" w:rsidRPr="0064452F" w14:paraId="219A1C86" w14:textId="77777777">
        <w:tc>
          <w:tcPr>
            <w:tcW w:w="9639" w:type="dxa"/>
          </w:tcPr>
          <w:p w14:paraId="24746D84" w14:textId="77777777" w:rsidR="000044FF" w:rsidRPr="00E90BE4" w:rsidRDefault="000044FF" w:rsidP="00E90BE4">
            <w:pPr>
              <w:pStyle w:val="TableContent"/>
              <w:rPr>
                <w:rStyle w:val="normaltextrun"/>
                <w:sz w:val="24"/>
              </w:rPr>
            </w:pPr>
            <w:r w:rsidRPr="00E90BE4">
              <w:rPr>
                <w:color w:val="000000"/>
                <w:sz w:val="24"/>
              </w:rPr>
              <w:t xml:space="preserve">The term ‘future economic benefits’ refer to capital appreciation and/or rental income. </w:t>
            </w:r>
          </w:p>
        </w:tc>
      </w:tr>
    </w:tbl>
    <w:p w14:paraId="543EAC67" w14:textId="77777777" w:rsidR="00721C2E" w:rsidRDefault="00721C2E">
      <w:pPr>
        <w:spacing w:after="0" w:line="240" w:lineRule="auto"/>
        <w:rPr>
          <w:rFonts w:cs="Arial"/>
          <w:lang w:val="en-GB"/>
        </w:rPr>
      </w:pPr>
      <w:r>
        <w:br w:type="page"/>
      </w:r>
    </w:p>
    <w:p w14:paraId="304503AB" w14:textId="369FF25D" w:rsidR="000044FF" w:rsidRPr="0064452F" w:rsidRDefault="000044FF" w:rsidP="008D211B">
      <w:pPr>
        <w:pStyle w:val="Heading4"/>
      </w:pPr>
      <w:r w:rsidRPr="00E05347">
        <w:lastRenderedPageBreak/>
        <w:t xml:space="preserve">Measurement at </w:t>
      </w:r>
      <w:r w:rsidR="00D30A4F">
        <w:t>r</w:t>
      </w:r>
      <w:r w:rsidRPr="00E05347">
        <w:t>ecognition</w:t>
      </w:r>
    </w:p>
    <w:p w14:paraId="62AA796E" w14:textId="77777777" w:rsidR="000044FF" w:rsidRPr="0064452F" w:rsidRDefault="000044FF" w:rsidP="00D70B5C">
      <w:pPr>
        <w:pStyle w:val="BodyText"/>
      </w:pPr>
      <w:r w:rsidRPr="0064452F">
        <w:t>AASB 140 Investment Property</w:t>
      </w:r>
      <w:r w:rsidRPr="0064452F">
        <w:rPr>
          <w:vertAlign w:val="superscript"/>
        </w:rPr>
        <w:t xml:space="preserve"> </w:t>
      </w:r>
      <w:r w:rsidRPr="0064452F">
        <w:t>(2022) states regarding ‘</w:t>
      </w:r>
      <w:r w:rsidRPr="0064452F">
        <w:rPr>
          <w:i/>
          <w:iCs/>
        </w:rPr>
        <w:t>measurement at recognition’</w:t>
      </w:r>
      <w:r w:rsidRPr="0064452F">
        <w:t>:</w:t>
      </w:r>
    </w:p>
    <w:tbl>
      <w:tblPr>
        <w:tblStyle w:val="TableGrid"/>
        <w:tblW w:w="9639" w:type="dxa"/>
        <w:tblLook w:val="04A0" w:firstRow="1" w:lastRow="0" w:firstColumn="1" w:lastColumn="0" w:noHBand="0" w:noVBand="1"/>
      </w:tblPr>
      <w:tblGrid>
        <w:gridCol w:w="9639"/>
      </w:tblGrid>
      <w:tr w:rsidR="000044FF" w:rsidRPr="00511E21" w14:paraId="6DF21A5A" w14:textId="77777777">
        <w:tc>
          <w:tcPr>
            <w:tcW w:w="9639" w:type="dxa"/>
            <w:shd w:val="clear" w:color="auto" w:fill="F2F2F2" w:themeFill="background1" w:themeFillShade="F2"/>
          </w:tcPr>
          <w:p w14:paraId="410167A6" w14:textId="77777777" w:rsidR="000044FF" w:rsidRPr="00721C2E" w:rsidRDefault="000044FF" w:rsidP="00721C2E">
            <w:pPr>
              <w:pStyle w:val="TableContent"/>
              <w:rPr>
                <w:b/>
                <w:bCs/>
                <w:sz w:val="24"/>
              </w:rPr>
            </w:pPr>
            <w:r w:rsidRPr="00721C2E">
              <w:rPr>
                <w:b/>
                <w:bCs/>
                <w:sz w:val="24"/>
              </w:rPr>
              <w:t>(AASB 2022: 7-8)</w:t>
            </w:r>
          </w:p>
        </w:tc>
      </w:tr>
      <w:tr w:rsidR="000044FF" w:rsidRPr="0064452F" w14:paraId="27847FF1" w14:textId="77777777">
        <w:tc>
          <w:tcPr>
            <w:tcW w:w="9639" w:type="dxa"/>
            <w:tcBorders>
              <w:bottom w:val="single" w:sz="4" w:space="0" w:color="auto"/>
            </w:tcBorders>
          </w:tcPr>
          <w:p w14:paraId="7BE9E0BC" w14:textId="7AEB2029" w:rsidR="000044FF" w:rsidRPr="00F4600C" w:rsidRDefault="000044FF" w:rsidP="00721C2E">
            <w:pPr>
              <w:pStyle w:val="TableContent"/>
              <w:ind w:left="397" w:hanging="397"/>
              <w:rPr>
                <w:sz w:val="24"/>
              </w:rPr>
            </w:pPr>
            <w:r w:rsidRPr="00F4600C">
              <w:rPr>
                <w:sz w:val="24"/>
              </w:rPr>
              <w:t xml:space="preserve">‘20 An owned investment property shall be measured initially at its cost. Transaction costs shall be included in the initial measurement. </w:t>
            </w:r>
          </w:p>
          <w:p w14:paraId="565F77D1" w14:textId="77777777" w:rsidR="000044FF" w:rsidRPr="00721C2E" w:rsidRDefault="000044FF" w:rsidP="00E05347">
            <w:pPr>
              <w:pStyle w:val="TableContent"/>
              <w:ind w:left="1021" w:hanging="1021"/>
              <w:rPr>
                <w:b/>
                <w:bCs/>
                <w:sz w:val="24"/>
              </w:rPr>
            </w:pPr>
            <w:r w:rsidRPr="00F4600C">
              <w:rPr>
                <w:sz w:val="24"/>
              </w:rPr>
              <w:t>Aus20.1 Notwithstanding paragraph 20, not-for-profit entities shall initially measure the cost of the asset at fair value in accordance with AASB 13 ‘</w:t>
            </w:r>
            <w:r w:rsidRPr="00F4600C">
              <w:rPr>
                <w:i/>
                <w:iCs/>
                <w:sz w:val="24"/>
              </w:rPr>
              <w:t>Fair Value Measurement’</w:t>
            </w:r>
            <w:r w:rsidRPr="00F4600C">
              <w:rPr>
                <w:sz w:val="24"/>
              </w:rPr>
              <w:t xml:space="preserve"> where the consideration for the asset is significantly less than fair value principally to enable the entity to further its objectives. AASB 1058 ‘</w:t>
            </w:r>
            <w:r w:rsidRPr="00F4600C">
              <w:rPr>
                <w:i/>
                <w:iCs/>
                <w:sz w:val="24"/>
              </w:rPr>
              <w:t>Income of Not-for-Profit Entities</w:t>
            </w:r>
            <w:r w:rsidRPr="00F4600C">
              <w:rPr>
                <w:sz w:val="24"/>
              </w:rPr>
              <w:t>’ addresses the recognition of related amounts.’</w:t>
            </w:r>
          </w:p>
        </w:tc>
      </w:tr>
      <w:tr w:rsidR="000044FF" w:rsidRPr="0064452F" w14:paraId="594EEC07" w14:textId="77777777">
        <w:tc>
          <w:tcPr>
            <w:tcW w:w="9639" w:type="dxa"/>
            <w:shd w:val="clear" w:color="auto" w:fill="F2F2F2" w:themeFill="background1" w:themeFillShade="F2"/>
          </w:tcPr>
          <w:p w14:paraId="212D136C" w14:textId="77777777" w:rsidR="000044FF" w:rsidRPr="00721C2E" w:rsidRDefault="000044FF" w:rsidP="00721C2E">
            <w:pPr>
              <w:pStyle w:val="TableContent"/>
              <w:rPr>
                <w:rStyle w:val="normaltextrun"/>
                <w:b/>
                <w:bCs/>
                <w:sz w:val="24"/>
              </w:rPr>
            </w:pPr>
            <w:r w:rsidRPr="00721C2E">
              <w:rPr>
                <w:b/>
                <w:bCs/>
                <w:sz w:val="24"/>
              </w:rPr>
              <w:t>Interpretation (AASB 2022: 8)</w:t>
            </w:r>
          </w:p>
        </w:tc>
      </w:tr>
      <w:tr w:rsidR="000044FF" w:rsidRPr="0064452F" w14:paraId="765FBCB1" w14:textId="77777777">
        <w:tc>
          <w:tcPr>
            <w:tcW w:w="9639" w:type="dxa"/>
          </w:tcPr>
          <w:p w14:paraId="43C1A18F" w14:textId="77777777" w:rsidR="000044FF" w:rsidRPr="00721C2E" w:rsidRDefault="000044FF" w:rsidP="00721C2E">
            <w:pPr>
              <w:pStyle w:val="TableContent"/>
              <w:rPr>
                <w:rStyle w:val="normaltextrun"/>
                <w:sz w:val="24"/>
              </w:rPr>
            </w:pPr>
            <w:r w:rsidRPr="00721C2E">
              <w:rPr>
                <w:rStyle w:val="normaltextrun"/>
                <w:sz w:val="24"/>
              </w:rPr>
              <w:t xml:space="preserve">A not-for-profit entity may obtain an investment property as a gift or at a nominal cost (for significantly less than its fair value) ‘to enable the entity to further its objectives’. In such an instance, the entity must initially measure the cost of the property at fair value as per AASB 13 Fair Value Measurement (2022). </w:t>
            </w:r>
          </w:p>
        </w:tc>
      </w:tr>
    </w:tbl>
    <w:p w14:paraId="6F4C92D1" w14:textId="77777777" w:rsidR="00A133E0" w:rsidRDefault="00A133E0" w:rsidP="008D211B">
      <w:pPr>
        <w:pStyle w:val="Heading4"/>
      </w:pPr>
      <w:r>
        <w:t>Measurement after recognition</w:t>
      </w:r>
    </w:p>
    <w:p w14:paraId="3A50856F" w14:textId="4ABA7CA5" w:rsidR="000044FF" w:rsidRPr="0064452F" w:rsidRDefault="000044FF" w:rsidP="00D70B5C">
      <w:pPr>
        <w:pStyle w:val="BodyText"/>
        <w:rPr>
          <w:b/>
        </w:rPr>
      </w:pPr>
      <w:r w:rsidRPr="0064452F">
        <w:t>AASB 140 Investment Property (2022) states regarding ‘measurement after recognition’:</w:t>
      </w:r>
    </w:p>
    <w:tbl>
      <w:tblPr>
        <w:tblStyle w:val="TableGrid"/>
        <w:tblW w:w="9639" w:type="dxa"/>
        <w:tblLook w:val="04A0" w:firstRow="1" w:lastRow="0" w:firstColumn="1" w:lastColumn="0" w:noHBand="0" w:noVBand="1"/>
      </w:tblPr>
      <w:tblGrid>
        <w:gridCol w:w="9639"/>
      </w:tblGrid>
      <w:tr w:rsidR="000044FF" w:rsidRPr="00511E21" w14:paraId="4BA3358B" w14:textId="77777777">
        <w:trPr>
          <w:tblHeader/>
        </w:trPr>
        <w:tc>
          <w:tcPr>
            <w:tcW w:w="9639" w:type="dxa"/>
            <w:shd w:val="clear" w:color="auto" w:fill="F2F2F2" w:themeFill="background1" w:themeFillShade="F2"/>
          </w:tcPr>
          <w:p w14:paraId="3E1BCD63" w14:textId="77777777" w:rsidR="000044FF" w:rsidRPr="00875C51" w:rsidRDefault="000044FF" w:rsidP="00875C51">
            <w:pPr>
              <w:pStyle w:val="TableContent"/>
              <w:rPr>
                <w:b/>
                <w:bCs/>
                <w:sz w:val="24"/>
              </w:rPr>
            </w:pPr>
            <w:r w:rsidRPr="00875C51">
              <w:rPr>
                <w:b/>
                <w:bCs/>
                <w:sz w:val="24"/>
              </w:rPr>
              <w:t>(AASB 2022: 8)</w:t>
            </w:r>
          </w:p>
        </w:tc>
      </w:tr>
      <w:tr w:rsidR="000044FF" w:rsidRPr="0064452F" w14:paraId="6083FE07" w14:textId="77777777">
        <w:tc>
          <w:tcPr>
            <w:tcW w:w="9639" w:type="dxa"/>
            <w:tcBorders>
              <w:bottom w:val="single" w:sz="4" w:space="0" w:color="auto"/>
            </w:tcBorders>
          </w:tcPr>
          <w:p w14:paraId="4F49E286" w14:textId="674F2394" w:rsidR="000044FF" w:rsidRPr="00F4600C" w:rsidRDefault="000044FF" w:rsidP="00EE4430">
            <w:pPr>
              <w:pStyle w:val="TableContent"/>
              <w:ind w:left="397" w:hanging="397"/>
              <w:rPr>
                <w:i/>
                <w:iCs/>
                <w:sz w:val="24"/>
              </w:rPr>
            </w:pPr>
            <w:r w:rsidRPr="00F4600C">
              <w:rPr>
                <w:i/>
                <w:iCs/>
                <w:sz w:val="24"/>
              </w:rPr>
              <w:t>‘</w:t>
            </w:r>
            <w:r w:rsidRPr="00F4600C">
              <w:rPr>
                <w:sz w:val="24"/>
              </w:rPr>
              <w:t>30 With the exception noted in paragraph 32A, an entity shall choose as its accounting policy either the fair value model in paragraphs 33–55 or the cost model in paragraph 56 and shall apply that policy to all of its investment property.’</w:t>
            </w:r>
          </w:p>
        </w:tc>
      </w:tr>
      <w:tr w:rsidR="000044FF" w:rsidRPr="00511E21" w14:paraId="3D82859B" w14:textId="77777777">
        <w:tc>
          <w:tcPr>
            <w:tcW w:w="9639" w:type="dxa"/>
            <w:tcBorders>
              <w:bottom w:val="single" w:sz="4" w:space="0" w:color="auto"/>
            </w:tcBorders>
            <w:shd w:val="clear" w:color="auto" w:fill="F2F2F2" w:themeFill="background1" w:themeFillShade="F2"/>
          </w:tcPr>
          <w:p w14:paraId="42B53A18" w14:textId="77777777" w:rsidR="000044FF" w:rsidRPr="00EE4430" w:rsidRDefault="000044FF" w:rsidP="00875C51">
            <w:pPr>
              <w:pStyle w:val="TableContent"/>
              <w:rPr>
                <w:rStyle w:val="normaltextrun"/>
                <w:b/>
                <w:bCs/>
                <w:sz w:val="24"/>
              </w:rPr>
            </w:pPr>
            <w:r w:rsidRPr="00EE4430">
              <w:rPr>
                <w:b/>
                <w:bCs/>
                <w:sz w:val="24"/>
              </w:rPr>
              <w:t>Interpretation (AASB 2022: 8)</w:t>
            </w:r>
          </w:p>
        </w:tc>
      </w:tr>
      <w:tr w:rsidR="000044FF" w:rsidRPr="0064452F" w14:paraId="06535A16" w14:textId="77777777">
        <w:tc>
          <w:tcPr>
            <w:tcW w:w="9639" w:type="dxa"/>
          </w:tcPr>
          <w:p w14:paraId="534C71CF" w14:textId="77777777" w:rsidR="000044FF" w:rsidRPr="00875C51" w:rsidRDefault="000044FF" w:rsidP="00875C51">
            <w:pPr>
              <w:pStyle w:val="TableContent"/>
              <w:rPr>
                <w:sz w:val="24"/>
              </w:rPr>
            </w:pPr>
            <w:r w:rsidRPr="00875C51">
              <w:rPr>
                <w:sz w:val="24"/>
              </w:rPr>
              <w:t xml:space="preserve">Three issues are important: </w:t>
            </w:r>
          </w:p>
          <w:p w14:paraId="36B6FE9F" w14:textId="77777777" w:rsidR="000044FF" w:rsidRPr="00875C51" w:rsidRDefault="000044FF">
            <w:pPr>
              <w:pStyle w:val="TableContent"/>
              <w:numPr>
                <w:ilvl w:val="0"/>
                <w:numId w:val="97"/>
              </w:numPr>
              <w:rPr>
                <w:sz w:val="24"/>
              </w:rPr>
            </w:pPr>
            <w:r w:rsidRPr="00875C51">
              <w:rPr>
                <w:sz w:val="24"/>
              </w:rPr>
              <w:t>a local government has discretion as to its choice of measurement model,</w:t>
            </w:r>
          </w:p>
          <w:p w14:paraId="2552ED3C" w14:textId="6FA1A8C7" w:rsidR="000044FF" w:rsidRPr="00875C51" w:rsidRDefault="000044FF">
            <w:pPr>
              <w:pStyle w:val="TableContent"/>
              <w:numPr>
                <w:ilvl w:val="0"/>
                <w:numId w:val="97"/>
              </w:numPr>
              <w:rPr>
                <w:sz w:val="24"/>
              </w:rPr>
            </w:pPr>
            <w:r w:rsidRPr="00875C51">
              <w:rPr>
                <w:sz w:val="24"/>
              </w:rPr>
              <w:t>the chosen model represents an accounting policy</w:t>
            </w:r>
            <w:r w:rsidR="00F4600C">
              <w:rPr>
                <w:sz w:val="24"/>
              </w:rPr>
              <w:t>;</w:t>
            </w:r>
            <w:r w:rsidRPr="00875C51">
              <w:rPr>
                <w:sz w:val="24"/>
              </w:rPr>
              <w:t xml:space="preserve"> and</w:t>
            </w:r>
          </w:p>
          <w:p w14:paraId="7963D79B" w14:textId="77777777" w:rsidR="000044FF" w:rsidRPr="00875C51" w:rsidRDefault="000044FF">
            <w:pPr>
              <w:pStyle w:val="TableContent"/>
              <w:numPr>
                <w:ilvl w:val="0"/>
                <w:numId w:val="97"/>
              </w:numPr>
              <w:rPr>
                <w:rStyle w:val="normaltextrun"/>
                <w:sz w:val="24"/>
              </w:rPr>
            </w:pPr>
            <w:r w:rsidRPr="00875C51">
              <w:rPr>
                <w:sz w:val="24"/>
              </w:rPr>
              <w:t>the chosen model must be applied ‘to all investment property’ (AASB 140 Investment Property (2022: 8).</w:t>
            </w:r>
          </w:p>
        </w:tc>
      </w:tr>
    </w:tbl>
    <w:p w14:paraId="659323B0" w14:textId="77777777" w:rsidR="00A133E0" w:rsidRDefault="00A133E0">
      <w:pPr>
        <w:spacing w:after="0" w:line="240" w:lineRule="auto"/>
        <w:rPr>
          <w:rFonts w:cs="Arial"/>
          <w:bCs/>
        </w:rPr>
      </w:pPr>
      <w:r>
        <w:rPr>
          <w:rFonts w:cs="Arial"/>
          <w:bCs/>
        </w:rPr>
        <w:br w:type="page"/>
      </w:r>
    </w:p>
    <w:p w14:paraId="4134FC6C" w14:textId="733466F8" w:rsidR="006D467A" w:rsidRPr="008D211B" w:rsidRDefault="006D467A" w:rsidP="008D211B">
      <w:pPr>
        <w:pStyle w:val="Heading4"/>
      </w:pPr>
      <w:r w:rsidRPr="008D211B">
        <w:rPr>
          <w:rStyle w:val="Heading4Char"/>
          <w:b/>
          <w:bCs/>
        </w:rPr>
        <w:lastRenderedPageBreak/>
        <w:t>Fair value model</w:t>
      </w:r>
    </w:p>
    <w:p w14:paraId="46B3AC5F" w14:textId="24BB5191" w:rsidR="000044FF" w:rsidRPr="0064452F" w:rsidRDefault="000044FF" w:rsidP="000044FF">
      <w:pPr>
        <w:spacing w:before="120"/>
        <w:rPr>
          <w:rFonts w:cs="Arial"/>
          <w:bCs/>
        </w:rPr>
      </w:pPr>
      <w:r w:rsidRPr="0064452F">
        <w:rPr>
          <w:rFonts w:cs="Arial"/>
          <w:bCs/>
        </w:rPr>
        <w:t>AASB 140 Investment Property (2022)</w:t>
      </w:r>
      <w:r w:rsidRPr="0064452F">
        <w:rPr>
          <w:rFonts w:cs="Arial"/>
          <w:b/>
          <w:vertAlign w:val="superscript"/>
        </w:rPr>
        <w:t xml:space="preserve"> </w:t>
      </w:r>
      <w:r w:rsidRPr="0064452F">
        <w:rPr>
          <w:rFonts w:cs="Arial"/>
          <w:bCs/>
        </w:rPr>
        <w:t>states regarding the ‘fair value model’</w:t>
      </w:r>
    </w:p>
    <w:tbl>
      <w:tblPr>
        <w:tblStyle w:val="TableGrid"/>
        <w:tblW w:w="9639" w:type="dxa"/>
        <w:tblLook w:val="04A0" w:firstRow="1" w:lastRow="0" w:firstColumn="1" w:lastColumn="0" w:noHBand="0" w:noVBand="1"/>
      </w:tblPr>
      <w:tblGrid>
        <w:gridCol w:w="9639"/>
      </w:tblGrid>
      <w:tr w:rsidR="000044FF" w:rsidRPr="0064452F" w14:paraId="78C45B86" w14:textId="77777777">
        <w:trPr>
          <w:tblHeader/>
        </w:trPr>
        <w:tc>
          <w:tcPr>
            <w:tcW w:w="9072" w:type="dxa"/>
            <w:shd w:val="clear" w:color="auto" w:fill="F2F2F2" w:themeFill="background1" w:themeFillShade="F2"/>
          </w:tcPr>
          <w:p w14:paraId="75E8A30F" w14:textId="77777777" w:rsidR="000044FF" w:rsidRPr="00F86C86" w:rsidRDefault="000044FF" w:rsidP="00F86C86">
            <w:pPr>
              <w:pStyle w:val="TableContent"/>
              <w:rPr>
                <w:b/>
                <w:bCs/>
                <w:sz w:val="24"/>
              </w:rPr>
            </w:pPr>
            <w:r w:rsidRPr="00F86C86">
              <w:rPr>
                <w:b/>
                <w:bCs/>
                <w:sz w:val="24"/>
              </w:rPr>
              <w:t>(AASB 2022: 9)</w:t>
            </w:r>
          </w:p>
        </w:tc>
      </w:tr>
      <w:tr w:rsidR="000044FF" w:rsidRPr="0064452F" w14:paraId="0DB92486" w14:textId="77777777">
        <w:tc>
          <w:tcPr>
            <w:tcW w:w="9072" w:type="dxa"/>
          </w:tcPr>
          <w:p w14:paraId="1FF8253C" w14:textId="567EB20C" w:rsidR="000044FF" w:rsidRPr="00F4600C" w:rsidRDefault="000044FF" w:rsidP="00F86C86">
            <w:pPr>
              <w:pStyle w:val="TableContent"/>
              <w:ind w:left="397" w:hanging="397"/>
              <w:rPr>
                <w:sz w:val="24"/>
              </w:rPr>
            </w:pPr>
            <w:r w:rsidRPr="00F4600C">
              <w:rPr>
                <w:sz w:val="24"/>
              </w:rPr>
              <w:t>‘33 After initial recognition, an entity that chooses the fair value model shall measure all of its investment property at fair value, except in the cases described in paragraph 53.’</w:t>
            </w:r>
          </w:p>
        </w:tc>
      </w:tr>
      <w:tr w:rsidR="000044FF" w:rsidRPr="0064452F" w14:paraId="26F88C8E" w14:textId="77777777">
        <w:trPr>
          <w:tblHeader/>
        </w:trPr>
        <w:tc>
          <w:tcPr>
            <w:tcW w:w="9072" w:type="dxa"/>
            <w:tcBorders>
              <w:bottom w:val="single" w:sz="4" w:space="0" w:color="auto"/>
            </w:tcBorders>
          </w:tcPr>
          <w:p w14:paraId="12BAE53A" w14:textId="72280386" w:rsidR="000044FF" w:rsidRPr="00F4600C" w:rsidRDefault="000044FF" w:rsidP="00BC0535">
            <w:pPr>
              <w:pStyle w:val="TableContent"/>
              <w:ind w:left="397" w:hanging="397"/>
              <w:rPr>
                <w:i/>
                <w:iCs/>
                <w:sz w:val="24"/>
              </w:rPr>
            </w:pPr>
            <w:r w:rsidRPr="00F4600C">
              <w:rPr>
                <w:i/>
                <w:iCs/>
                <w:sz w:val="24"/>
              </w:rPr>
              <w:t>‘</w:t>
            </w:r>
            <w:r w:rsidRPr="00F4600C">
              <w:rPr>
                <w:sz w:val="24"/>
              </w:rPr>
              <w:t>35 A gain or loss arising from a change in the fair value of investment property shall be recognised in profit or loss for the period in which it arises.’</w:t>
            </w:r>
          </w:p>
        </w:tc>
      </w:tr>
      <w:tr w:rsidR="000044FF" w:rsidRPr="00511E21" w14:paraId="13DCB0EB" w14:textId="77777777">
        <w:trPr>
          <w:tblHeader/>
        </w:trPr>
        <w:tc>
          <w:tcPr>
            <w:tcW w:w="9072" w:type="dxa"/>
            <w:shd w:val="clear" w:color="auto" w:fill="F2F2F2" w:themeFill="background1" w:themeFillShade="F2"/>
          </w:tcPr>
          <w:p w14:paraId="2834FD0D" w14:textId="77777777" w:rsidR="000044FF" w:rsidRPr="00BC0535" w:rsidRDefault="000044FF" w:rsidP="00F86C86">
            <w:pPr>
              <w:pStyle w:val="TableContent"/>
              <w:rPr>
                <w:rStyle w:val="normaltextrun"/>
                <w:b/>
                <w:bCs/>
                <w:sz w:val="24"/>
              </w:rPr>
            </w:pPr>
            <w:r w:rsidRPr="00BC0535">
              <w:rPr>
                <w:b/>
                <w:bCs/>
                <w:sz w:val="24"/>
              </w:rPr>
              <w:t>Interpretation (AASB 2022: 9)</w:t>
            </w:r>
          </w:p>
        </w:tc>
      </w:tr>
      <w:tr w:rsidR="000044FF" w:rsidRPr="0064452F" w14:paraId="47DF4164" w14:textId="77777777">
        <w:tc>
          <w:tcPr>
            <w:tcW w:w="9072" w:type="dxa"/>
          </w:tcPr>
          <w:p w14:paraId="147BEF01" w14:textId="77777777" w:rsidR="000044FF" w:rsidRPr="00F86C86" w:rsidRDefault="000044FF" w:rsidP="00F86C86">
            <w:pPr>
              <w:pStyle w:val="TableContent"/>
              <w:rPr>
                <w:rStyle w:val="normaltextrun"/>
                <w:sz w:val="24"/>
              </w:rPr>
            </w:pPr>
            <w:r w:rsidRPr="00F86C86">
              <w:rPr>
                <w:rStyle w:val="normaltextrun"/>
                <w:sz w:val="24"/>
              </w:rPr>
              <w:t>Paragraph 33:</w:t>
            </w:r>
          </w:p>
          <w:p w14:paraId="718CC5B6" w14:textId="77777777" w:rsidR="000044FF" w:rsidRPr="00F86C86" w:rsidRDefault="000044FF" w:rsidP="00F86C86">
            <w:pPr>
              <w:pStyle w:val="TableContent"/>
              <w:rPr>
                <w:rStyle w:val="normaltextrun"/>
                <w:sz w:val="24"/>
              </w:rPr>
            </w:pPr>
            <w:r w:rsidRPr="00F86C86">
              <w:rPr>
                <w:rStyle w:val="normaltextrun"/>
                <w:sz w:val="24"/>
              </w:rPr>
              <w:t xml:space="preserve">A decision to use the fair value model must be applied to </w:t>
            </w:r>
            <w:r w:rsidRPr="00F86C86">
              <w:rPr>
                <w:rStyle w:val="normaltextrun"/>
                <w:b/>
                <w:bCs/>
                <w:sz w:val="24"/>
              </w:rPr>
              <w:t>all</w:t>
            </w:r>
            <w:r w:rsidRPr="00F86C86">
              <w:rPr>
                <w:rStyle w:val="normaltextrun"/>
                <w:sz w:val="24"/>
              </w:rPr>
              <w:t xml:space="preserve"> investment properties (except as indicated in AASB 140 Investment Property (2022), paragraph 53).</w:t>
            </w:r>
          </w:p>
          <w:p w14:paraId="4089DAD7" w14:textId="77777777" w:rsidR="000044FF" w:rsidRPr="00F86C86" w:rsidRDefault="000044FF" w:rsidP="00F86C86">
            <w:pPr>
              <w:pStyle w:val="TableContent"/>
              <w:rPr>
                <w:rStyle w:val="normaltextrun"/>
                <w:sz w:val="24"/>
              </w:rPr>
            </w:pPr>
            <w:r w:rsidRPr="00F86C86">
              <w:rPr>
                <w:rStyle w:val="normaltextrun"/>
                <w:sz w:val="24"/>
              </w:rPr>
              <w:t xml:space="preserve">Paragraph 35: </w:t>
            </w:r>
          </w:p>
          <w:p w14:paraId="039D5089" w14:textId="77777777" w:rsidR="000044FF" w:rsidRPr="00F86C86" w:rsidRDefault="000044FF" w:rsidP="00F86C86">
            <w:pPr>
              <w:pStyle w:val="TableContent"/>
              <w:rPr>
                <w:rStyle w:val="normaltextrun"/>
                <w:sz w:val="24"/>
              </w:rPr>
            </w:pPr>
            <w:r w:rsidRPr="00F86C86">
              <w:rPr>
                <w:rStyle w:val="normaltextrun"/>
                <w:sz w:val="24"/>
              </w:rPr>
              <w:t>Fair value gains or losses are recognised in profit or loss in the period it arises.</w:t>
            </w:r>
          </w:p>
          <w:p w14:paraId="452756DC" w14:textId="77777777" w:rsidR="000044FF" w:rsidRPr="00F86C86" w:rsidRDefault="000044FF" w:rsidP="00F86C86">
            <w:pPr>
              <w:pStyle w:val="TableContent"/>
              <w:rPr>
                <w:rStyle w:val="normaltextrun"/>
                <w:sz w:val="24"/>
                <w:highlight w:val="yellow"/>
              </w:rPr>
            </w:pPr>
            <w:r w:rsidRPr="00F86C86">
              <w:rPr>
                <w:rStyle w:val="normaltextrun"/>
                <w:sz w:val="24"/>
              </w:rPr>
              <w:t>This practice must be distinguished from the recognition of fair value movements in the case of property plant and equipment which follows more complex rule</w:t>
            </w:r>
            <w:r w:rsidRPr="00F4600C">
              <w:rPr>
                <w:rStyle w:val="normaltextrun"/>
                <w:sz w:val="24"/>
              </w:rPr>
              <w:t>s.</w:t>
            </w:r>
          </w:p>
          <w:p w14:paraId="113C0D84" w14:textId="6A6F8790" w:rsidR="000044FF" w:rsidRPr="00F86C86" w:rsidRDefault="000044FF" w:rsidP="00F86C86">
            <w:pPr>
              <w:pStyle w:val="TableContent"/>
              <w:rPr>
                <w:rStyle w:val="normaltextrun"/>
                <w:sz w:val="24"/>
              </w:rPr>
            </w:pPr>
            <w:r w:rsidRPr="00F86C86">
              <w:rPr>
                <w:sz w:val="24"/>
              </w:rPr>
              <w:t>AASB 116 Property, Plant and Equipment (2022)</w:t>
            </w:r>
            <w:r w:rsidR="005C5D4A">
              <w:rPr>
                <w:sz w:val="24"/>
              </w:rPr>
              <w:t xml:space="preserve"> in Attachment </w:t>
            </w:r>
            <w:proofErr w:type="gramStart"/>
            <w:r w:rsidR="005C5D4A">
              <w:rPr>
                <w:sz w:val="24"/>
              </w:rPr>
              <w:t xml:space="preserve">A </w:t>
            </w:r>
            <w:r w:rsidRPr="00F86C86">
              <w:rPr>
                <w:sz w:val="24"/>
                <w:vertAlign w:val="superscript"/>
              </w:rPr>
              <w:t xml:space="preserve"> </w:t>
            </w:r>
            <w:r w:rsidRPr="00F86C86">
              <w:rPr>
                <w:sz w:val="24"/>
              </w:rPr>
              <w:t>specifically</w:t>
            </w:r>
            <w:proofErr w:type="gramEnd"/>
            <w:r w:rsidRPr="00F86C86">
              <w:rPr>
                <w:sz w:val="24"/>
              </w:rPr>
              <w:t xml:space="preserve"> addresses the accounting treatment for an increase or a decrease on revaluation of an asset</w:t>
            </w:r>
            <w:r w:rsidR="005C5D4A">
              <w:rPr>
                <w:sz w:val="24"/>
              </w:rPr>
              <w:t>.</w:t>
            </w:r>
          </w:p>
        </w:tc>
      </w:tr>
    </w:tbl>
    <w:p w14:paraId="5ADC7B42" w14:textId="77777777" w:rsidR="000044FF" w:rsidRPr="0064452F" w:rsidRDefault="000044FF" w:rsidP="00D70B5C">
      <w:pPr>
        <w:pStyle w:val="BodyText"/>
      </w:pPr>
      <w:r w:rsidRPr="0064452F">
        <w:t>AASB 140 Investment Property (2022) states regarding an ‘inability to measure fair value reliably’</w:t>
      </w:r>
      <w:r w:rsidRPr="0064452F">
        <w:rPr>
          <w:i/>
          <w:iCs/>
        </w:rPr>
        <w:t>:</w:t>
      </w:r>
    </w:p>
    <w:tbl>
      <w:tblPr>
        <w:tblStyle w:val="TableGrid"/>
        <w:tblW w:w="9639" w:type="dxa"/>
        <w:tblLook w:val="04A0" w:firstRow="1" w:lastRow="0" w:firstColumn="1" w:lastColumn="0" w:noHBand="0" w:noVBand="1"/>
      </w:tblPr>
      <w:tblGrid>
        <w:gridCol w:w="9639"/>
      </w:tblGrid>
      <w:tr w:rsidR="000044FF" w:rsidRPr="00511E21" w14:paraId="37BB64D4" w14:textId="77777777">
        <w:trPr>
          <w:tblHeader/>
        </w:trPr>
        <w:tc>
          <w:tcPr>
            <w:tcW w:w="9639" w:type="dxa"/>
            <w:shd w:val="clear" w:color="auto" w:fill="F2F2F2" w:themeFill="background1" w:themeFillShade="F2"/>
          </w:tcPr>
          <w:p w14:paraId="57717C53" w14:textId="77777777" w:rsidR="000044FF" w:rsidRPr="009F1823" w:rsidRDefault="000044FF" w:rsidP="009F1823">
            <w:pPr>
              <w:pStyle w:val="TableContent"/>
              <w:rPr>
                <w:b/>
                <w:bCs/>
                <w:sz w:val="24"/>
              </w:rPr>
            </w:pPr>
            <w:r w:rsidRPr="009F1823">
              <w:rPr>
                <w:b/>
                <w:bCs/>
                <w:sz w:val="24"/>
              </w:rPr>
              <w:t>(AASB 2022: 10)</w:t>
            </w:r>
          </w:p>
        </w:tc>
      </w:tr>
      <w:tr w:rsidR="000044FF" w:rsidRPr="0064452F" w14:paraId="4F5F7DA7" w14:textId="77777777" w:rsidTr="00137698">
        <w:tc>
          <w:tcPr>
            <w:tcW w:w="9639" w:type="dxa"/>
            <w:tcBorders>
              <w:bottom w:val="single" w:sz="4" w:space="0" w:color="000000"/>
            </w:tcBorders>
          </w:tcPr>
          <w:p w14:paraId="2B17E957" w14:textId="740317E2" w:rsidR="000044FF" w:rsidRPr="00F4600C" w:rsidRDefault="000044FF" w:rsidP="009F1823">
            <w:pPr>
              <w:pStyle w:val="TableContent"/>
              <w:ind w:left="397" w:hanging="397"/>
              <w:rPr>
                <w:i/>
                <w:iCs/>
                <w:sz w:val="24"/>
                <w:lang w:eastAsia="en-AU"/>
              </w:rPr>
            </w:pPr>
            <w:r w:rsidRPr="00F4600C">
              <w:rPr>
                <w:i/>
                <w:iCs/>
                <w:sz w:val="24"/>
                <w:lang w:eastAsia="en-AU"/>
              </w:rPr>
              <w:t>‘</w:t>
            </w:r>
            <w:r w:rsidRPr="00F4600C">
              <w:rPr>
                <w:sz w:val="24"/>
                <w:lang w:eastAsia="en-AU"/>
              </w:rPr>
              <w:t>53 There is a rebuttable presumption that an entity can reliably measure the fair value of an investment property on a continuing basis. However, in exceptional cases, there is clear evidence when an entity first acquires an investment property (or when an existing property first becomes investment property after a change in use) that the fair value of the investment property is not reliably measurable on a continuing basis. This arises when, and only when, the market for comparable properties is inactive (</w:t>
            </w:r>
            <w:proofErr w:type="spellStart"/>
            <w:r w:rsidRPr="00F4600C">
              <w:rPr>
                <w:sz w:val="24"/>
                <w:lang w:eastAsia="en-AU"/>
              </w:rPr>
              <w:t>eg</w:t>
            </w:r>
            <w:proofErr w:type="spellEnd"/>
            <w:r w:rsidRPr="00F4600C">
              <w:rPr>
                <w:sz w:val="24"/>
                <w:lang w:eastAsia="en-AU"/>
              </w:rPr>
              <w:t xml:space="preserve"> there are few recent transactions, price quotations are not current or observed transaction prices indicate that the seller was forced to sell) and alternative reliable measurements of fair value (for example, based on discounted cash flow projections) are not available. If an entity determines that the fair value of an investment property under construction is not reliably measurable but expects the fair value of the property to be reliably measurable when construction is complete, it shall measure that investment property under construction at cost until either its fair value becomes reliably measurable or construction is completed (whichever is earlier). If an entity determines that the fair value of an investment property (other than an investment property under construction) is not reliably measurable on a continuing basis, the entity shall measure </w:t>
            </w:r>
            <w:r w:rsidRPr="00F4600C">
              <w:rPr>
                <w:sz w:val="24"/>
                <w:lang w:eastAsia="en-AU"/>
              </w:rPr>
              <w:lastRenderedPageBreak/>
              <w:t>that investment property using the cost model in AASB 116 for owned investment property or in accordance with AASB 16 for investment property held by a lessee as a right-of-use asset. The residual value of the investment property shall be assumed to be zero. The entity shall continue to apply AASB 116 or AASB 16 until disposal of the investment property.’</w:t>
            </w:r>
          </w:p>
        </w:tc>
      </w:tr>
      <w:tr w:rsidR="00FF755E" w:rsidRPr="0064452F" w14:paraId="01C802FF" w14:textId="77777777" w:rsidTr="00137698">
        <w:trPr>
          <w:tblHeader/>
        </w:trPr>
        <w:tc>
          <w:tcPr>
            <w:tcW w:w="9639" w:type="dxa"/>
            <w:tcBorders>
              <w:bottom w:val="single" w:sz="4" w:space="0" w:color="auto"/>
            </w:tcBorders>
            <w:shd w:val="clear" w:color="auto" w:fill="F2F2F2" w:themeFill="background1" w:themeFillShade="F2"/>
          </w:tcPr>
          <w:p w14:paraId="2FDB0E80" w14:textId="0148FFB0" w:rsidR="00FF755E" w:rsidRPr="009F1823" w:rsidRDefault="00FF755E" w:rsidP="00FF755E">
            <w:pPr>
              <w:pStyle w:val="TableContent"/>
              <w:ind w:left="567" w:hanging="567"/>
              <w:rPr>
                <w:i/>
                <w:iCs/>
              </w:rPr>
            </w:pPr>
            <w:r w:rsidRPr="00B957D2">
              <w:rPr>
                <w:b/>
                <w:bCs/>
                <w:sz w:val="24"/>
              </w:rPr>
              <w:t>Interpretation (AASB 2022: 10)</w:t>
            </w:r>
          </w:p>
        </w:tc>
      </w:tr>
      <w:tr w:rsidR="00FF755E" w:rsidRPr="0064452F" w14:paraId="0801250D" w14:textId="77777777">
        <w:trPr>
          <w:tblHeader/>
        </w:trPr>
        <w:tc>
          <w:tcPr>
            <w:tcW w:w="9639" w:type="dxa"/>
            <w:tcBorders>
              <w:bottom w:val="single" w:sz="4" w:space="0" w:color="auto"/>
            </w:tcBorders>
          </w:tcPr>
          <w:p w14:paraId="698EF664" w14:textId="77777777" w:rsidR="00FF755E" w:rsidRPr="009F1823" w:rsidRDefault="00FF755E" w:rsidP="00FF755E">
            <w:pPr>
              <w:pStyle w:val="TableContent"/>
              <w:rPr>
                <w:i/>
                <w:iCs/>
                <w:sz w:val="24"/>
              </w:rPr>
            </w:pPr>
            <w:r w:rsidRPr="009F1823">
              <w:rPr>
                <w:rStyle w:val="normaltextrun"/>
                <w:sz w:val="24"/>
              </w:rPr>
              <w:t>If on acquisition of an investment property (</w:t>
            </w:r>
            <w:r w:rsidRPr="00F4600C">
              <w:rPr>
                <w:rStyle w:val="normaltextrun"/>
                <w:sz w:val="24"/>
              </w:rPr>
              <w:t>not</w:t>
            </w:r>
            <w:r w:rsidRPr="009F1823">
              <w:rPr>
                <w:rStyle w:val="normaltextrun"/>
                <w:b/>
                <w:bCs/>
                <w:sz w:val="24"/>
              </w:rPr>
              <w:t xml:space="preserve"> </w:t>
            </w:r>
            <w:r w:rsidRPr="00F4600C">
              <w:rPr>
                <w:rStyle w:val="normaltextrun"/>
                <w:sz w:val="24"/>
              </w:rPr>
              <w:t>thereafter</w:t>
            </w:r>
            <w:r w:rsidRPr="009F1823">
              <w:rPr>
                <w:rStyle w:val="normaltextrun"/>
                <w:sz w:val="24"/>
              </w:rPr>
              <w:t>), there is ‘clear evidence’ ‘</w:t>
            </w:r>
            <w:r w:rsidRPr="009F1823">
              <w:rPr>
                <w:sz w:val="24"/>
              </w:rPr>
              <w:t>that the fair value of the investment property is not reliably measurable on a continuing basis’</w:t>
            </w:r>
            <w:r w:rsidRPr="009F1823">
              <w:rPr>
                <w:i/>
                <w:iCs/>
                <w:sz w:val="24"/>
              </w:rPr>
              <w:t xml:space="preserve">, </w:t>
            </w:r>
          </w:p>
          <w:p w14:paraId="2C8F422E" w14:textId="337E01A9" w:rsidR="00FF755E" w:rsidRPr="009F1823" w:rsidRDefault="00FF755E">
            <w:pPr>
              <w:pStyle w:val="TableContent"/>
              <w:numPr>
                <w:ilvl w:val="0"/>
                <w:numId w:val="98"/>
              </w:numPr>
              <w:rPr>
                <w:sz w:val="24"/>
              </w:rPr>
            </w:pPr>
            <w:r w:rsidRPr="009F1823">
              <w:rPr>
                <w:sz w:val="24"/>
              </w:rPr>
              <w:t>in case of ‘an investment property under construction</w:t>
            </w:r>
            <w:r w:rsidRPr="009F1823">
              <w:rPr>
                <w:i/>
                <w:iCs/>
                <w:sz w:val="24"/>
              </w:rPr>
              <w:t>’ -</w:t>
            </w:r>
            <w:r w:rsidRPr="009F1823">
              <w:rPr>
                <w:sz w:val="24"/>
              </w:rPr>
              <w:t xml:space="preserve"> measure the property ‘at cost until either its fair value becomes reliably measurable or construction is completed (whichever is earlier)</w:t>
            </w:r>
            <w:r w:rsidRPr="009F1823">
              <w:rPr>
                <w:i/>
                <w:iCs/>
                <w:sz w:val="24"/>
              </w:rPr>
              <w:t>’</w:t>
            </w:r>
            <w:r w:rsidR="00F4600C">
              <w:rPr>
                <w:i/>
                <w:iCs/>
                <w:sz w:val="24"/>
              </w:rPr>
              <w:t>;</w:t>
            </w:r>
            <w:r w:rsidRPr="009F1823">
              <w:rPr>
                <w:i/>
                <w:iCs/>
                <w:sz w:val="24"/>
              </w:rPr>
              <w:t xml:space="preserve"> </w:t>
            </w:r>
            <w:r w:rsidRPr="009F1823">
              <w:rPr>
                <w:sz w:val="24"/>
              </w:rPr>
              <w:t>and</w:t>
            </w:r>
          </w:p>
          <w:p w14:paraId="0EEAAF1D" w14:textId="77777777" w:rsidR="00FF755E" w:rsidRPr="009F1823" w:rsidRDefault="00FF755E">
            <w:pPr>
              <w:pStyle w:val="TableContent"/>
              <w:numPr>
                <w:ilvl w:val="0"/>
                <w:numId w:val="98"/>
              </w:numPr>
              <w:rPr>
                <w:sz w:val="24"/>
              </w:rPr>
            </w:pPr>
            <w:r w:rsidRPr="009F1823">
              <w:rPr>
                <w:sz w:val="24"/>
              </w:rPr>
              <w:t xml:space="preserve">in case of an already constructed investment property: </w:t>
            </w:r>
          </w:p>
          <w:p w14:paraId="5C4C9B30" w14:textId="77777777" w:rsidR="00FF755E" w:rsidRPr="009F1823" w:rsidRDefault="00FF755E">
            <w:pPr>
              <w:pStyle w:val="TableContent"/>
              <w:numPr>
                <w:ilvl w:val="0"/>
                <w:numId w:val="99"/>
              </w:numPr>
              <w:ind w:left="1071" w:hanging="357"/>
              <w:rPr>
                <w:sz w:val="24"/>
              </w:rPr>
            </w:pPr>
            <w:r w:rsidRPr="009F1823">
              <w:rPr>
                <w:sz w:val="24"/>
              </w:rPr>
              <w:t>measure the property ‘using the cost model in AASB 116 for owned investment property</w:t>
            </w:r>
            <w:r w:rsidRPr="009F1823">
              <w:rPr>
                <w:i/>
                <w:iCs/>
                <w:sz w:val="24"/>
              </w:rPr>
              <w:t>’</w:t>
            </w:r>
            <w:r w:rsidRPr="009F1823">
              <w:rPr>
                <w:sz w:val="24"/>
              </w:rPr>
              <w:t xml:space="preserve"> or</w:t>
            </w:r>
          </w:p>
          <w:p w14:paraId="1AA00589" w14:textId="01EA6E5D" w:rsidR="00FF755E" w:rsidRPr="009F1823" w:rsidRDefault="00FF755E">
            <w:pPr>
              <w:pStyle w:val="TableContent"/>
              <w:numPr>
                <w:ilvl w:val="0"/>
                <w:numId w:val="99"/>
              </w:numPr>
              <w:ind w:left="1071" w:hanging="357"/>
              <w:rPr>
                <w:i/>
                <w:iCs/>
              </w:rPr>
            </w:pPr>
            <w:r w:rsidRPr="009F1823">
              <w:rPr>
                <w:rStyle w:val="normaltextrun"/>
                <w:sz w:val="24"/>
              </w:rPr>
              <w:t>measure the property ‘</w:t>
            </w:r>
            <w:r w:rsidRPr="009F1823">
              <w:rPr>
                <w:i/>
                <w:iCs/>
                <w:sz w:val="24"/>
              </w:rPr>
              <w:t>in accordance with AASB 16 for investment property held by a lessee as a right-of-use asset</w:t>
            </w:r>
            <w:r w:rsidRPr="009F1823">
              <w:rPr>
                <w:sz w:val="24"/>
              </w:rPr>
              <w:t>.’</w:t>
            </w:r>
          </w:p>
        </w:tc>
      </w:tr>
    </w:tbl>
    <w:p w14:paraId="51DBB00B" w14:textId="704CBFBE" w:rsidR="00FF3965" w:rsidRPr="0064452F" w:rsidRDefault="00FF3965" w:rsidP="00D70B5C">
      <w:pPr>
        <w:pStyle w:val="BodyText"/>
      </w:pPr>
      <w:r w:rsidRPr="0064452F">
        <w:t xml:space="preserve">AASB 140 Investment Property (2022) states regarding </w:t>
      </w:r>
      <w:r w:rsidR="00361A40">
        <w:t xml:space="preserve">reliable measurement </w:t>
      </w:r>
      <w:r w:rsidR="00C6739F">
        <w:t>at</w:t>
      </w:r>
      <w:r w:rsidR="00361A40">
        <w:t xml:space="preserve"> a later </w:t>
      </w:r>
      <w:r w:rsidR="00C16E9B">
        <w:t>stage:</w:t>
      </w:r>
    </w:p>
    <w:tbl>
      <w:tblPr>
        <w:tblStyle w:val="TableGrid"/>
        <w:tblW w:w="0" w:type="auto"/>
        <w:tblLook w:val="04A0" w:firstRow="1" w:lastRow="0" w:firstColumn="1" w:lastColumn="0" w:noHBand="0" w:noVBand="1"/>
      </w:tblPr>
      <w:tblGrid>
        <w:gridCol w:w="9607"/>
      </w:tblGrid>
      <w:tr w:rsidR="00004380" w14:paraId="15CA495E" w14:textId="77777777" w:rsidTr="00E911CF">
        <w:tc>
          <w:tcPr>
            <w:tcW w:w="9607" w:type="dxa"/>
            <w:shd w:val="clear" w:color="auto" w:fill="F2F2F2" w:themeFill="background1" w:themeFillShade="F2"/>
          </w:tcPr>
          <w:p w14:paraId="2275A1BB" w14:textId="60B328CF" w:rsidR="00004380" w:rsidRDefault="00CC46ED" w:rsidP="00CC46ED">
            <w:pPr>
              <w:pStyle w:val="TableContent"/>
            </w:pPr>
            <w:r w:rsidRPr="009F1823">
              <w:rPr>
                <w:b/>
                <w:bCs/>
                <w:sz w:val="24"/>
              </w:rPr>
              <w:t>(AASB 2022: 10)</w:t>
            </w:r>
          </w:p>
        </w:tc>
      </w:tr>
      <w:tr w:rsidR="00004380" w14:paraId="5CB270A7" w14:textId="77777777" w:rsidTr="00004380">
        <w:tc>
          <w:tcPr>
            <w:tcW w:w="9607" w:type="dxa"/>
          </w:tcPr>
          <w:p w14:paraId="0C6D6B1A" w14:textId="5D5DA2AE" w:rsidR="00004380" w:rsidRDefault="00233398" w:rsidP="00E911CF">
            <w:pPr>
              <w:pStyle w:val="TableContent"/>
              <w:ind w:left="567" w:hanging="567"/>
            </w:pPr>
            <w:r w:rsidRPr="009F1823">
              <w:rPr>
                <w:i/>
                <w:iCs/>
                <w:sz w:val="24"/>
              </w:rPr>
              <w:t>‘</w:t>
            </w:r>
            <w:r w:rsidRPr="00BB11DE">
              <w:rPr>
                <w:sz w:val="24"/>
              </w:rPr>
              <w:t>53A</w:t>
            </w:r>
            <w:r w:rsidRPr="009F1823">
              <w:rPr>
                <w:i/>
                <w:iCs/>
                <w:sz w:val="24"/>
              </w:rPr>
              <w:t xml:space="preserve"> </w:t>
            </w:r>
            <w:r w:rsidRPr="00BB11DE">
              <w:rPr>
                <w:sz w:val="24"/>
              </w:rPr>
              <w:t>Once an entity becomes able to measure reliably the fair value of an investment property under construction that has previously been measured at cost, it shall measure that property at its fair value…’</w:t>
            </w:r>
          </w:p>
        </w:tc>
      </w:tr>
    </w:tbl>
    <w:p w14:paraId="55362133" w14:textId="77777777" w:rsidR="003F488F" w:rsidRDefault="003F488F">
      <w:pPr>
        <w:spacing w:after="0" w:line="240" w:lineRule="auto"/>
        <w:rPr>
          <w:rFonts w:cs="Arial"/>
          <w:lang w:val="en-GB"/>
        </w:rPr>
      </w:pPr>
      <w:r>
        <w:br w:type="page"/>
      </w:r>
    </w:p>
    <w:p w14:paraId="68805AEB" w14:textId="5D4C5A6E" w:rsidR="00C16E9B" w:rsidRPr="0064452F" w:rsidRDefault="00C16E9B" w:rsidP="00D70B5C">
      <w:pPr>
        <w:pStyle w:val="BodyText"/>
      </w:pPr>
      <w:r w:rsidRPr="0064452F">
        <w:lastRenderedPageBreak/>
        <w:t xml:space="preserve">AASB 140 Investment Property (2022) states regarding </w:t>
      </w:r>
      <w:r w:rsidR="005011EF">
        <w:t xml:space="preserve">continued use of the fair </w:t>
      </w:r>
      <w:r w:rsidR="004E04DA">
        <w:t>value</w:t>
      </w:r>
      <w:r w:rsidR="005011EF">
        <w:t xml:space="preserve"> model: </w:t>
      </w:r>
    </w:p>
    <w:tbl>
      <w:tblPr>
        <w:tblStyle w:val="TableGrid"/>
        <w:tblW w:w="0" w:type="auto"/>
        <w:tblLook w:val="04A0" w:firstRow="1" w:lastRow="0" w:firstColumn="1" w:lastColumn="0" w:noHBand="0" w:noVBand="1"/>
      </w:tblPr>
      <w:tblGrid>
        <w:gridCol w:w="9607"/>
      </w:tblGrid>
      <w:tr w:rsidR="00F17C77" w14:paraId="51EADCE3" w14:textId="77777777" w:rsidTr="00E911CF">
        <w:tc>
          <w:tcPr>
            <w:tcW w:w="9607" w:type="dxa"/>
            <w:shd w:val="clear" w:color="auto" w:fill="F2F2F2" w:themeFill="background1" w:themeFillShade="F2"/>
          </w:tcPr>
          <w:p w14:paraId="045527F7" w14:textId="79704F58" w:rsidR="00F17C77" w:rsidRDefault="00F17C77" w:rsidP="00F17C77">
            <w:pPr>
              <w:spacing w:before="120"/>
              <w:rPr>
                <w:rFonts w:cs="Arial"/>
                <w:bCs/>
              </w:rPr>
            </w:pPr>
            <w:r w:rsidRPr="00BB11DE">
              <w:rPr>
                <w:b/>
                <w:bCs/>
                <w:sz w:val="24"/>
              </w:rPr>
              <w:t>(AASB 2022: 11)</w:t>
            </w:r>
          </w:p>
        </w:tc>
      </w:tr>
      <w:tr w:rsidR="00F17C77" w14:paraId="4944EB40" w14:textId="77777777" w:rsidTr="00E911CF">
        <w:tc>
          <w:tcPr>
            <w:tcW w:w="9607" w:type="dxa"/>
            <w:tcBorders>
              <w:bottom w:val="single" w:sz="4" w:space="0" w:color="000000"/>
            </w:tcBorders>
          </w:tcPr>
          <w:p w14:paraId="3A28C61C" w14:textId="64A0DF59" w:rsidR="00F17C77" w:rsidRPr="00F4600C" w:rsidRDefault="00F17C77" w:rsidP="00E911CF">
            <w:pPr>
              <w:spacing w:before="120"/>
              <w:ind w:left="397" w:hanging="397"/>
              <w:rPr>
                <w:rFonts w:cs="Arial"/>
              </w:rPr>
            </w:pPr>
            <w:r w:rsidRPr="00F4600C">
              <w:rPr>
                <w:i/>
                <w:iCs/>
                <w:sz w:val="24"/>
              </w:rPr>
              <w:t>‘</w:t>
            </w:r>
            <w:r w:rsidRPr="00F4600C">
              <w:rPr>
                <w:sz w:val="24"/>
              </w:rPr>
              <w:t>55 If an entity has previously measured an investment property at fair value, it shall continue to measure the property at fair value until disposal (or until the property becomes owner-occupied property or the entity begins to develop the property for subsequent sale in the ordinary course of business) even if comparable market transactions become less frequent or market prices become less readily available.’</w:t>
            </w:r>
          </w:p>
        </w:tc>
      </w:tr>
      <w:tr w:rsidR="00F17C77" w14:paraId="049E93C6" w14:textId="77777777" w:rsidTr="00E911CF">
        <w:tc>
          <w:tcPr>
            <w:tcW w:w="9607" w:type="dxa"/>
            <w:shd w:val="clear" w:color="auto" w:fill="F2F2F2" w:themeFill="background1" w:themeFillShade="F2"/>
          </w:tcPr>
          <w:p w14:paraId="7401D03C" w14:textId="0AA54741" w:rsidR="00F17C77" w:rsidRDefault="00F17C77" w:rsidP="00F17C77">
            <w:pPr>
              <w:spacing w:before="120"/>
              <w:rPr>
                <w:rFonts w:cs="Arial"/>
                <w:bCs/>
              </w:rPr>
            </w:pPr>
            <w:r w:rsidRPr="0089644B">
              <w:rPr>
                <w:b/>
                <w:bCs/>
                <w:sz w:val="24"/>
              </w:rPr>
              <w:t>Interpretation (AASB 2022: 11)</w:t>
            </w:r>
          </w:p>
        </w:tc>
      </w:tr>
      <w:tr w:rsidR="00F17C77" w14:paraId="2255E475" w14:textId="77777777" w:rsidTr="00F17C77">
        <w:tc>
          <w:tcPr>
            <w:tcW w:w="9607" w:type="dxa"/>
          </w:tcPr>
          <w:p w14:paraId="5297BDB7" w14:textId="088DFC11" w:rsidR="00F17C77" w:rsidRDefault="00F17C77" w:rsidP="00F17C77">
            <w:pPr>
              <w:spacing w:before="120"/>
              <w:rPr>
                <w:rFonts w:cs="Arial"/>
                <w:bCs/>
              </w:rPr>
            </w:pPr>
            <w:r w:rsidRPr="009F1823">
              <w:rPr>
                <w:rStyle w:val="normaltextrun"/>
                <w:sz w:val="24"/>
              </w:rPr>
              <w:t>If an investment property has been measured at fair value</w:t>
            </w:r>
            <w:r w:rsidR="00F4600C">
              <w:rPr>
                <w:rStyle w:val="normaltextrun"/>
                <w:sz w:val="24"/>
              </w:rPr>
              <w:t>,</w:t>
            </w:r>
            <w:r w:rsidRPr="009F1823">
              <w:rPr>
                <w:rStyle w:val="normaltextrun"/>
                <w:sz w:val="24"/>
              </w:rPr>
              <w:t xml:space="preserve"> continue using the fair value model until disposal irrespective of diminished market activity.</w:t>
            </w:r>
          </w:p>
        </w:tc>
      </w:tr>
    </w:tbl>
    <w:p w14:paraId="2AA895FD" w14:textId="2A89DE2C" w:rsidR="00076011" w:rsidRPr="00076011" w:rsidRDefault="00076011" w:rsidP="003A1180">
      <w:pPr>
        <w:spacing w:before="120"/>
        <w:rPr>
          <w:rStyle w:val="Heading4Char"/>
        </w:rPr>
      </w:pPr>
      <w:r w:rsidRPr="00076011">
        <w:rPr>
          <w:rStyle w:val="Heading4Char"/>
        </w:rPr>
        <w:t>Cost model</w:t>
      </w:r>
    </w:p>
    <w:p w14:paraId="3CF12750" w14:textId="734EA1F8" w:rsidR="000044FF" w:rsidRPr="0064452F" w:rsidRDefault="000044FF" w:rsidP="003A1180">
      <w:pPr>
        <w:spacing w:before="120"/>
        <w:rPr>
          <w:b/>
        </w:rPr>
      </w:pPr>
      <w:r>
        <w:t>A</w:t>
      </w:r>
      <w:r w:rsidRPr="0064452F">
        <w:t>ASB 140 Investment Property (2022) states regarding using the ‘</w:t>
      </w:r>
      <w:r w:rsidRPr="005B5793">
        <w:t>cost model’</w:t>
      </w:r>
      <w:r w:rsidRPr="0064452F">
        <w:rPr>
          <w:i/>
          <w:iCs/>
        </w:rPr>
        <w:t>:</w:t>
      </w:r>
    </w:p>
    <w:tbl>
      <w:tblPr>
        <w:tblStyle w:val="TableGrid"/>
        <w:tblW w:w="9639" w:type="dxa"/>
        <w:tblLook w:val="04A0" w:firstRow="1" w:lastRow="0" w:firstColumn="1" w:lastColumn="0" w:noHBand="0" w:noVBand="1"/>
      </w:tblPr>
      <w:tblGrid>
        <w:gridCol w:w="9639"/>
      </w:tblGrid>
      <w:tr w:rsidR="000044FF" w:rsidRPr="003F1F01" w14:paraId="1C362DF5" w14:textId="77777777">
        <w:trPr>
          <w:tblHeader/>
        </w:trPr>
        <w:tc>
          <w:tcPr>
            <w:tcW w:w="9072" w:type="dxa"/>
            <w:shd w:val="clear" w:color="auto" w:fill="F2F2F2" w:themeFill="background1" w:themeFillShade="F2"/>
          </w:tcPr>
          <w:p w14:paraId="0A7DEE93" w14:textId="77777777" w:rsidR="000044FF" w:rsidRPr="005B5793" w:rsidRDefault="000044FF" w:rsidP="005B5793">
            <w:pPr>
              <w:pStyle w:val="TableContent"/>
              <w:rPr>
                <w:b/>
                <w:bCs/>
                <w:sz w:val="24"/>
              </w:rPr>
            </w:pPr>
            <w:r w:rsidRPr="005B5793">
              <w:rPr>
                <w:b/>
                <w:bCs/>
                <w:sz w:val="24"/>
              </w:rPr>
              <w:t>(AASB 2022: 11)</w:t>
            </w:r>
          </w:p>
        </w:tc>
      </w:tr>
      <w:tr w:rsidR="000044FF" w:rsidRPr="0064452F" w14:paraId="19C63FF5" w14:textId="77777777">
        <w:tc>
          <w:tcPr>
            <w:tcW w:w="9072" w:type="dxa"/>
          </w:tcPr>
          <w:p w14:paraId="658DDE74" w14:textId="7D9C7287" w:rsidR="000044FF" w:rsidRPr="00F4600C" w:rsidRDefault="000044FF" w:rsidP="006A4488">
            <w:pPr>
              <w:pStyle w:val="TableContent"/>
              <w:ind w:left="397" w:hanging="397"/>
              <w:rPr>
                <w:color w:val="000000"/>
                <w:sz w:val="24"/>
              </w:rPr>
            </w:pPr>
            <w:r w:rsidRPr="00F4600C">
              <w:rPr>
                <w:color w:val="000000"/>
                <w:sz w:val="24"/>
              </w:rPr>
              <w:t xml:space="preserve">‘56 After initial recognition, an entity that chooses the cost model shall measure investment property: </w:t>
            </w:r>
          </w:p>
          <w:p w14:paraId="0E9BE8CD" w14:textId="77777777" w:rsidR="000044FF" w:rsidRPr="00F4600C" w:rsidRDefault="000044FF" w:rsidP="006A4488">
            <w:pPr>
              <w:pStyle w:val="TableContent"/>
              <w:ind w:left="794" w:hanging="397"/>
              <w:rPr>
                <w:color w:val="000000"/>
                <w:sz w:val="24"/>
              </w:rPr>
            </w:pPr>
            <w:r w:rsidRPr="00F4600C">
              <w:rPr>
                <w:color w:val="000000"/>
                <w:sz w:val="24"/>
              </w:rPr>
              <w:t xml:space="preserve">(a) in accordance with AASB 5 </w:t>
            </w:r>
            <w:r w:rsidRPr="00F4600C">
              <w:rPr>
                <w:i/>
                <w:iCs/>
                <w:color w:val="000000"/>
                <w:sz w:val="24"/>
              </w:rPr>
              <w:t>Non-current Assets Held for Sale and Discontinued Operations</w:t>
            </w:r>
            <w:r w:rsidRPr="00F4600C">
              <w:rPr>
                <w:color w:val="000000"/>
                <w:sz w:val="24"/>
              </w:rPr>
              <w:t xml:space="preserve"> if it meets the criteria to be classified as held for sale (or is included in a disposal group that is classified as held for sale</w:t>
            </w:r>
            <w:proofErr w:type="gramStart"/>
            <w:r w:rsidRPr="00F4600C">
              <w:rPr>
                <w:color w:val="000000"/>
                <w:sz w:val="24"/>
              </w:rPr>
              <w:t>);</w:t>
            </w:r>
            <w:proofErr w:type="gramEnd"/>
            <w:r w:rsidRPr="00F4600C">
              <w:rPr>
                <w:color w:val="000000"/>
                <w:sz w:val="24"/>
              </w:rPr>
              <w:t xml:space="preserve"> </w:t>
            </w:r>
          </w:p>
          <w:p w14:paraId="0E3EC017" w14:textId="77777777" w:rsidR="000044FF" w:rsidRPr="00F4600C" w:rsidRDefault="000044FF" w:rsidP="006A4488">
            <w:pPr>
              <w:pStyle w:val="TableContent"/>
              <w:ind w:left="794" w:hanging="397"/>
              <w:rPr>
                <w:color w:val="000000"/>
                <w:sz w:val="24"/>
              </w:rPr>
            </w:pPr>
            <w:r w:rsidRPr="00F4600C">
              <w:rPr>
                <w:color w:val="000000"/>
                <w:sz w:val="24"/>
              </w:rPr>
              <w:t xml:space="preserve">(b) in accordance with AASB 16 if it is held by a lessee as a right-of-use asset and is not held for sale in accordance with AASB 5; and </w:t>
            </w:r>
          </w:p>
          <w:p w14:paraId="185BEE00" w14:textId="77777777" w:rsidR="000044FF" w:rsidRPr="005B5793" w:rsidRDefault="000044FF" w:rsidP="006A4488">
            <w:pPr>
              <w:pStyle w:val="TableContent"/>
              <w:ind w:left="794" w:hanging="397"/>
              <w:rPr>
                <w:i/>
                <w:iCs/>
                <w:color w:val="000000"/>
                <w:sz w:val="24"/>
              </w:rPr>
            </w:pPr>
            <w:r w:rsidRPr="00F4600C">
              <w:rPr>
                <w:color w:val="000000"/>
                <w:sz w:val="24"/>
              </w:rPr>
              <w:t>(c) in accordance with the requirements in AASB 116 for the cost model in all other cases.’</w:t>
            </w:r>
          </w:p>
        </w:tc>
      </w:tr>
    </w:tbl>
    <w:p w14:paraId="65905831" w14:textId="77777777" w:rsidR="000044FF" w:rsidRDefault="000044FF" w:rsidP="000044FF">
      <w:pPr>
        <w:spacing w:after="160" w:line="278" w:lineRule="auto"/>
        <w:rPr>
          <w:rFonts w:ascii="Arial Rounded MT Bold" w:eastAsiaTheme="majorEastAsia" w:hAnsi="Arial Rounded MT Bold" w:cstheme="majorBidi"/>
          <w:sz w:val="30"/>
          <w:szCs w:val="30"/>
        </w:rPr>
      </w:pPr>
      <w:bookmarkStart w:id="110" w:name="_Toc170118987"/>
      <w:r>
        <w:br w:type="page"/>
      </w:r>
    </w:p>
    <w:p w14:paraId="6D9446DC" w14:textId="77777777" w:rsidR="000044FF" w:rsidRPr="003F1F01" w:rsidRDefault="000044FF" w:rsidP="000044FF">
      <w:pPr>
        <w:pStyle w:val="Heading2"/>
        <w:rPr>
          <w:b w:val="0"/>
          <w:bCs w:val="0"/>
        </w:rPr>
      </w:pPr>
      <w:bookmarkStart w:id="111" w:name="_Toc207722754"/>
      <w:bookmarkStart w:id="112" w:name="_Toc223445087"/>
      <w:r w:rsidRPr="003F1F01">
        <w:lastRenderedPageBreak/>
        <w:t>AASB 108 Accounting Policies, Changes in Accounting Estimates and Errors</w:t>
      </w:r>
      <w:bookmarkEnd w:id="110"/>
      <w:r w:rsidRPr="003F1F01">
        <w:t xml:space="preserve"> (2021)</w:t>
      </w:r>
      <w:bookmarkEnd w:id="111"/>
      <w:bookmarkEnd w:id="112"/>
    </w:p>
    <w:p w14:paraId="6C6F57CF" w14:textId="25ECB1DA" w:rsidR="000044FF" w:rsidRPr="003F1F01" w:rsidRDefault="000044FF" w:rsidP="008D211B">
      <w:pPr>
        <w:pStyle w:val="Heading4"/>
      </w:pPr>
      <w:r w:rsidRPr="003F1F01">
        <w:t>Definition</w:t>
      </w:r>
      <w:r w:rsidR="00C75500">
        <w:t>s</w:t>
      </w:r>
    </w:p>
    <w:p w14:paraId="0688A400" w14:textId="202E649E" w:rsidR="000044FF" w:rsidRPr="003F1F01" w:rsidRDefault="432C2BBC" w:rsidP="00D70B5C">
      <w:pPr>
        <w:pStyle w:val="BodyText"/>
      </w:pPr>
      <w:r>
        <w:t>AASB 108 Accounting Policies, Changes in Accounting Estimates and Errors (2021) states regarding accounting estimates:</w:t>
      </w:r>
    </w:p>
    <w:tbl>
      <w:tblPr>
        <w:tblStyle w:val="TableGrid"/>
        <w:tblW w:w="9639" w:type="dxa"/>
        <w:tblInd w:w="-5" w:type="dxa"/>
        <w:tblLayout w:type="fixed"/>
        <w:tblLook w:val="06A0" w:firstRow="1" w:lastRow="0" w:firstColumn="1" w:lastColumn="0" w:noHBand="1" w:noVBand="1"/>
      </w:tblPr>
      <w:tblGrid>
        <w:gridCol w:w="9639"/>
      </w:tblGrid>
      <w:tr w:rsidR="000044FF" w:rsidRPr="003F1F01" w14:paraId="3296435E" w14:textId="77777777" w:rsidTr="04E1CD47">
        <w:trPr>
          <w:trHeight w:val="300"/>
          <w:tblHeader/>
        </w:trPr>
        <w:tc>
          <w:tcPr>
            <w:tcW w:w="9639" w:type="dxa"/>
            <w:shd w:val="clear" w:color="auto" w:fill="F2F2F2" w:themeFill="background2" w:themeFillShade="F2"/>
          </w:tcPr>
          <w:p w14:paraId="43085AF5" w14:textId="77777777" w:rsidR="000044FF" w:rsidRPr="00432A9C" w:rsidRDefault="000044FF" w:rsidP="00432A9C">
            <w:pPr>
              <w:pStyle w:val="TableContent"/>
              <w:rPr>
                <w:b/>
                <w:bCs/>
                <w:sz w:val="24"/>
              </w:rPr>
            </w:pPr>
            <w:r w:rsidRPr="00432A9C">
              <w:rPr>
                <w:b/>
                <w:bCs/>
                <w:sz w:val="24"/>
              </w:rPr>
              <w:t>(AASB 2021: 5)</w:t>
            </w:r>
          </w:p>
        </w:tc>
      </w:tr>
      <w:tr w:rsidR="000044FF" w:rsidRPr="003F1F01" w14:paraId="70520B95" w14:textId="77777777" w:rsidTr="04E1CD47">
        <w:trPr>
          <w:trHeight w:val="300"/>
        </w:trPr>
        <w:tc>
          <w:tcPr>
            <w:tcW w:w="9639" w:type="dxa"/>
            <w:tcBorders>
              <w:bottom w:val="single" w:sz="4" w:space="0" w:color="auto"/>
            </w:tcBorders>
          </w:tcPr>
          <w:p w14:paraId="49A3493C" w14:textId="2ED6CAFB" w:rsidR="000044FF" w:rsidRPr="00F4600C" w:rsidRDefault="432C2BBC" w:rsidP="04E1CD47">
            <w:pPr>
              <w:pStyle w:val="TableContent"/>
              <w:rPr>
                <w:color w:val="000000"/>
                <w:sz w:val="24"/>
              </w:rPr>
            </w:pPr>
            <w:r w:rsidRPr="00F4600C">
              <w:rPr>
                <w:i/>
                <w:iCs/>
                <w:sz w:val="24"/>
              </w:rPr>
              <w:t>‘</w:t>
            </w:r>
            <w:r w:rsidRPr="00F4600C">
              <w:rPr>
                <w:sz w:val="24"/>
              </w:rPr>
              <w:t xml:space="preserve">5 The following terms are used in this Standard with the meanings specified: </w:t>
            </w:r>
          </w:p>
          <w:p w14:paraId="183D65B4" w14:textId="77777777" w:rsidR="000044FF" w:rsidRPr="00F4600C" w:rsidRDefault="000044FF" w:rsidP="00432A9C">
            <w:pPr>
              <w:pStyle w:val="TableContent"/>
              <w:ind w:left="340"/>
              <w:rPr>
                <w:i/>
                <w:iCs/>
                <w:color w:val="000000"/>
                <w:sz w:val="24"/>
              </w:rPr>
            </w:pPr>
            <w:r w:rsidRPr="00F4600C">
              <w:rPr>
                <w:i/>
                <w:iCs/>
                <w:color w:val="000000"/>
                <w:sz w:val="24"/>
              </w:rPr>
              <w:t xml:space="preserve">Accounting estimates </w:t>
            </w:r>
            <w:r w:rsidRPr="00F4600C">
              <w:rPr>
                <w:color w:val="000000"/>
                <w:sz w:val="24"/>
              </w:rPr>
              <w:t>are monetary amounts in financial statements that are subject to measurement uncertainty….</w:t>
            </w:r>
          </w:p>
          <w:p w14:paraId="06737B3E" w14:textId="77777777" w:rsidR="000044FF" w:rsidRPr="00F4600C" w:rsidRDefault="000044FF" w:rsidP="00432A9C">
            <w:pPr>
              <w:pStyle w:val="TableContent"/>
              <w:ind w:left="340"/>
              <w:rPr>
                <w:color w:val="000000"/>
                <w:sz w:val="24"/>
              </w:rPr>
            </w:pPr>
            <w:r w:rsidRPr="00F4600C">
              <w:rPr>
                <w:i/>
                <w:iCs/>
                <w:color w:val="000000"/>
                <w:sz w:val="24"/>
              </w:rPr>
              <w:t xml:space="preserve">Prior period errors </w:t>
            </w:r>
            <w:r w:rsidRPr="00F4600C">
              <w:rPr>
                <w:color w:val="000000"/>
                <w:sz w:val="24"/>
              </w:rPr>
              <w:t xml:space="preserve">are omissions from, and misstatements in, the entity’s financial statements for one or more prior periods arising from a failure to use, or misuse of, reliable information that: </w:t>
            </w:r>
          </w:p>
          <w:p w14:paraId="174BACA1" w14:textId="77777777" w:rsidR="000044FF" w:rsidRPr="00F4600C" w:rsidRDefault="000044FF" w:rsidP="00432A9C">
            <w:pPr>
              <w:pStyle w:val="TableContent"/>
              <w:ind w:left="737" w:hanging="397"/>
              <w:rPr>
                <w:color w:val="000000"/>
                <w:sz w:val="24"/>
              </w:rPr>
            </w:pPr>
            <w:r w:rsidRPr="00F4600C">
              <w:rPr>
                <w:color w:val="000000"/>
                <w:sz w:val="24"/>
              </w:rPr>
              <w:t>(a) was available when financial statements for those periods were authorised for issue; and</w:t>
            </w:r>
          </w:p>
          <w:p w14:paraId="4D2A4B51" w14:textId="77777777" w:rsidR="000044FF" w:rsidRPr="00F4600C" w:rsidRDefault="000044FF" w:rsidP="00432A9C">
            <w:pPr>
              <w:pStyle w:val="TableContent"/>
              <w:ind w:left="737" w:hanging="397"/>
              <w:rPr>
                <w:color w:val="000000"/>
                <w:sz w:val="24"/>
              </w:rPr>
            </w:pPr>
            <w:r w:rsidRPr="00F4600C">
              <w:rPr>
                <w:color w:val="000000"/>
                <w:sz w:val="24"/>
              </w:rPr>
              <w:t xml:space="preserve">(b) could reasonably be expected to have been obtained and </w:t>
            </w:r>
            <w:proofErr w:type="gramStart"/>
            <w:r w:rsidRPr="00F4600C">
              <w:rPr>
                <w:color w:val="000000"/>
                <w:sz w:val="24"/>
              </w:rPr>
              <w:t>taken into account</w:t>
            </w:r>
            <w:proofErr w:type="gramEnd"/>
            <w:r w:rsidRPr="00F4600C">
              <w:rPr>
                <w:color w:val="000000"/>
                <w:sz w:val="24"/>
              </w:rPr>
              <w:t xml:space="preserve"> in the preparation and presentation of those financial statements. </w:t>
            </w:r>
          </w:p>
          <w:p w14:paraId="6A98506B" w14:textId="77777777" w:rsidR="000044FF" w:rsidRPr="00432A9C" w:rsidRDefault="000044FF" w:rsidP="00432A9C">
            <w:pPr>
              <w:pStyle w:val="TableContent"/>
              <w:ind w:left="340"/>
              <w:rPr>
                <w:i/>
                <w:iCs/>
                <w:color w:val="000000"/>
                <w:sz w:val="24"/>
              </w:rPr>
            </w:pPr>
            <w:r w:rsidRPr="00F4600C">
              <w:rPr>
                <w:color w:val="000000"/>
                <w:sz w:val="24"/>
              </w:rPr>
              <w:t>Such errors include the effects of mathematical mistakes, mistakes in applying accounting policies, oversights or misinterpretations of facts, and fraud.’</w:t>
            </w:r>
          </w:p>
        </w:tc>
      </w:tr>
      <w:tr w:rsidR="000044FF" w:rsidRPr="003F1F01" w14:paraId="2D77CFA0" w14:textId="77777777" w:rsidTr="04E1CD47">
        <w:trPr>
          <w:trHeight w:val="300"/>
        </w:trPr>
        <w:tc>
          <w:tcPr>
            <w:tcW w:w="9639" w:type="dxa"/>
            <w:shd w:val="clear" w:color="auto" w:fill="F2F2F2" w:themeFill="background2" w:themeFillShade="F2"/>
          </w:tcPr>
          <w:p w14:paraId="169356DB" w14:textId="77777777" w:rsidR="000044FF" w:rsidRPr="00432A9C" w:rsidRDefault="000044FF" w:rsidP="00432A9C">
            <w:pPr>
              <w:pStyle w:val="TableContent"/>
              <w:rPr>
                <w:b/>
                <w:bCs/>
                <w:sz w:val="24"/>
              </w:rPr>
            </w:pPr>
            <w:r w:rsidRPr="00432A9C">
              <w:rPr>
                <w:b/>
                <w:bCs/>
                <w:sz w:val="24"/>
              </w:rPr>
              <w:t>AASB 2021: 10)</w:t>
            </w:r>
          </w:p>
        </w:tc>
      </w:tr>
      <w:tr w:rsidR="000044FF" w:rsidRPr="003F1F01" w14:paraId="2062B4D8" w14:textId="77777777" w:rsidTr="04E1CD47">
        <w:trPr>
          <w:trHeight w:val="300"/>
        </w:trPr>
        <w:tc>
          <w:tcPr>
            <w:tcW w:w="9639" w:type="dxa"/>
          </w:tcPr>
          <w:p w14:paraId="6864EC36" w14:textId="2A19F9C2" w:rsidR="000044FF" w:rsidRPr="00432A9C" w:rsidRDefault="432C2BBC" w:rsidP="04E1CD47">
            <w:pPr>
              <w:pStyle w:val="TableContent"/>
              <w:ind w:left="454" w:hanging="454"/>
              <w:rPr>
                <w:sz w:val="24"/>
              </w:rPr>
            </w:pPr>
            <w:r w:rsidRPr="04E1CD47">
              <w:rPr>
                <w:sz w:val="24"/>
              </w:rPr>
              <w:t xml:space="preserve">‘32 An accounting policy may require items in financial statements to be measured in a way that involves measurement uncertainty – that is, the accounting policy may require such items to be measured at monetary amounts that cannot be observed directly and must instead be estimated. In such a case, an entity develops an accounting estimate to achieve the objective set out by the accounting policy. Developing accounting estimates involves the use of judgements or assumptions based on the latest available, reliable information. Examples of accounting estimates include: </w:t>
            </w:r>
          </w:p>
          <w:p w14:paraId="02C6D193" w14:textId="77777777" w:rsidR="000044FF" w:rsidRPr="00432A9C" w:rsidRDefault="000044FF" w:rsidP="00432A9C">
            <w:pPr>
              <w:pStyle w:val="TableContent"/>
              <w:ind w:left="454"/>
              <w:rPr>
                <w:i/>
                <w:iCs/>
                <w:color w:val="000000"/>
                <w:sz w:val="24"/>
              </w:rPr>
            </w:pPr>
            <w:r w:rsidRPr="00432A9C">
              <w:rPr>
                <w:i/>
                <w:iCs/>
                <w:color w:val="000000"/>
                <w:sz w:val="24"/>
              </w:rPr>
              <w:t>…(c) the fair value of an asset or liability, applying AASB 13 Fair Value Measurement’</w:t>
            </w:r>
          </w:p>
        </w:tc>
      </w:tr>
      <w:tr w:rsidR="000044FF" w:rsidRPr="003F1F01" w14:paraId="44B01F9F" w14:textId="77777777" w:rsidTr="04E1CD47">
        <w:trPr>
          <w:trHeight w:val="300"/>
        </w:trPr>
        <w:tc>
          <w:tcPr>
            <w:tcW w:w="9639" w:type="dxa"/>
            <w:tcBorders>
              <w:bottom w:val="single" w:sz="4" w:space="0" w:color="auto"/>
            </w:tcBorders>
          </w:tcPr>
          <w:p w14:paraId="05C07E0B" w14:textId="77777777" w:rsidR="000044FF" w:rsidRPr="00432A9C" w:rsidRDefault="000044FF" w:rsidP="00432A9C">
            <w:pPr>
              <w:pStyle w:val="TableContent"/>
              <w:ind w:left="454" w:hanging="454"/>
              <w:rPr>
                <w:color w:val="000000"/>
                <w:sz w:val="24"/>
              </w:rPr>
            </w:pPr>
            <w:r w:rsidRPr="00432A9C">
              <w:rPr>
                <w:color w:val="000000"/>
                <w:sz w:val="24"/>
              </w:rPr>
              <w:t>‘33 The use of reasonable estimates is an essential part of the preparation of financial statements and does not undermine their reliability.’</w:t>
            </w:r>
          </w:p>
        </w:tc>
      </w:tr>
      <w:tr w:rsidR="000044FF" w:rsidRPr="003F1F01" w14:paraId="002D6BAA" w14:textId="77777777" w:rsidTr="04E1CD47">
        <w:trPr>
          <w:trHeight w:val="300"/>
        </w:trPr>
        <w:tc>
          <w:tcPr>
            <w:tcW w:w="9639" w:type="dxa"/>
            <w:shd w:val="clear" w:color="auto" w:fill="F2F2F2" w:themeFill="background2" w:themeFillShade="F2"/>
          </w:tcPr>
          <w:p w14:paraId="33B9F65F" w14:textId="77777777" w:rsidR="000044FF" w:rsidRPr="00432A9C" w:rsidRDefault="000044FF" w:rsidP="00432A9C">
            <w:pPr>
              <w:pStyle w:val="TableContent"/>
              <w:rPr>
                <w:b/>
                <w:bCs/>
                <w:sz w:val="24"/>
              </w:rPr>
            </w:pPr>
            <w:r w:rsidRPr="00432A9C">
              <w:rPr>
                <w:b/>
                <w:bCs/>
                <w:sz w:val="24"/>
              </w:rPr>
              <w:t>Interpretation (AASB 2021: 10)</w:t>
            </w:r>
          </w:p>
        </w:tc>
      </w:tr>
      <w:tr w:rsidR="000044FF" w:rsidRPr="003F1F01" w14:paraId="5F601472" w14:textId="77777777" w:rsidTr="04E1CD47">
        <w:trPr>
          <w:trHeight w:val="300"/>
        </w:trPr>
        <w:tc>
          <w:tcPr>
            <w:tcW w:w="9639" w:type="dxa"/>
          </w:tcPr>
          <w:p w14:paraId="6988015E" w14:textId="77777777" w:rsidR="000044FF" w:rsidRPr="00432A9C" w:rsidRDefault="000044FF" w:rsidP="00432A9C">
            <w:pPr>
              <w:pStyle w:val="TableContent"/>
              <w:rPr>
                <w:sz w:val="24"/>
              </w:rPr>
            </w:pPr>
            <w:r w:rsidRPr="00432A9C">
              <w:rPr>
                <w:sz w:val="24"/>
              </w:rPr>
              <w:t>Paragraph 32:</w:t>
            </w:r>
          </w:p>
          <w:p w14:paraId="7D6679EA" w14:textId="53CE0A27" w:rsidR="000044FF" w:rsidRPr="00432A9C" w:rsidRDefault="000044FF" w:rsidP="00432A9C">
            <w:pPr>
              <w:pStyle w:val="TableContent"/>
              <w:rPr>
                <w:sz w:val="24"/>
              </w:rPr>
            </w:pPr>
            <w:r w:rsidRPr="00432A9C">
              <w:rPr>
                <w:sz w:val="24"/>
              </w:rPr>
              <w:t>The fair value measurement of an asset is an accounting estimate. Risk is inherent to fair value measurement of an asset. Two specific risks attached to fair value measurement of an asset are:</w:t>
            </w:r>
          </w:p>
        </w:tc>
      </w:tr>
    </w:tbl>
    <w:p w14:paraId="16167D12" w14:textId="77777777" w:rsidR="00AF5E7A" w:rsidRDefault="00AF5E7A">
      <w:pPr>
        <w:spacing w:after="0" w:line="240" w:lineRule="auto"/>
        <w:rPr>
          <w:rFonts w:cs="Arial"/>
          <w:sz w:val="16"/>
          <w:szCs w:val="16"/>
        </w:rPr>
      </w:pPr>
      <w:r>
        <w:rPr>
          <w:rFonts w:cs="Arial"/>
          <w:sz w:val="16"/>
          <w:szCs w:val="16"/>
        </w:rPr>
        <w:br w:type="page"/>
      </w:r>
    </w:p>
    <w:tbl>
      <w:tblPr>
        <w:tblStyle w:val="TableGrid"/>
        <w:tblW w:w="0" w:type="auto"/>
        <w:tblLook w:val="04A0" w:firstRow="1" w:lastRow="0" w:firstColumn="1" w:lastColumn="0" w:noHBand="0" w:noVBand="1"/>
      </w:tblPr>
      <w:tblGrid>
        <w:gridCol w:w="9607"/>
      </w:tblGrid>
      <w:tr w:rsidR="000044FF" w14:paraId="3F537B12" w14:textId="77777777">
        <w:tc>
          <w:tcPr>
            <w:tcW w:w="9607" w:type="dxa"/>
            <w:shd w:val="clear" w:color="auto" w:fill="F2F2F2" w:themeFill="background1" w:themeFillShade="F2"/>
          </w:tcPr>
          <w:p w14:paraId="255EC25F" w14:textId="77777777" w:rsidR="000044FF" w:rsidRDefault="000044FF">
            <w:pPr>
              <w:spacing w:before="60" w:after="60"/>
              <w:rPr>
                <w:rFonts w:cs="Arial"/>
                <w:sz w:val="24"/>
              </w:rPr>
            </w:pPr>
            <w:r w:rsidRPr="003F1F01">
              <w:rPr>
                <w:rFonts w:cs="Arial"/>
                <w:b/>
                <w:bCs/>
                <w:sz w:val="24"/>
              </w:rPr>
              <w:lastRenderedPageBreak/>
              <w:t>Interpretation (AASB 2021: 10)</w:t>
            </w:r>
          </w:p>
        </w:tc>
      </w:tr>
      <w:tr w:rsidR="000044FF" w14:paraId="40727CD8" w14:textId="77777777">
        <w:tc>
          <w:tcPr>
            <w:tcW w:w="9607" w:type="dxa"/>
          </w:tcPr>
          <w:p w14:paraId="2F77F2CA" w14:textId="22685A3A" w:rsidR="00432A9C" w:rsidRPr="00432A9C" w:rsidRDefault="00432A9C">
            <w:pPr>
              <w:pStyle w:val="TableContent"/>
              <w:numPr>
                <w:ilvl w:val="0"/>
                <w:numId w:val="100"/>
              </w:numPr>
              <w:rPr>
                <w:sz w:val="24"/>
              </w:rPr>
            </w:pPr>
            <w:r w:rsidRPr="00432A9C">
              <w:rPr>
                <w:sz w:val="24"/>
              </w:rPr>
              <w:t>risk attached to the valuation technique used</w:t>
            </w:r>
            <w:r w:rsidR="00F4600C">
              <w:rPr>
                <w:sz w:val="24"/>
              </w:rPr>
              <w:t>;</w:t>
            </w:r>
            <w:r w:rsidRPr="00432A9C">
              <w:rPr>
                <w:sz w:val="24"/>
              </w:rPr>
              <w:t xml:space="preserve"> and</w:t>
            </w:r>
          </w:p>
          <w:p w14:paraId="27A9F8AA" w14:textId="77777777" w:rsidR="00432A9C" w:rsidRPr="00432A9C" w:rsidRDefault="00432A9C">
            <w:pPr>
              <w:pStyle w:val="TableContent"/>
              <w:numPr>
                <w:ilvl w:val="0"/>
                <w:numId w:val="100"/>
              </w:numPr>
              <w:rPr>
                <w:i/>
                <w:iCs/>
                <w:sz w:val="24"/>
              </w:rPr>
            </w:pPr>
            <w:r w:rsidRPr="00432A9C">
              <w:rPr>
                <w:sz w:val="24"/>
              </w:rPr>
              <w:t>risk attached to the inputs to the valuation technique’</w:t>
            </w:r>
            <w:r w:rsidRPr="00432A9C">
              <w:rPr>
                <w:i/>
                <w:iCs/>
                <w:sz w:val="24"/>
              </w:rPr>
              <w:t>.</w:t>
            </w:r>
          </w:p>
          <w:p w14:paraId="3EB55DF6" w14:textId="77777777" w:rsidR="00432A9C" w:rsidRPr="00432A9C" w:rsidRDefault="00432A9C" w:rsidP="00432A9C">
            <w:pPr>
              <w:pStyle w:val="TableContent"/>
              <w:rPr>
                <w:color w:val="000000"/>
                <w:sz w:val="24"/>
              </w:rPr>
            </w:pPr>
            <w:r w:rsidRPr="00432A9C">
              <w:rPr>
                <w:color w:val="000000"/>
                <w:sz w:val="24"/>
              </w:rPr>
              <w:t xml:space="preserve">Risk creates uncertainty. In other words, ‘measurement uncertainty’ is an inherent characteristic of the fair value measurement of assets. </w:t>
            </w:r>
          </w:p>
          <w:p w14:paraId="00A5431A" w14:textId="185A37AB" w:rsidR="000044FF" w:rsidRPr="003F1F01" w:rsidRDefault="000044FF">
            <w:pPr>
              <w:autoSpaceDE w:val="0"/>
              <w:autoSpaceDN w:val="0"/>
              <w:adjustRightInd w:val="0"/>
              <w:spacing w:before="60" w:after="60"/>
              <w:rPr>
                <w:rFonts w:cs="Arial"/>
                <w:color w:val="000000"/>
                <w:sz w:val="24"/>
              </w:rPr>
            </w:pPr>
            <w:r w:rsidRPr="003F1F01">
              <w:rPr>
                <w:rFonts w:cs="Arial"/>
                <w:color w:val="000000"/>
                <w:sz w:val="24"/>
              </w:rPr>
              <w:t>To prevent ‘prior period errors’ (AASB 2022: 5)</w:t>
            </w:r>
            <w:r w:rsidR="00F4600C">
              <w:rPr>
                <w:rFonts w:cs="Arial"/>
                <w:color w:val="000000"/>
                <w:sz w:val="24"/>
              </w:rPr>
              <w:t>,</w:t>
            </w:r>
            <w:r w:rsidRPr="003F1F01">
              <w:rPr>
                <w:rFonts w:cs="Arial"/>
                <w:color w:val="000000"/>
                <w:sz w:val="24"/>
              </w:rPr>
              <w:t xml:space="preserve"> local governments should review all fair value measurements of assets for, amongst others, oversights and misinterpretation of facts. </w:t>
            </w:r>
          </w:p>
          <w:p w14:paraId="5F0BDC97" w14:textId="77777777" w:rsidR="000044FF" w:rsidRPr="003F1F01" w:rsidRDefault="000044FF">
            <w:pPr>
              <w:autoSpaceDE w:val="0"/>
              <w:autoSpaceDN w:val="0"/>
              <w:adjustRightInd w:val="0"/>
              <w:spacing w:before="60" w:after="60"/>
              <w:rPr>
                <w:rFonts w:cs="Arial"/>
                <w:color w:val="000000"/>
                <w:sz w:val="24"/>
              </w:rPr>
            </w:pPr>
            <w:r w:rsidRPr="003F1F01">
              <w:rPr>
                <w:rFonts w:cs="Arial"/>
                <w:color w:val="000000"/>
                <w:sz w:val="24"/>
              </w:rPr>
              <w:t xml:space="preserve">Paragraph 33: </w:t>
            </w:r>
          </w:p>
          <w:p w14:paraId="651A63C6" w14:textId="77777777" w:rsidR="000044FF" w:rsidRDefault="000044FF">
            <w:pPr>
              <w:spacing w:before="60" w:after="60"/>
              <w:rPr>
                <w:rFonts w:cs="Arial"/>
                <w:sz w:val="24"/>
              </w:rPr>
            </w:pPr>
            <w:r w:rsidRPr="003F1F01">
              <w:rPr>
                <w:rFonts w:cs="Arial"/>
                <w:color w:val="000000"/>
                <w:sz w:val="24"/>
              </w:rPr>
              <w:t>Local governments should review all fair value measurements of assets to ensure its reasonableness.</w:t>
            </w:r>
          </w:p>
        </w:tc>
      </w:tr>
    </w:tbl>
    <w:p w14:paraId="3E982247" w14:textId="0635F680" w:rsidR="00AE0E65" w:rsidRDefault="00AE0E65" w:rsidP="00AF5E7A">
      <w:pPr>
        <w:pStyle w:val="Heading4"/>
      </w:pPr>
      <w:r>
        <w:t>Changes in accounting estimates</w:t>
      </w:r>
    </w:p>
    <w:p w14:paraId="032C431D" w14:textId="1351A79E" w:rsidR="000044FF" w:rsidRPr="003F1F01" w:rsidRDefault="000044FF" w:rsidP="00D70B5C">
      <w:pPr>
        <w:pStyle w:val="BodyText"/>
      </w:pPr>
      <w:r w:rsidRPr="003F1F01">
        <w:t xml:space="preserve">AASB 108 Accounting Policies, Changes in Accounting Estimates and Errors (2021) states regarding ‘changes in accounting </w:t>
      </w:r>
      <w:proofErr w:type="gramStart"/>
      <w:r w:rsidRPr="003F1F01">
        <w:t>estimates’</w:t>
      </w:r>
      <w:proofErr w:type="gramEnd"/>
      <w:r>
        <w:t>:</w:t>
      </w:r>
    </w:p>
    <w:tbl>
      <w:tblPr>
        <w:tblStyle w:val="TableGrid"/>
        <w:tblW w:w="9639" w:type="dxa"/>
        <w:tblLook w:val="04A0" w:firstRow="1" w:lastRow="0" w:firstColumn="1" w:lastColumn="0" w:noHBand="0" w:noVBand="1"/>
      </w:tblPr>
      <w:tblGrid>
        <w:gridCol w:w="9607"/>
        <w:gridCol w:w="32"/>
      </w:tblGrid>
      <w:tr w:rsidR="000044FF" w:rsidRPr="00E23287" w14:paraId="1F8EE3A8" w14:textId="77777777">
        <w:tc>
          <w:tcPr>
            <w:tcW w:w="9639" w:type="dxa"/>
            <w:gridSpan w:val="2"/>
            <w:shd w:val="clear" w:color="auto" w:fill="F2F2F2" w:themeFill="background1" w:themeFillShade="F2"/>
          </w:tcPr>
          <w:p w14:paraId="54175E70" w14:textId="77777777" w:rsidR="000044FF" w:rsidRPr="00432A9C" w:rsidRDefault="000044FF" w:rsidP="00432A9C">
            <w:pPr>
              <w:pStyle w:val="TableContent"/>
              <w:rPr>
                <w:rStyle w:val="normaltextrun"/>
                <w:b/>
                <w:bCs/>
                <w:sz w:val="24"/>
              </w:rPr>
            </w:pPr>
            <w:r w:rsidRPr="00432A9C">
              <w:rPr>
                <w:sz w:val="24"/>
              </w:rPr>
              <w:t>(</w:t>
            </w:r>
            <w:r w:rsidRPr="00432A9C">
              <w:rPr>
                <w:b/>
                <w:bCs/>
                <w:sz w:val="24"/>
              </w:rPr>
              <w:t>AASB 2021: 10)</w:t>
            </w:r>
          </w:p>
        </w:tc>
      </w:tr>
      <w:tr w:rsidR="000044FF" w:rsidRPr="003F1F01" w14:paraId="04400413" w14:textId="77777777">
        <w:tc>
          <w:tcPr>
            <w:tcW w:w="9639" w:type="dxa"/>
            <w:gridSpan w:val="2"/>
          </w:tcPr>
          <w:p w14:paraId="47C05CE7" w14:textId="6B20A15C" w:rsidR="000044FF" w:rsidRPr="00432A9C" w:rsidRDefault="000044FF" w:rsidP="00432A9C">
            <w:pPr>
              <w:pStyle w:val="TableContent"/>
              <w:ind w:left="454" w:hanging="454"/>
              <w:rPr>
                <w:color w:val="000000"/>
                <w:sz w:val="24"/>
              </w:rPr>
            </w:pPr>
            <w:r w:rsidRPr="00432A9C">
              <w:rPr>
                <w:color w:val="000000"/>
                <w:sz w:val="24"/>
              </w:rPr>
              <w:t>‘</w:t>
            </w:r>
            <w:proofErr w:type="gramStart"/>
            <w:r w:rsidRPr="00432A9C">
              <w:rPr>
                <w:color w:val="000000"/>
                <w:sz w:val="24"/>
              </w:rPr>
              <w:t xml:space="preserve">34 </w:t>
            </w:r>
            <w:r w:rsidR="007F50B2">
              <w:rPr>
                <w:color w:val="000000"/>
                <w:sz w:val="24"/>
              </w:rPr>
              <w:t xml:space="preserve"> </w:t>
            </w:r>
            <w:r w:rsidRPr="00432A9C">
              <w:rPr>
                <w:color w:val="000000"/>
                <w:sz w:val="24"/>
              </w:rPr>
              <w:t>An</w:t>
            </w:r>
            <w:proofErr w:type="gramEnd"/>
            <w:r w:rsidRPr="00432A9C">
              <w:rPr>
                <w:color w:val="000000"/>
                <w:sz w:val="24"/>
              </w:rPr>
              <w:t xml:space="preserve"> entity may need to change an accounting estimate if changes occur in the circumstances on which the accounting estimate was based or </w:t>
            </w:r>
            <w:proofErr w:type="gramStart"/>
            <w:r w:rsidRPr="00432A9C">
              <w:rPr>
                <w:color w:val="000000"/>
                <w:sz w:val="24"/>
              </w:rPr>
              <w:t>as a result of</w:t>
            </w:r>
            <w:proofErr w:type="gramEnd"/>
            <w:r w:rsidRPr="00432A9C">
              <w:rPr>
                <w:color w:val="000000"/>
                <w:sz w:val="24"/>
              </w:rPr>
              <w:t xml:space="preserve"> new information, new developments or more experience. By its nature, a change in an accounting estimate does not relate to prior periods and is not the correction of an error. </w:t>
            </w:r>
          </w:p>
          <w:p w14:paraId="39B8DE96" w14:textId="5DDB4067" w:rsidR="000044FF" w:rsidRPr="00432A9C" w:rsidRDefault="000044FF" w:rsidP="00432A9C">
            <w:pPr>
              <w:pStyle w:val="TableContent"/>
              <w:ind w:left="567" w:hanging="567"/>
              <w:rPr>
                <w:rStyle w:val="normaltextrun"/>
                <w:color w:val="000000"/>
                <w:sz w:val="24"/>
              </w:rPr>
            </w:pPr>
            <w:r w:rsidRPr="00432A9C">
              <w:rPr>
                <w:color w:val="000000"/>
                <w:sz w:val="24"/>
              </w:rPr>
              <w:t>34</w:t>
            </w:r>
            <w:proofErr w:type="gramStart"/>
            <w:r w:rsidRPr="00432A9C">
              <w:rPr>
                <w:color w:val="000000"/>
                <w:sz w:val="24"/>
              </w:rPr>
              <w:t xml:space="preserve">A </w:t>
            </w:r>
            <w:r w:rsidR="007F50B2">
              <w:rPr>
                <w:color w:val="000000"/>
                <w:sz w:val="24"/>
              </w:rPr>
              <w:t xml:space="preserve"> </w:t>
            </w:r>
            <w:r w:rsidR="00432A9C">
              <w:rPr>
                <w:color w:val="000000"/>
                <w:sz w:val="24"/>
              </w:rPr>
              <w:t>T</w:t>
            </w:r>
            <w:r w:rsidRPr="00432A9C">
              <w:rPr>
                <w:color w:val="000000"/>
                <w:sz w:val="24"/>
              </w:rPr>
              <w:t>he</w:t>
            </w:r>
            <w:proofErr w:type="gramEnd"/>
            <w:r w:rsidRPr="00432A9C">
              <w:rPr>
                <w:color w:val="000000"/>
                <w:sz w:val="24"/>
              </w:rPr>
              <w:t xml:space="preserve"> effects on an accounting estimate of a change in an input or a change in a measurement technique are changes in accounting estimates unless they result from the correction of prior period errors.’</w:t>
            </w:r>
          </w:p>
        </w:tc>
      </w:tr>
      <w:tr w:rsidR="000044FF" w:rsidRPr="003F1F01" w14:paraId="560DA066" w14:textId="77777777">
        <w:trPr>
          <w:gridAfter w:val="1"/>
          <w:wAfter w:w="32" w:type="dxa"/>
        </w:trPr>
        <w:tc>
          <w:tcPr>
            <w:tcW w:w="9607" w:type="dxa"/>
            <w:shd w:val="clear" w:color="auto" w:fill="F2F2F2" w:themeFill="background1" w:themeFillShade="F2"/>
          </w:tcPr>
          <w:p w14:paraId="26E90FBE" w14:textId="77777777" w:rsidR="000044FF" w:rsidRPr="00432A9C" w:rsidRDefault="000044FF" w:rsidP="00432A9C">
            <w:pPr>
              <w:pStyle w:val="TableContent"/>
              <w:rPr>
                <w:b/>
                <w:bCs/>
                <w:sz w:val="24"/>
              </w:rPr>
            </w:pPr>
            <w:r w:rsidRPr="00432A9C">
              <w:rPr>
                <w:b/>
                <w:bCs/>
                <w:sz w:val="24"/>
              </w:rPr>
              <w:t>Interpretation (AASB 2021: 10)</w:t>
            </w:r>
          </w:p>
        </w:tc>
      </w:tr>
      <w:tr w:rsidR="000044FF" w:rsidRPr="003F1F01" w14:paraId="6202DDFB" w14:textId="77777777">
        <w:trPr>
          <w:gridAfter w:val="1"/>
          <w:wAfter w:w="32" w:type="dxa"/>
        </w:trPr>
        <w:tc>
          <w:tcPr>
            <w:tcW w:w="9607" w:type="dxa"/>
          </w:tcPr>
          <w:p w14:paraId="63CF419E" w14:textId="77777777" w:rsidR="000044FF" w:rsidRPr="00432A9C" w:rsidRDefault="000044FF" w:rsidP="00432A9C">
            <w:pPr>
              <w:pStyle w:val="TableContent"/>
              <w:rPr>
                <w:color w:val="000000"/>
                <w:sz w:val="24"/>
              </w:rPr>
            </w:pPr>
            <w:r w:rsidRPr="00432A9C">
              <w:rPr>
                <w:color w:val="000000"/>
                <w:sz w:val="24"/>
              </w:rPr>
              <w:t xml:space="preserve">Paragraph 34: </w:t>
            </w:r>
          </w:p>
          <w:p w14:paraId="21153F10" w14:textId="77777777" w:rsidR="000044FF" w:rsidRPr="00432A9C" w:rsidRDefault="000044FF" w:rsidP="00432A9C">
            <w:pPr>
              <w:pStyle w:val="TableContent"/>
              <w:rPr>
                <w:rStyle w:val="normaltextrun"/>
                <w:sz w:val="24"/>
              </w:rPr>
            </w:pPr>
            <w:r w:rsidRPr="00432A9C">
              <w:rPr>
                <w:color w:val="000000"/>
                <w:sz w:val="24"/>
              </w:rPr>
              <w:t>C</w:t>
            </w:r>
            <w:r w:rsidRPr="00432A9C">
              <w:rPr>
                <w:rStyle w:val="normaltextrun"/>
                <w:sz w:val="24"/>
              </w:rPr>
              <w:t xml:space="preserve">hanges in accounting estimates: </w:t>
            </w:r>
          </w:p>
          <w:p w14:paraId="47211B89" w14:textId="77777777" w:rsidR="000044FF" w:rsidRPr="00432A9C" w:rsidRDefault="000044FF">
            <w:pPr>
              <w:pStyle w:val="TableContent"/>
              <w:numPr>
                <w:ilvl w:val="0"/>
                <w:numId w:val="102"/>
              </w:numPr>
              <w:rPr>
                <w:rStyle w:val="normaltextrun"/>
                <w:sz w:val="24"/>
              </w:rPr>
            </w:pPr>
            <w:r w:rsidRPr="00432A9C">
              <w:rPr>
                <w:rStyle w:val="normaltextrun"/>
                <w:sz w:val="24"/>
              </w:rPr>
              <w:t xml:space="preserve">must </w:t>
            </w:r>
            <w:r w:rsidRPr="00432A9C">
              <w:rPr>
                <w:rStyle w:val="normaltextrun"/>
                <w:b/>
                <w:bCs/>
                <w:sz w:val="24"/>
              </w:rPr>
              <w:t>not</w:t>
            </w:r>
            <w:r w:rsidRPr="00432A9C">
              <w:rPr>
                <w:rStyle w:val="normaltextrun"/>
                <w:sz w:val="24"/>
              </w:rPr>
              <w:t xml:space="preserve"> be applied </w:t>
            </w:r>
            <w:proofErr w:type="gramStart"/>
            <w:r w:rsidRPr="00432A9C">
              <w:rPr>
                <w:rStyle w:val="normaltextrun"/>
                <w:sz w:val="24"/>
              </w:rPr>
              <w:t>retrospectively .</w:t>
            </w:r>
            <w:proofErr w:type="gramEnd"/>
            <w:r w:rsidRPr="00432A9C">
              <w:rPr>
                <w:rStyle w:val="normaltextrun"/>
                <w:sz w:val="24"/>
              </w:rPr>
              <w:t xml:space="preserve"> In other words, a local government does not need to restate prior year figures because an accounting estimate has changed, and </w:t>
            </w:r>
          </w:p>
          <w:p w14:paraId="5C2A1EA0" w14:textId="77777777" w:rsidR="000044FF" w:rsidRPr="00432A9C" w:rsidRDefault="000044FF">
            <w:pPr>
              <w:pStyle w:val="TableContent"/>
              <w:numPr>
                <w:ilvl w:val="0"/>
                <w:numId w:val="102"/>
              </w:numPr>
              <w:rPr>
                <w:rStyle w:val="normaltextrun"/>
                <w:sz w:val="24"/>
              </w:rPr>
            </w:pPr>
            <w:r w:rsidRPr="00432A9C">
              <w:rPr>
                <w:rStyle w:val="normaltextrun"/>
                <w:sz w:val="24"/>
              </w:rPr>
              <w:t xml:space="preserve">is </w:t>
            </w:r>
            <w:r w:rsidRPr="00432A9C">
              <w:rPr>
                <w:rStyle w:val="normaltextrun"/>
                <w:b/>
                <w:bCs/>
                <w:sz w:val="24"/>
              </w:rPr>
              <w:t>not</w:t>
            </w:r>
            <w:r w:rsidRPr="00432A9C">
              <w:rPr>
                <w:rStyle w:val="normaltextrun"/>
                <w:sz w:val="24"/>
              </w:rPr>
              <w:t xml:space="preserve"> an error. </w:t>
            </w:r>
          </w:p>
          <w:p w14:paraId="56E5C161" w14:textId="77777777" w:rsidR="000044FF" w:rsidRPr="00432A9C" w:rsidRDefault="000044FF" w:rsidP="00432A9C">
            <w:pPr>
              <w:pStyle w:val="TableContent"/>
              <w:rPr>
                <w:rStyle w:val="normaltextrun"/>
                <w:sz w:val="24"/>
              </w:rPr>
            </w:pPr>
            <w:r w:rsidRPr="00432A9C">
              <w:rPr>
                <w:rStyle w:val="normaltextrun"/>
                <w:color w:val="000000"/>
                <w:sz w:val="24"/>
              </w:rPr>
              <w:t>P</w:t>
            </w:r>
            <w:r w:rsidRPr="00432A9C">
              <w:rPr>
                <w:rStyle w:val="normaltextrun"/>
                <w:sz w:val="24"/>
              </w:rPr>
              <w:t xml:space="preserve">aragraph 34A: </w:t>
            </w:r>
          </w:p>
          <w:p w14:paraId="47389D99" w14:textId="78278D4C" w:rsidR="000044FF" w:rsidRPr="00432A9C" w:rsidRDefault="000044FF" w:rsidP="00432A9C">
            <w:pPr>
              <w:pStyle w:val="TableContent"/>
              <w:rPr>
                <w:sz w:val="24"/>
              </w:rPr>
            </w:pPr>
            <w:r w:rsidRPr="00432A9C">
              <w:rPr>
                <w:rStyle w:val="normaltextrun"/>
                <w:sz w:val="24"/>
              </w:rPr>
              <w:t xml:space="preserve">If a local government changes its valuation technique (for example: from the income approach to the market approach, it is a change in an accounting estimate). Consequently, it should not be applied </w:t>
            </w:r>
            <w:r w:rsidR="007872D1" w:rsidRPr="00432A9C">
              <w:rPr>
                <w:rStyle w:val="normaltextrun"/>
                <w:sz w:val="24"/>
              </w:rPr>
              <w:t>retrospectively,</w:t>
            </w:r>
            <w:r w:rsidRPr="00432A9C">
              <w:rPr>
                <w:rStyle w:val="normaltextrun"/>
                <w:sz w:val="24"/>
              </w:rPr>
              <w:t xml:space="preserve"> and it is not an error. </w:t>
            </w:r>
          </w:p>
        </w:tc>
      </w:tr>
    </w:tbl>
    <w:p w14:paraId="1D2709BD" w14:textId="77777777" w:rsidR="00432A9C" w:rsidRDefault="00432A9C">
      <w:pPr>
        <w:spacing w:after="0" w:line="240" w:lineRule="auto"/>
        <w:rPr>
          <w:rFonts w:cs="Arial"/>
        </w:rPr>
      </w:pPr>
      <w:r>
        <w:rPr>
          <w:rFonts w:cs="Arial"/>
        </w:rPr>
        <w:br w:type="page"/>
      </w:r>
    </w:p>
    <w:p w14:paraId="230AD980" w14:textId="04DC9404" w:rsidR="000044FF" w:rsidRPr="003F1F01" w:rsidRDefault="000044FF" w:rsidP="00D70B5C">
      <w:pPr>
        <w:pStyle w:val="BodyText"/>
      </w:pPr>
      <w:r w:rsidRPr="003F1F01">
        <w:lastRenderedPageBreak/>
        <w:t xml:space="preserve">AASB 108 Accounting Policies, Changes in Accounting Estimates and Errors (2021) states regarding ‘applying changes in accounting </w:t>
      </w:r>
      <w:proofErr w:type="gramStart"/>
      <w:r w:rsidRPr="003F1F01">
        <w:t>estimates’</w:t>
      </w:r>
      <w:proofErr w:type="gramEnd"/>
      <w:r w:rsidRPr="003F1F01">
        <w:rPr>
          <w:i/>
          <w:iCs/>
        </w:rPr>
        <w:t>:</w:t>
      </w:r>
    </w:p>
    <w:tbl>
      <w:tblPr>
        <w:tblStyle w:val="TableGrid"/>
        <w:tblW w:w="9639" w:type="dxa"/>
        <w:tblLook w:val="04A0" w:firstRow="1" w:lastRow="0" w:firstColumn="1" w:lastColumn="0" w:noHBand="0" w:noVBand="1"/>
      </w:tblPr>
      <w:tblGrid>
        <w:gridCol w:w="9607"/>
        <w:gridCol w:w="32"/>
      </w:tblGrid>
      <w:tr w:rsidR="000044FF" w:rsidRPr="00E23287" w14:paraId="2108626A" w14:textId="77777777" w:rsidTr="007872D1">
        <w:trPr>
          <w:tblHeader/>
        </w:trPr>
        <w:tc>
          <w:tcPr>
            <w:tcW w:w="9639" w:type="dxa"/>
            <w:gridSpan w:val="2"/>
            <w:tcBorders>
              <w:bottom w:val="single" w:sz="4" w:space="0" w:color="auto"/>
            </w:tcBorders>
            <w:shd w:val="clear" w:color="auto" w:fill="F2F2F2" w:themeFill="background1" w:themeFillShade="F2"/>
          </w:tcPr>
          <w:p w14:paraId="7246CBE1" w14:textId="77777777" w:rsidR="000044FF" w:rsidRPr="008240A0" w:rsidRDefault="000044FF" w:rsidP="008240A0">
            <w:pPr>
              <w:pStyle w:val="TableContent"/>
              <w:rPr>
                <w:b/>
                <w:bCs/>
                <w:sz w:val="24"/>
              </w:rPr>
            </w:pPr>
            <w:r w:rsidRPr="008240A0">
              <w:rPr>
                <w:b/>
                <w:bCs/>
                <w:sz w:val="24"/>
              </w:rPr>
              <w:t>(AASB 2021: 10-11)</w:t>
            </w:r>
          </w:p>
        </w:tc>
      </w:tr>
      <w:tr w:rsidR="000044FF" w:rsidRPr="003F1F01" w14:paraId="3B8928FE" w14:textId="77777777" w:rsidTr="007872D1">
        <w:tc>
          <w:tcPr>
            <w:tcW w:w="9639" w:type="dxa"/>
            <w:gridSpan w:val="2"/>
            <w:tcBorders>
              <w:bottom w:val="single" w:sz="4" w:space="0" w:color="auto"/>
            </w:tcBorders>
          </w:tcPr>
          <w:p w14:paraId="59B430BB" w14:textId="7F443697" w:rsidR="000044FF" w:rsidRPr="00F4600C" w:rsidRDefault="000044FF" w:rsidP="008240A0">
            <w:pPr>
              <w:pStyle w:val="TableContent"/>
              <w:ind w:left="454" w:hanging="454"/>
              <w:rPr>
                <w:sz w:val="24"/>
              </w:rPr>
            </w:pPr>
            <w:r w:rsidRPr="00F4600C">
              <w:rPr>
                <w:sz w:val="24"/>
              </w:rPr>
              <w:t>‘</w:t>
            </w:r>
            <w:proofErr w:type="gramStart"/>
            <w:r w:rsidRPr="00F4600C">
              <w:rPr>
                <w:sz w:val="24"/>
              </w:rPr>
              <w:t xml:space="preserve">36 </w:t>
            </w:r>
            <w:r w:rsidR="002E3B16" w:rsidRPr="00F4600C">
              <w:rPr>
                <w:sz w:val="24"/>
              </w:rPr>
              <w:t xml:space="preserve"> </w:t>
            </w:r>
            <w:r w:rsidRPr="00F4600C">
              <w:rPr>
                <w:sz w:val="24"/>
              </w:rPr>
              <w:t>The</w:t>
            </w:r>
            <w:proofErr w:type="gramEnd"/>
            <w:r w:rsidRPr="00F4600C">
              <w:rPr>
                <w:sz w:val="24"/>
              </w:rPr>
              <w:t xml:space="preserve"> effect of a change in an accounting estimate, other than a change to which paragraph 37 applies, shall be recognised prospectively by including it in profit or loss in:</w:t>
            </w:r>
          </w:p>
          <w:p w14:paraId="70BE66EC" w14:textId="77777777" w:rsidR="000044FF" w:rsidRPr="00F4600C" w:rsidRDefault="000044FF" w:rsidP="008240A0">
            <w:pPr>
              <w:pStyle w:val="TableContent"/>
              <w:ind w:left="454"/>
              <w:rPr>
                <w:sz w:val="24"/>
              </w:rPr>
            </w:pPr>
            <w:r w:rsidRPr="00F4600C">
              <w:rPr>
                <w:sz w:val="24"/>
              </w:rPr>
              <w:t xml:space="preserve">(a) the period of the change, if the change affects that period only; or </w:t>
            </w:r>
          </w:p>
          <w:p w14:paraId="537F68A4" w14:textId="77777777" w:rsidR="000044FF" w:rsidRPr="00F4600C" w:rsidRDefault="000044FF" w:rsidP="008240A0">
            <w:pPr>
              <w:pStyle w:val="TableContent"/>
              <w:ind w:left="454"/>
              <w:rPr>
                <w:sz w:val="24"/>
              </w:rPr>
            </w:pPr>
            <w:r w:rsidRPr="00F4600C">
              <w:rPr>
                <w:sz w:val="24"/>
              </w:rPr>
              <w:t>(b) the period of the change and future periods, if the change affects both.</w:t>
            </w:r>
          </w:p>
          <w:p w14:paraId="59DE2DA0" w14:textId="6CC5E738" w:rsidR="000044FF" w:rsidRPr="008240A0" w:rsidRDefault="000044FF" w:rsidP="007872D1">
            <w:pPr>
              <w:pStyle w:val="TableContent"/>
              <w:ind w:left="454" w:hanging="454"/>
              <w:rPr>
                <w:b/>
                <w:bCs/>
                <w:sz w:val="24"/>
              </w:rPr>
            </w:pPr>
            <w:proofErr w:type="gramStart"/>
            <w:r w:rsidRPr="00F4600C">
              <w:rPr>
                <w:sz w:val="24"/>
              </w:rPr>
              <w:t xml:space="preserve">37 </w:t>
            </w:r>
            <w:r w:rsidR="002E3B16" w:rsidRPr="00F4600C">
              <w:rPr>
                <w:sz w:val="24"/>
              </w:rPr>
              <w:t xml:space="preserve"> </w:t>
            </w:r>
            <w:r w:rsidRPr="00F4600C">
              <w:rPr>
                <w:sz w:val="24"/>
              </w:rPr>
              <w:t>To</w:t>
            </w:r>
            <w:proofErr w:type="gramEnd"/>
            <w:r w:rsidRPr="00F4600C">
              <w:rPr>
                <w:sz w:val="24"/>
              </w:rPr>
              <w:t xml:space="preserve"> the extent that a change in an accounting estimate gives rise to changes in assets and liabilities, or relates to an item of equity, it shall be recognised by adjusting the carrying amount of the related asset, liability or equity item in the period of the change.’</w:t>
            </w:r>
          </w:p>
        </w:tc>
      </w:tr>
      <w:tr w:rsidR="000044FF" w14:paraId="1FC479AE" w14:textId="77777777" w:rsidTr="007872D1">
        <w:trPr>
          <w:gridAfter w:val="1"/>
          <w:wAfter w:w="32" w:type="dxa"/>
        </w:trPr>
        <w:tc>
          <w:tcPr>
            <w:tcW w:w="9607" w:type="dxa"/>
            <w:shd w:val="clear" w:color="auto" w:fill="F2F2F2" w:themeFill="background1" w:themeFillShade="F2"/>
          </w:tcPr>
          <w:p w14:paraId="6570499A" w14:textId="77777777" w:rsidR="000044FF" w:rsidRPr="007872D1" w:rsidRDefault="000044FF" w:rsidP="007872D1">
            <w:pPr>
              <w:pStyle w:val="TableContent"/>
              <w:rPr>
                <w:b/>
                <w:bCs/>
                <w:sz w:val="24"/>
              </w:rPr>
            </w:pPr>
            <w:r w:rsidRPr="007872D1">
              <w:rPr>
                <w:b/>
                <w:bCs/>
                <w:sz w:val="24"/>
              </w:rPr>
              <w:t>Interpretation (AASB 2021: 10-11)</w:t>
            </w:r>
          </w:p>
        </w:tc>
      </w:tr>
      <w:tr w:rsidR="000044FF" w14:paraId="1E385090" w14:textId="77777777" w:rsidTr="007872D1">
        <w:trPr>
          <w:gridAfter w:val="1"/>
          <w:wAfter w:w="32" w:type="dxa"/>
        </w:trPr>
        <w:tc>
          <w:tcPr>
            <w:tcW w:w="9607" w:type="dxa"/>
          </w:tcPr>
          <w:p w14:paraId="4F7CCECB" w14:textId="77777777" w:rsidR="000044FF" w:rsidRPr="007872D1" w:rsidRDefault="000044FF" w:rsidP="007872D1">
            <w:pPr>
              <w:pStyle w:val="TableContent"/>
              <w:rPr>
                <w:rStyle w:val="normaltextrun"/>
                <w:sz w:val="24"/>
              </w:rPr>
            </w:pPr>
            <w:r w:rsidRPr="007872D1">
              <w:rPr>
                <w:rStyle w:val="normaltextrun"/>
                <w:sz w:val="24"/>
              </w:rPr>
              <w:t xml:space="preserve">Paragraph 36: </w:t>
            </w:r>
          </w:p>
          <w:p w14:paraId="02161FA3" w14:textId="77777777" w:rsidR="000044FF" w:rsidRPr="007872D1" w:rsidRDefault="000044FF" w:rsidP="007872D1">
            <w:pPr>
              <w:pStyle w:val="TableContent"/>
              <w:rPr>
                <w:rStyle w:val="normaltextrun"/>
                <w:sz w:val="24"/>
              </w:rPr>
            </w:pPr>
            <w:r w:rsidRPr="007872D1">
              <w:rPr>
                <w:rStyle w:val="normaltextrun"/>
                <w:sz w:val="24"/>
              </w:rPr>
              <w:t xml:space="preserve">Changes in accounting estimates must be applied ‘prospectively’ </w:t>
            </w:r>
            <w:r w:rsidRPr="007872D1">
              <w:rPr>
                <w:rStyle w:val="normaltextrun"/>
                <w:b/>
                <w:bCs/>
                <w:sz w:val="24"/>
              </w:rPr>
              <w:t>not</w:t>
            </w:r>
            <w:r w:rsidRPr="007872D1">
              <w:rPr>
                <w:rStyle w:val="normaltextrun"/>
                <w:sz w:val="24"/>
              </w:rPr>
              <w:t xml:space="preserve"> retrospectively. In other words, prior year figures must not be restated due to a change in an accounting estimate. </w:t>
            </w:r>
          </w:p>
          <w:p w14:paraId="25C8542F" w14:textId="77777777" w:rsidR="000044FF" w:rsidRPr="007872D1" w:rsidRDefault="000044FF" w:rsidP="007872D1">
            <w:pPr>
              <w:pStyle w:val="TableContent"/>
              <w:rPr>
                <w:rStyle w:val="normaltextrun"/>
                <w:sz w:val="24"/>
              </w:rPr>
            </w:pPr>
            <w:r w:rsidRPr="007872D1">
              <w:rPr>
                <w:rStyle w:val="normaltextrun"/>
                <w:sz w:val="24"/>
              </w:rPr>
              <w:t xml:space="preserve">Paragraph 37: </w:t>
            </w:r>
          </w:p>
          <w:p w14:paraId="115249C0" w14:textId="77777777" w:rsidR="000044FF" w:rsidRPr="007872D1" w:rsidRDefault="000044FF" w:rsidP="007872D1">
            <w:pPr>
              <w:pStyle w:val="TableContent"/>
              <w:rPr>
                <w:rStyle w:val="normaltextrun"/>
                <w:sz w:val="24"/>
              </w:rPr>
            </w:pPr>
            <w:r w:rsidRPr="007872D1">
              <w:rPr>
                <w:rStyle w:val="normaltextrun"/>
                <w:sz w:val="24"/>
              </w:rPr>
              <w:t xml:space="preserve">Changes in accounting estimates </w:t>
            </w:r>
            <w:r w:rsidRPr="007872D1">
              <w:rPr>
                <w:rStyle w:val="normaltextrun"/>
                <w:b/>
                <w:bCs/>
                <w:sz w:val="24"/>
              </w:rPr>
              <w:t>may</w:t>
            </w:r>
            <w:r w:rsidRPr="007872D1">
              <w:rPr>
                <w:rStyle w:val="normaltextrun"/>
                <w:sz w:val="24"/>
              </w:rPr>
              <w:t xml:space="preserve"> result in changes (either a decrease or an increase) which must be accounted for by adjusting the carrying amount </w:t>
            </w:r>
            <w:proofErr w:type="gramStart"/>
            <w:r w:rsidRPr="007872D1">
              <w:rPr>
                <w:rStyle w:val="normaltextrun"/>
                <w:sz w:val="24"/>
              </w:rPr>
              <w:t>of :</w:t>
            </w:r>
            <w:proofErr w:type="gramEnd"/>
            <w:r w:rsidRPr="007872D1">
              <w:rPr>
                <w:rStyle w:val="normaltextrun"/>
                <w:sz w:val="24"/>
              </w:rPr>
              <w:t xml:space="preserve"> </w:t>
            </w:r>
          </w:p>
          <w:p w14:paraId="1CE3F77C" w14:textId="0993A97D" w:rsidR="000044FF" w:rsidRPr="007872D1" w:rsidRDefault="000044FF">
            <w:pPr>
              <w:pStyle w:val="TableContent"/>
              <w:numPr>
                <w:ilvl w:val="0"/>
                <w:numId w:val="101"/>
              </w:numPr>
              <w:rPr>
                <w:rStyle w:val="normaltextrun"/>
                <w:sz w:val="24"/>
              </w:rPr>
            </w:pPr>
            <w:r w:rsidRPr="007872D1">
              <w:rPr>
                <w:rStyle w:val="normaltextrun"/>
                <w:sz w:val="24"/>
              </w:rPr>
              <w:t>assets or liabilities</w:t>
            </w:r>
            <w:r w:rsidR="00F4600C">
              <w:rPr>
                <w:rStyle w:val="normaltextrun"/>
                <w:sz w:val="24"/>
              </w:rPr>
              <w:t>;</w:t>
            </w:r>
            <w:r w:rsidRPr="007872D1">
              <w:rPr>
                <w:rStyle w:val="normaltextrun"/>
                <w:sz w:val="24"/>
              </w:rPr>
              <w:t xml:space="preserve"> and</w:t>
            </w:r>
          </w:p>
          <w:p w14:paraId="620CC040" w14:textId="7DDFF891" w:rsidR="000044FF" w:rsidRPr="007872D1" w:rsidRDefault="000044FF">
            <w:pPr>
              <w:pStyle w:val="TableContent"/>
              <w:numPr>
                <w:ilvl w:val="0"/>
                <w:numId w:val="101"/>
              </w:numPr>
              <w:rPr>
                <w:sz w:val="24"/>
              </w:rPr>
            </w:pPr>
            <w:r w:rsidRPr="007872D1">
              <w:rPr>
                <w:rStyle w:val="normaltextrun"/>
                <w:sz w:val="24"/>
              </w:rPr>
              <w:t>equity (e.g. revaluation surplus).</w:t>
            </w:r>
            <w:r w:rsidRPr="007872D1">
              <w:rPr>
                <w:sz w:val="24"/>
              </w:rPr>
              <w:t xml:space="preserve"> </w:t>
            </w:r>
          </w:p>
        </w:tc>
      </w:tr>
    </w:tbl>
    <w:p w14:paraId="71775AB5" w14:textId="77777777" w:rsidR="000044FF" w:rsidRPr="003F1F01" w:rsidRDefault="000044FF" w:rsidP="00AF5E7A">
      <w:pPr>
        <w:pStyle w:val="Heading4"/>
      </w:pPr>
      <w:r w:rsidRPr="003F1F01">
        <w:t>Errors</w:t>
      </w:r>
    </w:p>
    <w:p w14:paraId="0ADFCD04" w14:textId="77777777" w:rsidR="000044FF" w:rsidRPr="003F1F01" w:rsidRDefault="000044FF" w:rsidP="00D70B5C">
      <w:pPr>
        <w:pStyle w:val="BodyText"/>
      </w:pPr>
      <w:r w:rsidRPr="003F1F01">
        <w:t>AASB 108 Accounting Policies, Changes in Accounting Estimates and Errors (2021) states regarding ‘</w:t>
      </w:r>
      <w:proofErr w:type="gramStart"/>
      <w:r w:rsidRPr="003F1F01">
        <w:t>errors’</w:t>
      </w:r>
      <w:proofErr w:type="gramEnd"/>
      <w:r w:rsidRPr="003F1F01">
        <w:rPr>
          <w:i/>
          <w:iCs/>
        </w:rPr>
        <w:t>:</w:t>
      </w:r>
    </w:p>
    <w:tbl>
      <w:tblPr>
        <w:tblStyle w:val="TableGrid"/>
        <w:tblW w:w="9639" w:type="dxa"/>
        <w:tblLook w:val="04A0" w:firstRow="1" w:lastRow="0" w:firstColumn="1" w:lastColumn="0" w:noHBand="0" w:noVBand="1"/>
      </w:tblPr>
      <w:tblGrid>
        <w:gridCol w:w="9639"/>
      </w:tblGrid>
      <w:tr w:rsidR="000044FF" w:rsidRPr="001D287F" w14:paraId="1E38DA54" w14:textId="77777777">
        <w:trPr>
          <w:tblHeader/>
        </w:trPr>
        <w:tc>
          <w:tcPr>
            <w:tcW w:w="9639" w:type="dxa"/>
            <w:shd w:val="clear" w:color="auto" w:fill="F2F2F2" w:themeFill="background1" w:themeFillShade="F2"/>
          </w:tcPr>
          <w:p w14:paraId="46C8BE49" w14:textId="77777777" w:rsidR="000044FF" w:rsidRPr="000B7F16" w:rsidRDefault="000044FF" w:rsidP="000B7F16">
            <w:pPr>
              <w:pStyle w:val="TableContent"/>
              <w:rPr>
                <w:b/>
                <w:bCs/>
                <w:sz w:val="24"/>
              </w:rPr>
            </w:pPr>
            <w:r w:rsidRPr="000B7F16">
              <w:rPr>
                <w:b/>
                <w:bCs/>
                <w:sz w:val="24"/>
              </w:rPr>
              <w:t>(AASB 2021: 11)</w:t>
            </w:r>
          </w:p>
        </w:tc>
      </w:tr>
      <w:tr w:rsidR="000044FF" w:rsidRPr="003F1F01" w14:paraId="28A12CBC" w14:textId="77777777">
        <w:tc>
          <w:tcPr>
            <w:tcW w:w="9639" w:type="dxa"/>
            <w:tcBorders>
              <w:bottom w:val="single" w:sz="4" w:space="0" w:color="auto"/>
            </w:tcBorders>
          </w:tcPr>
          <w:p w14:paraId="061C79E6" w14:textId="06DA86C5" w:rsidR="000044FF" w:rsidRPr="000B7F16" w:rsidRDefault="000044FF" w:rsidP="000B7F16">
            <w:pPr>
              <w:pStyle w:val="TableContent"/>
              <w:ind w:left="454" w:hanging="454"/>
              <w:rPr>
                <w:color w:val="000000"/>
                <w:sz w:val="24"/>
              </w:rPr>
            </w:pPr>
            <w:r w:rsidRPr="000B7F16">
              <w:rPr>
                <w:color w:val="000000"/>
                <w:sz w:val="24"/>
              </w:rPr>
              <w:t>’</w:t>
            </w:r>
            <w:proofErr w:type="gramStart"/>
            <w:r w:rsidRPr="000B7F16">
              <w:rPr>
                <w:color w:val="000000"/>
                <w:sz w:val="24"/>
              </w:rPr>
              <w:t xml:space="preserve">41 </w:t>
            </w:r>
            <w:r w:rsidR="002E3B16">
              <w:rPr>
                <w:color w:val="000000"/>
                <w:sz w:val="24"/>
              </w:rPr>
              <w:t xml:space="preserve"> </w:t>
            </w:r>
            <w:r w:rsidRPr="000B7F16">
              <w:rPr>
                <w:color w:val="000000"/>
                <w:sz w:val="24"/>
              </w:rPr>
              <w:t>Errors</w:t>
            </w:r>
            <w:proofErr w:type="gramEnd"/>
            <w:r w:rsidRPr="000B7F16">
              <w:rPr>
                <w:color w:val="000000"/>
                <w:sz w:val="24"/>
              </w:rPr>
              <w:t xml:space="preserve"> can arise in respect of the recognition, measurement, presentation or disclosure of elements of financial statements. Financial statements do not comply with Australian Accounting Standards if they contain either material errors or immaterial errors made intentionally to achieve a particular presentation of an entity’s financial position, financial performance or cash flows. Potential current period errors discovered in that period are corrected before the financial statements are authorised for issue. However, material errors are sometimes not discovered until a subsequent period, and these prior period errors are corrected in the comparative information presented in the financial statements for that subsequent period…</w:t>
            </w:r>
            <w:r w:rsidR="004022CD">
              <w:rPr>
                <w:color w:val="000000"/>
                <w:sz w:val="24"/>
              </w:rPr>
              <w:t>’</w:t>
            </w:r>
          </w:p>
          <w:p w14:paraId="0D7D1492" w14:textId="5A519690" w:rsidR="000044FF" w:rsidRPr="00F4600C" w:rsidRDefault="00E974AA" w:rsidP="000B7F16">
            <w:pPr>
              <w:pStyle w:val="TableContent"/>
              <w:ind w:left="454" w:hanging="454"/>
              <w:rPr>
                <w:color w:val="000000"/>
                <w:sz w:val="24"/>
              </w:rPr>
            </w:pPr>
            <w:r w:rsidRPr="00F4600C">
              <w:rPr>
                <w:color w:val="000000"/>
                <w:sz w:val="24"/>
              </w:rPr>
              <w:lastRenderedPageBreak/>
              <w:t>‘</w:t>
            </w:r>
            <w:proofErr w:type="gramStart"/>
            <w:r w:rsidR="000044FF" w:rsidRPr="00F4600C">
              <w:rPr>
                <w:color w:val="000000"/>
                <w:sz w:val="24"/>
              </w:rPr>
              <w:t xml:space="preserve">42 </w:t>
            </w:r>
            <w:r w:rsidR="002E3B16" w:rsidRPr="00F4600C">
              <w:rPr>
                <w:color w:val="000000"/>
                <w:sz w:val="24"/>
              </w:rPr>
              <w:t xml:space="preserve"> </w:t>
            </w:r>
            <w:r w:rsidR="000044FF" w:rsidRPr="00F4600C">
              <w:rPr>
                <w:color w:val="000000"/>
                <w:sz w:val="24"/>
              </w:rPr>
              <w:t>Subject</w:t>
            </w:r>
            <w:proofErr w:type="gramEnd"/>
            <w:r w:rsidR="000044FF" w:rsidRPr="00F4600C">
              <w:rPr>
                <w:color w:val="000000"/>
                <w:sz w:val="24"/>
              </w:rPr>
              <w:t xml:space="preserve"> to paragraph </w:t>
            </w:r>
            <w:proofErr w:type="gramStart"/>
            <w:r w:rsidR="000044FF" w:rsidRPr="00F4600C">
              <w:rPr>
                <w:color w:val="000000"/>
                <w:sz w:val="24"/>
              </w:rPr>
              <w:t>43,</w:t>
            </w:r>
            <w:proofErr w:type="gramEnd"/>
            <w:r w:rsidR="000044FF" w:rsidRPr="00F4600C">
              <w:rPr>
                <w:color w:val="000000"/>
                <w:sz w:val="24"/>
              </w:rPr>
              <w:t xml:space="preserve"> an entity shall correct material prior period errors retrospectively in the first set of financial statements authorised for issue after their discovery by: </w:t>
            </w:r>
          </w:p>
          <w:p w14:paraId="128AD85E" w14:textId="77777777" w:rsidR="000044FF" w:rsidRPr="00F4600C" w:rsidRDefault="000044FF" w:rsidP="000B7F16">
            <w:pPr>
              <w:pStyle w:val="TableContent"/>
              <w:ind w:left="794" w:hanging="340"/>
              <w:rPr>
                <w:color w:val="000000"/>
                <w:sz w:val="24"/>
              </w:rPr>
            </w:pPr>
            <w:r w:rsidRPr="00F4600C">
              <w:rPr>
                <w:color w:val="000000"/>
                <w:sz w:val="24"/>
              </w:rPr>
              <w:t xml:space="preserve">(a) restating the comparative amounts for the prior period(s) presented in which the error occurred; or </w:t>
            </w:r>
          </w:p>
          <w:p w14:paraId="739B51E1" w14:textId="77777777" w:rsidR="000044FF" w:rsidRPr="000B7F16" w:rsidRDefault="000044FF" w:rsidP="000B7F16">
            <w:pPr>
              <w:pStyle w:val="TableContent"/>
              <w:ind w:left="794" w:hanging="340"/>
              <w:rPr>
                <w:color w:val="000000"/>
                <w:sz w:val="24"/>
              </w:rPr>
            </w:pPr>
            <w:r w:rsidRPr="00F4600C">
              <w:rPr>
                <w:color w:val="000000"/>
                <w:sz w:val="24"/>
              </w:rPr>
              <w:t>(b) if the error occurred before the earliest prior period presented, restating the opening balances of assets, liabilities and equity for the earliest prior period presented.’</w:t>
            </w:r>
          </w:p>
        </w:tc>
      </w:tr>
      <w:tr w:rsidR="000044FF" w:rsidRPr="001D287F" w14:paraId="460D5F99" w14:textId="77777777">
        <w:tc>
          <w:tcPr>
            <w:tcW w:w="9639" w:type="dxa"/>
            <w:shd w:val="clear" w:color="auto" w:fill="F2F2F2" w:themeFill="background1" w:themeFillShade="F2"/>
          </w:tcPr>
          <w:p w14:paraId="4A3DF5D9" w14:textId="77777777" w:rsidR="000044FF" w:rsidRPr="00177C01" w:rsidRDefault="000044FF" w:rsidP="00177C01">
            <w:pPr>
              <w:pStyle w:val="TableContent"/>
              <w:rPr>
                <w:rStyle w:val="normaltextrun"/>
                <w:b/>
                <w:bCs/>
                <w:sz w:val="24"/>
              </w:rPr>
            </w:pPr>
            <w:r w:rsidRPr="00177C01">
              <w:rPr>
                <w:rStyle w:val="normaltextrun"/>
                <w:b/>
                <w:bCs/>
                <w:sz w:val="24"/>
              </w:rPr>
              <w:t xml:space="preserve">Interpretation </w:t>
            </w:r>
            <w:r w:rsidRPr="00177C01">
              <w:rPr>
                <w:b/>
                <w:bCs/>
                <w:sz w:val="24"/>
              </w:rPr>
              <w:t>(AASB 2021: 11)</w:t>
            </w:r>
          </w:p>
        </w:tc>
      </w:tr>
      <w:tr w:rsidR="000044FF" w:rsidRPr="003F1F01" w14:paraId="05043D09" w14:textId="77777777">
        <w:tc>
          <w:tcPr>
            <w:tcW w:w="9639" w:type="dxa"/>
          </w:tcPr>
          <w:p w14:paraId="0A193B4A" w14:textId="77777777" w:rsidR="000044FF" w:rsidRPr="00177C01" w:rsidRDefault="000044FF" w:rsidP="00177C01">
            <w:pPr>
              <w:pStyle w:val="TableContent"/>
              <w:rPr>
                <w:sz w:val="24"/>
              </w:rPr>
            </w:pPr>
            <w:r w:rsidRPr="00177C01">
              <w:rPr>
                <w:rStyle w:val="normaltextrun"/>
                <w:sz w:val="24"/>
              </w:rPr>
              <w:t xml:space="preserve">Care must be taken to distinguish changes in accounting estimates from errors. Determining the fair value of an asset is an example of an accounting estimate. Consequently, changing an accounting estimate should not be accounted for as an error. However, if an accounting estimate is incorrect due to a mathematical error which is only discovered after publication of a set of financial statements, this does qualify as an error which should be treated in terms of paragraph 41. </w:t>
            </w:r>
          </w:p>
        </w:tc>
      </w:tr>
    </w:tbl>
    <w:p w14:paraId="0EA629C3" w14:textId="77777777" w:rsidR="000044FF" w:rsidRDefault="000044FF" w:rsidP="000044FF">
      <w:pPr>
        <w:spacing w:after="160" w:line="278" w:lineRule="auto"/>
      </w:pPr>
      <w:r>
        <w:br w:type="page"/>
      </w:r>
    </w:p>
    <w:p w14:paraId="179CC6C1" w14:textId="77777777" w:rsidR="000044FF" w:rsidRPr="001D287F" w:rsidRDefault="000044FF" w:rsidP="000044FF">
      <w:pPr>
        <w:pStyle w:val="Heading2"/>
        <w:rPr>
          <w:b w:val="0"/>
          <w:bCs w:val="0"/>
        </w:rPr>
      </w:pPr>
      <w:bookmarkStart w:id="113" w:name="_Toc170118993"/>
      <w:bookmarkStart w:id="114" w:name="_Toc207722755"/>
      <w:bookmarkStart w:id="115" w:name="_Toc223445088"/>
      <w:r w:rsidRPr="001D287F">
        <w:lastRenderedPageBreak/>
        <w:t>AASB 5 Non-current Assets Held for Sale and Discontinued Operations</w:t>
      </w:r>
      <w:bookmarkEnd w:id="113"/>
      <w:r w:rsidRPr="001D287F">
        <w:t xml:space="preserve"> (2022)</w:t>
      </w:r>
      <w:bookmarkEnd w:id="114"/>
      <w:bookmarkEnd w:id="115"/>
    </w:p>
    <w:p w14:paraId="74819454" w14:textId="77777777" w:rsidR="000044FF" w:rsidRPr="001D287F" w:rsidRDefault="000044FF" w:rsidP="00AF5E7A">
      <w:pPr>
        <w:pStyle w:val="Heading4"/>
      </w:pPr>
      <w:r w:rsidRPr="001D287F">
        <w:t>Classification of non-current assets held for sale</w:t>
      </w:r>
    </w:p>
    <w:p w14:paraId="2A245FE4" w14:textId="77777777" w:rsidR="000044FF" w:rsidRPr="001D287F" w:rsidRDefault="000044FF" w:rsidP="00D70B5C">
      <w:pPr>
        <w:pStyle w:val="BodyText"/>
      </w:pPr>
      <w:r w:rsidRPr="001D287F">
        <w:t xml:space="preserve">AASB 5 Non-current Assets Held for Sale and Discontinued Operations (2022) states regarding the ‘classification of non-current assets as held for sale’: </w:t>
      </w:r>
    </w:p>
    <w:tbl>
      <w:tblPr>
        <w:tblStyle w:val="TableGrid"/>
        <w:tblW w:w="9639" w:type="dxa"/>
        <w:tblLook w:val="04A0" w:firstRow="1" w:lastRow="0" w:firstColumn="1" w:lastColumn="0" w:noHBand="0" w:noVBand="1"/>
      </w:tblPr>
      <w:tblGrid>
        <w:gridCol w:w="9639"/>
      </w:tblGrid>
      <w:tr w:rsidR="000044FF" w:rsidRPr="001D287F" w14:paraId="439C29CC" w14:textId="77777777">
        <w:tc>
          <w:tcPr>
            <w:tcW w:w="9639" w:type="dxa"/>
            <w:shd w:val="clear" w:color="auto" w:fill="F2F2F2" w:themeFill="background1" w:themeFillShade="F2"/>
          </w:tcPr>
          <w:p w14:paraId="507F6D97" w14:textId="77777777" w:rsidR="000044FF" w:rsidRPr="00285826" w:rsidRDefault="000044FF" w:rsidP="001C0B69">
            <w:pPr>
              <w:pStyle w:val="TableContent"/>
              <w:rPr>
                <w:b/>
                <w:bCs/>
                <w:sz w:val="24"/>
              </w:rPr>
            </w:pPr>
            <w:r w:rsidRPr="00285826">
              <w:rPr>
                <w:b/>
                <w:bCs/>
                <w:sz w:val="24"/>
              </w:rPr>
              <w:t>(AASB 2022): 6-7)</w:t>
            </w:r>
          </w:p>
        </w:tc>
      </w:tr>
      <w:tr w:rsidR="000044FF" w:rsidRPr="001D287F" w14:paraId="41452EDF" w14:textId="77777777">
        <w:tc>
          <w:tcPr>
            <w:tcW w:w="9639" w:type="dxa"/>
            <w:tcBorders>
              <w:bottom w:val="single" w:sz="4" w:space="0" w:color="auto"/>
            </w:tcBorders>
          </w:tcPr>
          <w:p w14:paraId="58FC5F2F" w14:textId="389A7FED" w:rsidR="000044FF" w:rsidRPr="00F4600C" w:rsidRDefault="000044FF" w:rsidP="007E4223">
            <w:pPr>
              <w:pStyle w:val="TableContent"/>
              <w:ind w:left="284" w:hanging="284"/>
              <w:rPr>
                <w:sz w:val="24"/>
              </w:rPr>
            </w:pPr>
            <w:r w:rsidRPr="00F4600C">
              <w:rPr>
                <w:sz w:val="24"/>
              </w:rPr>
              <w:t xml:space="preserve">‘6 An entity shall classify a non-current asset (or disposal group) as held for sale if </w:t>
            </w:r>
            <w:proofErr w:type="gramStart"/>
            <w:r w:rsidRPr="00F4600C">
              <w:rPr>
                <w:sz w:val="24"/>
              </w:rPr>
              <w:t>its</w:t>
            </w:r>
            <w:proofErr w:type="gramEnd"/>
            <w:r w:rsidRPr="00F4600C">
              <w:rPr>
                <w:sz w:val="24"/>
              </w:rPr>
              <w:t xml:space="preserve"> carrying amount will be recovered principally through a sale transaction rather than through continuing use. </w:t>
            </w:r>
          </w:p>
          <w:p w14:paraId="64DC7360" w14:textId="6D17B256" w:rsidR="000044FF" w:rsidRPr="001C0B69" w:rsidRDefault="000044FF" w:rsidP="00851817">
            <w:pPr>
              <w:pStyle w:val="TableContent"/>
              <w:ind w:left="227" w:hanging="227"/>
              <w:rPr>
                <w:sz w:val="24"/>
              </w:rPr>
            </w:pPr>
            <w:r w:rsidRPr="001C0B69">
              <w:rPr>
                <w:sz w:val="24"/>
              </w:rPr>
              <w:t>7</w:t>
            </w:r>
            <w:r w:rsidR="00A07170">
              <w:rPr>
                <w:sz w:val="24"/>
              </w:rPr>
              <w:t xml:space="preserve"> </w:t>
            </w:r>
            <w:r w:rsidRPr="001C0B69">
              <w:rPr>
                <w:sz w:val="24"/>
              </w:rPr>
              <w:t xml:space="preserve">For this to be the case, the asset (or disposal group) must be available for immediate sale in its present condition subject only to terms that are usual and customary for sales of such assets (or disposal groups) and its sale must be highly probable. </w:t>
            </w:r>
          </w:p>
          <w:p w14:paraId="784319E4" w14:textId="011A6816" w:rsidR="000044FF" w:rsidRPr="001C0B69" w:rsidRDefault="000044FF" w:rsidP="00851817">
            <w:pPr>
              <w:pStyle w:val="TableContent"/>
              <w:ind w:left="227" w:hanging="227"/>
              <w:rPr>
                <w:sz w:val="24"/>
              </w:rPr>
            </w:pPr>
            <w:r w:rsidRPr="001C0B69">
              <w:rPr>
                <w:sz w:val="24"/>
              </w:rPr>
              <w:t>8 For the sale to be highly probable, the appropriate level of management must be committed to a plan to sell the asset (or disposal group), and an active programme to locate a buyer and complete the plan must have been initiated. Further, the asset (or disposal group) must be actively marketed for sale at a price that is reasonable in relation to its current fair value. In addition, the sale should be expected to qualify for recognition as a completed sale within one year from the date of classification, except as permitted by paragraph 9, and actions required to complete the plan should indicate that it is unlikely that significant changes to the plan will be made or that the plan will be withdrawn. The probability of shareholders’ approval (if required in the jurisdiction) should be considered as part of the assessment of whether the sale is highly probable.’</w:t>
            </w:r>
          </w:p>
        </w:tc>
      </w:tr>
      <w:tr w:rsidR="000044FF" w:rsidRPr="001D287F" w14:paraId="7E7AC1EE" w14:textId="77777777">
        <w:tc>
          <w:tcPr>
            <w:tcW w:w="9639" w:type="dxa"/>
            <w:shd w:val="clear" w:color="auto" w:fill="F2F2F2" w:themeFill="background1" w:themeFillShade="F2"/>
          </w:tcPr>
          <w:p w14:paraId="16240259" w14:textId="77777777" w:rsidR="000044FF" w:rsidRPr="00285826" w:rsidRDefault="000044FF" w:rsidP="001C0B69">
            <w:pPr>
              <w:pStyle w:val="TableContent"/>
              <w:rPr>
                <w:b/>
                <w:bCs/>
                <w:sz w:val="24"/>
              </w:rPr>
            </w:pPr>
            <w:r w:rsidRPr="00285826">
              <w:rPr>
                <w:b/>
                <w:bCs/>
                <w:sz w:val="24"/>
              </w:rPr>
              <w:t>Interpretation (AASB 2022): 6-7)</w:t>
            </w:r>
          </w:p>
        </w:tc>
      </w:tr>
      <w:tr w:rsidR="000044FF" w:rsidRPr="001D287F" w14:paraId="33D10742" w14:textId="77777777">
        <w:tc>
          <w:tcPr>
            <w:tcW w:w="9639" w:type="dxa"/>
          </w:tcPr>
          <w:p w14:paraId="466ED11B" w14:textId="77777777" w:rsidR="000044FF" w:rsidRPr="001C0B69" w:rsidRDefault="000044FF" w:rsidP="001C0B69">
            <w:pPr>
              <w:pStyle w:val="TableContent"/>
              <w:rPr>
                <w:sz w:val="24"/>
              </w:rPr>
            </w:pPr>
            <w:r w:rsidRPr="001C0B69">
              <w:rPr>
                <w:sz w:val="24"/>
              </w:rPr>
              <w:t xml:space="preserve">Paragraph 6. </w:t>
            </w:r>
          </w:p>
          <w:p w14:paraId="2458C636" w14:textId="77777777" w:rsidR="000044FF" w:rsidRPr="001C0B69" w:rsidRDefault="000044FF" w:rsidP="001C0B69">
            <w:pPr>
              <w:pStyle w:val="TableContent"/>
              <w:rPr>
                <w:sz w:val="24"/>
              </w:rPr>
            </w:pPr>
            <w:r w:rsidRPr="001C0B69">
              <w:rPr>
                <w:sz w:val="24"/>
              </w:rPr>
              <w:t>The entity must have the intention to sell the asset (not to continue using it).</w:t>
            </w:r>
          </w:p>
          <w:p w14:paraId="7CB8D171" w14:textId="77777777" w:rsidR="000044FF" w:rsidRPr="001C0B69" w:rsidRDefault="000044FF" w:rsidP="001C0B69">
            <w:pPr>
              <w:pStyle w:val="TableContent"/>
              <w:rPr>
                <w:sz w:val="24"/>
              </w:rPr>
            </w:pPr>
            <w:r w:rsidRPr="001C0B69">
              <w:rPr>
                <w:sz w:val="24"/>
              </w:rPr>
              <w:t xml:space="preserve">Paragraphs 7 and 8: </w:t>
            </w:r>
          </w:p>
          <w:p w14:paraId="5947D55C" w14:textId="77777777" w:rsidR="000044FF" w:rsidRPr="001C0B69" w:rsidRDefault="000044FF" w:rsidP="001C0B69">
            <w:pPr>
              <w:pStyle w:val="TableContent"/>
              <w:rPr>
                <w:sz w:val="24"/>
              </w:rPr>
            </w:pPr>
            <w:r w:rsidRPr="001C0B69">
              <w:rPr>
                <w:sz w:val="24"/>
              </w:rPr>
              <w:t xml:space="preserve">These paragraphs set the criteria which must be complied with for the non-current asset to be classified as held for sale. </w:t>
            </w:r>
          </w:p>
        </w:tc>
      </w:tr>
    </w:tbl>
    <w:p w14:paraId="75104AD6" w14:textId="77777777" w:rsidR="000044FF" w:rsidRPr="001D287F" w:rsidRDefault="000044FF" w:rsidP="00AF5E7A">
      <w:pPr>
        <w:pStyle w:val="Heading4"/>
      </w:pPr>
      <w:r w:rsidRPr="001D287F">
        <w:t>Classification of non-current assets held for distribution</w:t>
      </w:r>
    </w:p>
    <w:p w14:paraId="0D13E81C" w14:textId="77777777" w:rsidR="000044FF" w:rsidRPr="001D287F" w:rsidRDefault="000044FF" w:rsidP="00D70B5C">
      <w:pPr>
        <w:pStyle w:val="BodyText"/>
      </w:pPr>
      <w:r w:rsidRPr="001D287F">
        <w:t xml:space="preserve">AASB 5 Non-current Assets Held for Sale and Discontinued Operations (2022) states regarding the ‘classification of non-current assets as held for distribution to </w:t>
      </w:r>
      <w:proofErr w:type="gramStart"/>
      <w:r w:rsidRPr="001D287F">
        <w:t>owners’</w:t>
      </w:r>
      <w:proofErr w:type="gramEnd"/>
      <w:r w:rsidRPr="001D287F">
        <w:t xml:space="preserve">: </w:t>
      </w:r>
    </w:p>
    <w:tbl>
      <w:tblPr>
        <w:tblStyle w:val="TableGrid"/>
        <w:tblW w:w="9639" w:type="dxa"/>
        <w:tblLook w:val="04A0" w:firstRow="1" w:lastRow="0" w:firstColumn="1" w:lastColumn="0" w:noHBand="0" w:noVBand="1"/>
      </w:tblPr>
      <w:tblGrid>
        <w:gridCol w:w="9607"/>
        <w:gridCol w:w="32"/>
      </w:tblGrid>
      <w:tr w:rsidR="000044FF" w:rsidRPr="001D287F" w14:paraId="01B44508" w14:textId="77777777">
        <w:trPr>
          <w:cantSplit/>
          <w:tblHeader/>
        </w:trPr>
        <w:tc>
          <w:tcPr>
            <w:tcW w:w="9639" w:type="dxa"/>
            <w:gridSpan w:val="2"/>
            <w:shd w:val="clear" w:color="auto" w:fill="F2F2F2" w:themeFill="background1" w:themeFillShade="F2"/>
          </w:tcPr>
          <w:p w14:paraId="4FBC3118" w14:textId="77777777" w:rsidR="000044FF" w:rsidRPr="000F134C" w:rsidRDefault="000044FF" w:rsidP="00285826">
            <w:pPr>
              <w:pStyle w:val="TableContent"/>
              <w:rPr>
                <w:b/>
                <w:bCs/>
                <w:sz w:val="24"/>
              </w:rPr>
            </w:pPr>
            <w:r w:rsidRPr="000F134C">
              <w:rPr>
                <w:b/>
                <w:bCs/>
                <w:sz w:val="24"/>
              </w:rPr>
              <w:t>(AASB 2022:7)</w:t>
            </w:r>
          </w:p>
        </w:tc>
      </w:tr>
      <w:tr w:rsidR="000044FF" w:rsidRPr="001D287F" w14:paraId="680C392B" w14:textId="77777777">
        <w:tc>
          <w:tcPr>
            <w:tcW w:w="9639" w:type="dxa"/>
            <w:gridSpan w:val="2"/>
          </w:tcPr>
          <w:p w14:paraId="7BC8F92D" w14:textId="1E5C8B61" w:rsidR="000044FF" w:rsidRPr="00285826" w:rsidRDefault="000044FF" w:rsidP="000F134C">
            <w:pPr>
              <w:pStyle w:val="TableContent"/>
              <w:ind w:left="567" w:hanging="567"/>
              <w:rPr>
                <w:sz w:val="24"/>
              </w:rPr>
            </w:pPr>
            <w:r w:rsidRPr="00285826">
              <w:rPr>
                <w:sz w:val="24"/>
              </w:rPr>
              <w:t xml:space="preserve">‘12A A non-current asset (or disposal group) is classified as held for distribution to owners when the entity is committed to distribute the asset (or disposal group) to the owners. For this to be the case, the assets must be available for immediate distribution in </w:t>
            </w:r>
            <w:r w:rsidRPr="00285826">
              <w:rPr>
                <w:sz w:val="24"/>
              </w:rPr>
              <w:lastRenderedPageBreak/>
              <w:t xml:space="preserve">their present </w:t>
            </w:r>
            <w:proofErr w:type="gramStart"/>
            <w:r w:rsidRPr="00285826">
              <w:rPr>
                <w:sz w:val="24"/>
              </w:rPr>
              <w:t>condition</w:t>
            </w:r>
            <w:proofErr w:type="gramEnd"/>
            <w:r w:rsidRPr="00285826">
              <w:rPr>
                <w:sz w:val="24"/>
              </w:rPr>
              <w:t xml:space="preserve"> and the distribution must be highly probable. For the distribution to be highly probable, actions to complete the distribution must have been initiated and should be expected to be completed within one year from the date of classification. Actions required to complete the distribution should indicate that it is unlikely that significant changes to the distribution will be made or that the distribution will be withdrawn. The probability of shareholders’ approval (if </w:t>
            </w:r>
            <w:r w:rsidR="00772B2C" w:rsidRPr="00285826">
              <w:rPr>
                <w:sz w:val="24"/>
              </w:rPr>
              <w:t>required in the jurisdiction) should be considered as part of the assessment of whether the distribution is highly probable.’</w:t>
            </w:r>
          </w:p>
        </w:tc>
      </w:tr>
      <w:tr w:rsidR="000044FF" w14:paraId="5417B6F0" w14:textId="77777777">
        <w:trPr>
          <w:gridAfter w:val="1"/>
          <w:wAfter w:w="32" w:type="dxa"/>
        </w:trPr>
        <w:tc>
          <w:tcPr>
            <w:tcW w:w="9607" w:type="dxa"/>
            <w:shd w:val="clear" w:color="auto" w:fill="F2F2F2" w:themeFill="background1" w:themeFillShade="F2"/>
          </w:tcPr>
          <w:p w14:paraId="23FA4AE3" w14:textId="77777777" w:rsidR="000044FF" w:rsidRPr="00A7172A" w:rsidRDefault="000044FF" w:rsidP="00285826">
            <w:pPr>
              <w:pStyle w:val="TableContent"/>
              <w:rPr>
                <w:b/>
                <w:bCs/>
                <w:sz w:val="24"/>
              </w:rPr>
            </w:pPr>
            <w:r w:rsidRPr="00A7172A">
              <w:rPr>
                <w:b/>
                <w:bCs/>
                <w:sz w:val="24"/>
              </w:rPr>
              <w:t>Interpretation (AASB 2022:7)</w:t>
            </w:r>
          </w:p>
        </w:tc>
      </w:tr>
      <w:tr w:rsidR="000044FF" w14:paraId="0D446BC9" w14:textId="77777777">
        <w:trPr>
          <w:gridAfter w:val="1"/>
          <w:wAfter w:w="32" w:type="dxa"/>
        </w:trPr>
        <w:tc>
          <w:tcPr>
            <w:tcW w:w="9607" w:type="dxa"/>
          </w:tcPr>
          <w:p w14:paraId="2CD1F22D" w14:textId="77777777" w:rsidR="000044FF" w:rsidRPr="00285826" w:rsidRDefault="000044FF" w:rsidP="00285826">
            <w:pPr>
              <w:pStyle w:val="TableContent"/>
              <w:rPr>
                <w:sz w:val="24"/>
              </w:rPr>
            </w:pPr>
            <w:r w:rsidRPr="00285826">
              <w:rPr>
                <w:sz w:val="24"/>
              </w:rPr>
              <w:t>This paragraph sets the criteria which must be complied with for the non-current asset to be classified as held for sale.</w:t>
            </w:r>
          </w:p>
        </w:tc>
      </w:tr>
    </w:tbl>
    <w:p w14:paraId="14E7C3C8" w14:textId="77777777" w:rsidR="000044FF" w:rsidRPr="001D287F" w:rsidRDefault="000044FF" w:rsidP="00AF5E7A">
      <w:pPr>
        <w:pStyle w:val="Heading4"/>
      </w:pPr>
      <w:r w:rsidRPr="001D287F">
        <w:t>Measurement of non-current assets classified as held for sale</w:t>
      </w:r>
    </w:p>
    <w:p w14:paraId="1A4E8741" w14:textId="761CD6F3" w:rsidR="000044FF" w:rsidRPr="001D287F" w:rsidRDefault="000044FF" w:rsidP="00D70B5C">
      <w:pPr>
        <w:pStyle w:val="BodyText"/>
      </w:pPr>
      <w:r w:rsidRPr="001D287F">
        <w:t xml:space="preserve">AASB 5 Non-current Assets Held for Sale and Discontinued Operations (2022) does address the measurement of non-current assets classified as held for sale: </w:t>
      </w:r>
    </w:p>
    <w:tbl>
      <w:tblPr>
        <w:tblStyle w:val="TableGrid"/>
        <w:tblW w:w="9639" w:type="dxa"/>
        <w:tblLook w:val="04A0" w:firstRow="1" w:lastRow="0" w:firstColumn="1" w:lastColumn="0" w:noHBand="0" w:noVBand="1"/>
      </w:tblPr>
      <w:tblGrid>
        <w:gridCol w:w="9639"/>
      </w:tblGrid>
      <w:tr w:rsidR="000044FF" w:rsidRPr="00EA1A7B" w14:paraId="25C85C8F" w14:textId="77777777">
        <w:tc>
          <w:tcPr>
            <w:tcW w:w="9030" w:type="dxa"/>
            <w:tcBorders>
              <w:bottom w:val="single" w:sz="4" w:space="0" w:color="auto"/>
            </w:tcBorders>
            <w:shd w:val="clear" w:color="auto" w:fill="F2F2F2" w:themeFill="background1" w:themeFillShade="F2"/>
          </w:tcPr>
          <w:p w14:paraId="51A799E9" w14:textId="77777777" w:rsidR="000044FF" w:rsidRPr="00177E67" w:rsidRDefault="000044FF" w:rsidP="00A7172A">
            <w:pPr>
              <w:pStyle w:val="TableContent"/>
              <w:rPr>
                <w:b/>
                <w:bCs/>
                <w:sz w:val="24"/>
              </w:rPr>
            </w:pPr>
            <w:r w:rsidRPr="00177E67">
              <w:rPr>
                <w:b/>
                <w:bCs/>
                <w:sz w:val="24"/>
              </w:rPr>
              <w:t>(AASB 2022: 7-8)</w:t>
            </w:r>
          </w:p>
        </w:tc>
      </w:tr>
      <w:tr w:rsidR="000044FF" w:rsidRPr="001D287F" w14:paraId="316CB356" w14:textId="77777777">
        <w:tc>
          <w:tcPr>
            <w:tcW w:w="9030" w:type="dxa"/>
            <w:tcBorders>
              <w:bottom w:val="single" w:sz="4" w:space="0" w:color="auto"/>
            </w:tcBorders>
          </w:tcPr>
          <w:p w14:paraId="1293966B" w14:textId="177DA8B9" w:rsidR="000044FF" w:rsidRPr="00F4600C" w:rsidRDefault="000044FF" w:rsidP="0097144A">
            <w:pPr>
              <w:pStyle w:val="TableContent"/>
              <w:ind w:left="397" w:hanging="397"/>
              <w:rPr>
                <w:sz w:val="24"/>
              </w:rPr>
            </w:pPr>
            <w:r w:rsidRPr="00F4600C">
              <w:rPr>
                <w:i/>
                <w:iCs/>
                <w:sz w:val="24"/>
              </w:rPr>
              <w:t>‘</w:t>
            </w:r>
            <w:r w:rsidRPr="00F4600C">
              <w:rPr>
                <w:sz w:val="24"/>
              </w:rPr>
              <w:t xml:space="preserve">15 An entity shall measure a non-current asset (or disposal group) classified as held for sale at the lower of </w:t>
            </w:r>
            <w:proofErr w:type="gramStart"/>
            <w:r w:rsidRPr="00F4600C">
              <w:rPr>
                <w:sz w:val="24"/>
              </w:rPr>
              <w:t>its</w:t>
            </w:r>
            <w:proofErr w:type="gramEnd"/>
            <w:r w:rsidRPr="00F4600C">
              <w:rPr>
                <w:sz w:val="24"/>
              </w:rPr>
              <w:t xml:space="preserve"> carrying amount and fair value less costs to sell.</w:t>
            </w:r>
          </w:p>
          <w:p w14:paraId="42FE50C0" w14:textId="4ABE6CF7" w:rsidR="000044FF" w:rsidRPr="00A7172A" w:rsidRDefault="000044FF" w:rsidP="00EB355A">
            <w:pPr>
              <w:pStyle w:val="TableContent"/>
              <w:ind w:left="510" w:hanging="510"/>
              <w:rPr>
                <w:i/>
                <w:iCs/>
                <w:sz w:val="24"/>
              </w:rPr>
            </w:pPr>
            <w:r w:rsidRPr="00F4600C">
              <w:rPr>
                <w:sz w:val="24"/>
              </w:rPr>
              <w:t xml:space="preserve">15A An entity shall measure a non-current asset (or disposal group) classified as held for distribution to owners at the lower of </w:t>
            </w:r>
            <w:proofErr w:type="gramStart"/>
            <w:r w:rsidRPr="00F4600C">
              <w:rPr>
                <w:sz w:val="24"/>
              </w:rPr>
              <w:t>its</w:t>
            </w:r>
            <w:proofErr w:type="gramEnd"/>
            <w:r w:rsidRPr="00F4600C">
              <w:rPr>
                <w:sz w:val="24"/>
              </w:rPr>
              <w:t xml:space="preserve"> carrying amount and fair value less costs to distribute.’</w:t>
            </w:r>
          </w:p>
        </w:tc>
      </w:tr>
      <w:tr w:rsidR="000044FF" w:rsidRPr="001D287F" w14:paraId="603693F7" w14:textId="77777777">
        <w:tc>
          <w:tcPr>
            <w:tcW w:w="9030" w:type="dxa"/>
            <w:shd w:val="clear" w:color="auto" w:fill="F2F2F2" w:themeFill="background1" w:themeFillShade="F2"/>
          </w:tcPr>
          <w:p w14:paraId="3228BF10" w14:textId="77777777" w:rsidR="000044FF" w:rsidRPr="00177E67" w:rsidRDefault="000044FF" w:rsidP="00A7172A">
            <w:pPr>
              <w:pStyle w:val="TableContent"/>
              <w:rPr>
                <w:b/>
                <w:bCs/>
                <w:sz w:val="24"/>
              </w:rPr>
            </w:pPr>
            <w:r w:rsidRPr="00177E67">
              <w:rPr>
                <w:b/>
                <w:bCs/>
                <w:sz w:val="24"/>
              </w:rPr>
              <w:t>Interpretation (AASB 2022: 7-8)</w:t>
            </w:r>
          </w:p>
        </w:tc>
      </w:tr>
      <w:tr w:rsidR="000044FF" w:rsidRPr="001D287F" w14:paraId="4E307C48" w14:textId="77777777">
        <w:tc>
          <w:tcPr>
            <w:tcW w:w="9030" w:type="dxa"/>
          </w:tcPr>
          <w:p w14:paraId="28D74BB0" w14:textId="77777777" w:rsidR="000044FF" w:rsidRPr="00A7172A" w:rsidRDefault="000044FF" w:rsidP="00A7172A">
            <w:pPr>
              <w:pStyle w:val="TableContent"/>
              <w:rPr>
                <w:sz w:val="24"/>
              </w:rPr>
            </w:pPr>
            <w:r w:rsidRPr="00A7172A">
              <w:rPr>
                <w:sz w:val="24"/>
              </w:rPr>
              <w:t xml:space="preserve">The methodology is as follows: </w:t>
            </w:r>
          </w:p>
          <w:p w14:paraId="667F7A6C" w14:textId="3F018461" w:rsidR="000044FF" w:rsidRPr="00A7172A" w:rsidRDefault="000044FF">
            <w:pPr>
              <w:pStyle w:val="TableContent"/>
              <w:numPr>
                <w:ilvl w:val="0"/>
                <w:numId w:val="103"/>
              </w:numPr>
              <w:rPr>
                <w:sz w:val="24"/>
              </w:rPr>
            </w:pPr>
            <w:r w:rsidRPr="00A7172A">
              <w:rPr>
                <w:sz w:val="24"/>
              </w:rPr>
              <w:t>make a fair value measurement of the non-current asset classified as held for sale</w:t>
            </w:r>
          </w:p>
          <w:p w14:paraId="4388791F" w14:textId="00D9CFB2" w:rsidR="000044FF" w:rsidRPr="00A7172A" w:rsidRDefault="000044FF">
            <w:pPr>
              <w:pStyle w:val="TableContent"/>
              <w:numPr>
                <w:ilvl w:val="0"/>
                <w:numId w:val="103"/>
              </w:numPr>
              <w:rPr>
                <w:sz w:val="24"/>
              </w:rPr>
            </w:pPr>
            <w:r w:rsidRPr="00A7172A">
              <w:rPr>
                <w:sz w:val="24"/>
              </w:rPr>
              <w:t xml:space="preserve">deduct the cost to sell the asset from its fair value </w:t>
            </w:r>
          </w:p>
          <w:p w14:paraId="659B65B6" w14:textId="175F3725" w:rsidR="000044FF" w:rsidRPr="00A7172A" w:rsidRDefault="000044FF">
            <w:pPr>
              <w:pStyle w:val="TableContent"/>
              <w:numPr>
                <w:ilvl w:val="0"/>
                <w:numId w:val="103"/>
              </w:numPr>
              <w:rPr>
                <w:sz w:val="24"/>
              </w:rPr>
            </w:pPr>
            <w:r w:rsidRPr="00A7172A">
              <w:rPr>
                <w:sz w:val="24"/>
              </w:rPr>
              <w:t>compare the calculated fair value less cost to sell with the asset’s carrying amount</w:t>
            </w:r>
            <w:r w:rsidR="00F4600C">
              <w:rPr>
                <w:sz w:val="24"/>
              </w:rPr>
              <w:t>;</w:t>
            </w:r>
            <w:r w:rsidRPr="00A7172A">
              <w:rPr>
                <w:sz w:val="24"/>
              </w:rPr>
              <w:t xml:space="preserve"> and </w:t>
            </w:r>
          </w:p>
          <w:p w14:paraId="1599F3F3" w14:textId="77777777" w:rsidR="000044FF" w:rsidRPr="00A7172A" w:rsidRDefault="000044FF">
            <w:pPr>
              <w:pStyle w:val="TableContent"/>
              <w:numPr>
                <w:ilvl w:val="0"/>
                <w:numId w:val="103"/>
              </w:numPr>
              <w:rPr>
                <w:sz w:val="24"/>
              </w:rPr>
            </w:pPr>
            <w:r w:rsidRPr="00A7172A">
              <w:rPr>
                <w:sz w:val="24"/>
              </w:rPr>
              <w:t xml:space="preserve">if the asset’s carrying amount is greater than its fair value less cost to sell, reduce the asset’s carrying amount to its fair value less costs to sell. </w:t>
            </w:r>
          </w:p>
        </w:tc>
      </w:tr>
    </w:tbl>
    <w:p w14:paraId="7ADA4666" w14:textId="77777777" w:rsidR="00691094" w:rsidRDefault="00691094">
      <w:pPr>
        <w:spacing w:after="0" w:line="240" w:lineRule="auto"/>
        <w:rPr>
          <w:rFonts w:cs="Arial"/>
          <w:lang w:val="en-GB"/>
        </w:rPr>
      </w:pPr>
      <w:r>
        <w:br w:type="page"/>
      </w:r>
    </w:p>
    <w:p w14:paraId="351CA92E" w14:textId="2BE7E8CA" w:rsidR="000044FF" w:rsidRPr="001D287F" w:rsidRDefault="000044FF" w:rsidP="00AF5E7A">
      <w:pPr>
        <w:pStyle w:val="Heading4"/>
      </w:pPr>
      <w:r w:rsidRPr="001D287F">
        <w:lastRenderedPageBreak/>
        <w:t>Presentation of non-current assets classified as held for sale</w:t>
      </w:r>
    </w:p>
    <w:p w14:paraId="27930714" w14:textId="77777777" w:rsidR="000044FF" w:rsidRPr="001D287F" w:rsidRDefault="000044FF" w:rsidP="00D70B5C">
      <w:pPr>
        <w:pStyle w:val="BodyText"/>
      </w:pPr>
      <w:r w:rsidRPr="001D287F">
        <w:t xml:space="preserve">AASB 5 Non-current Assets Held for Sale and Discontinued Operations (2022) does address the </w:t>
      </w:r>
      <w:r>
        <w:t>p</w:t>
      </w:r>
      <w:r w:rsidRPr="001D287F">
        <w:t xml:space="preserve">resentation of such assets: </w:t>
      </w:r>
    </w:p>
    <w:tbl>
      <w:tblPr>
        <w:tblStyle w:val="TableGrid"/>
        <w:tblW w:w="9639" w:type="dxa"/>
        <w:tblLook w:val="04A0" w:firstRow="1" w:lastRow="0" w:firstColumn="1" w:lastColumn="0" w:noHBand="0" w:noVBand="1"/>
      </w:tblPr>
      <w:tblGrid>
        <w:gridCol w:w="9639"/>
      </w:tblGrid>
      <w:tr w:rsidR="000044FF" w:rsidRPr="00EA1A7B" w14:paraId="20486122" w14:textId="77777777">
        <w:tc>
          <w:tcPr>
            <w:tcW w:w="9639" w:type="dxa"/>
            <w:shd w:val="clear" w:color="auto" w:fill="F2F2F2" w:themeFill="background1" w:themeFillShade="F2"/>
          </w:tcPr>
          <w:p w14:paraId="4E835B0A" w14:textId="77777777" w:rsidR="000044FF" w:rsidRPr="00217B29" w:rsidRDefault="000044FF" w:rsidP="00691094">
            <w:pPr>
              <w:pStyle w:val="TableContent"/>
              <w:rPr>
                <w:b/>
                <w:bCs/>
                <w:sz w:val="24"/>
              </w:rPr>
            </w:pPr>
            <w:r w:rsidRPr="00217B29">
              <w:rPr>
                <w:b/>
                <w:bCs/>
                <w:sz w:val="24"/>
              </w:rPr>
              <w:t>(AASB 2022: 11)</w:t>
            </w:r>
          </w:p>
        </w:tc>
      </w:tr>
      <w:tr w:rsidR="000044FF" w:rsidRPr="001D287F" w14:paraId="3C225F98" w14:textId="77777777">
        <w:tc>
          <w:tcPr>
            <w:tcW w:w="9639" w:type="dxa"/>
            <w:tcBorders>
              <w:bottom w:val="single" w:sz="4" w:space="0" w:color="auto"/>
            </w:tcBorders>
          </w:tcPr>
          <w:p w14:paraId="13C3084E" w14:textId="273A4DED" w:rsidR="000044FF" w:rsidRPr="00691094" w:rsidRDefault="000044FF" w:rsidP="00217B29">
            <w:pPr>
              <w:pStyle w:val="TableContent"/>
              <w:ind w:left="397" w:hanging="397"/>
              <w:rPr>
                <w:sz w:val="24"/>
              </w:rPr>
            </w:pPr>
            <w:r w:rsidRPr="00691094">
              <w:rPr>
                <w:sz w:val="24"/>
              </w:rPr>
              <w:t>‘38 An entity shall present a non-current asset classified as held for sale and the assets of a disposal group classified as held for sale separately from other assets in the statement of financial position….’</w:t>
            </w:r>
          </w:p>
        </w:tc>
      </w:tr>
      <w:tr w:rsidR="000044FF" w:rsidRPr="00EA1A7B" w14:paraId="3787D652" w14:textId="77777777">
        <w:tc>
          <w:tcPr>
            <w:tcW w:w="9639" w:type="dxa"/>
            <w:shd w:val="clear" w:color="auto" w:fill="F2F2F2" w:themeFill="background1" w:themeFillShade="F2"/>
          </w:tcPr>
          <w:p w14:paraId="0DBA1A19" w14:textId="77777777" w:rsidR="000044FF" w:rsidRPr="00217B29" w:rsidRDefault="000044FF" w:rsidP="00691094">
            <w:pPr>
              <w:pStyle w:val="TableContent"/>
              <w:rPr>
                <w:b/>
                <w:bCs/>
                <w:sz w:val="24"/>
              </w:rPr>
            </w:pPr>
            <w:r w:rsidRPr="00217B29">
              <w:rPr>
                <w:b/>
                <w:bCs/>
                <w:sz w:val="24"/>
              </w:rPr>
              <w:t>Interpretation (AASB 2022: 11)</w:t>
            </w:r>
          </w:p>
        </w:tc>
      </w:tr>
      <w:tr w:rsidR="000044FF" w:rsidRPr="001D287F" w14:paraId="3CB2FCED" w14:textId="77777777">
        <w:tc>
          <w:tcPr>
            <w:tcW w:w="9639" w:type="dxa"/>
          </w:tcPr>
          <w:p w14:paraId="7135EC31" w14:textId="77777777" w:rsidR="000044FF" w:rsidRPr="00691094" w:rsidRDefault="000044FF" w:rsidP="00691094">
            <w:pPr>
              <w:pStyle w:val="TableContent"/>
              <w:rPr>
                <w:sz w:val="24"/>
              </w:rPr>
            </w:pPr>
            <w:r w:rsidRPr="00691094">
              <w:rPr>
                <w:sz w:val="24"/>
              </w:rPr>
              <w:t xml:space="preserve">Such assets are disclosed separately in the Statement of Financial position under the heading: ‘Current Assets’. The notes to the financial statements should provide further disclose as specified in AASB 5 Non-current Assets Held for Sale and Discontinued Operations (2022: 11, par. 41) </w:t>
            </w:r>
            <w:r w:rsidRPr="00691094">
              <w:rPr>
                <w:sz w:val="24"/>
                <w:vertAlign w:val="superscript"/>
              </w:rPr>
              <w:t xml:space="preserve"> </w:t>
            </w:r>
          </w:p>
        </w:tc>
      </w:tr>
    </w:tbl>
    <w:p w14:paraId="793E7834" w14:textId="77777777" w:rsidR="000044FF" w:rsidRDefault="000044FF" w:rsidP="000044FF">
      <w:pPr>
        <w:spacing w:after="160" w:line="278" w:lineRule="auto"/>
        <w:rPr>
          <w:rFonts w:ascii="Arial Rounded MT Bold" w:eastAsiaTheme="majorEastAsia" w:hAnsi="Arial Rounded MT Bold" w:cstheme="majorBidi"/>
          <w:sz w:val="30"/>
          <w:szCs w:val="30"/>
        </w:rPr>
      </w:pPr>
      <w:bookmarkStart w:id="116" w:name="_Toc170118989"/>
      <w:r>
        <w:br w:type="page"/>
      </w:r>
    </w:p>
    <w:p w14:paraId="6C96530E" w14:textId="77777777" w:rsidR="000044FF" w:rsidRPr="00EF13B1" w:rsidRDefault="000044FF" w:rsidP="000044FF">
      <w:pPr>
        <w:pStyle w:val="Heading2"/>
        <w:rPr>
          <w:b w:val="0"/>
          <w:bCs w:val="0"/>
        </w:rPr>
      </w:pPr>
      <w:bookmarkStart w:id="117" w:name="_Toc207722756"/>
      <w:bookmarkStart w:id="118" w:name="_Toc223445089"/>
      <w:r w:rsidRPr="00EF13B1">
        <w:lastRenderedPageBreak/>
        <w:t>AASB 137 Provisions, Contingent Liabilities and Contingent Assets (2022)</w:t>
      </w:r>
      <w:bookmarkEnd w:id="117"/>
      <w:bookmarkEnd w:id="118"/>
    </w:p>
    <w:p w14:paraId="5DFD3D24" w14:textId="77777777" w:rsidR="000044FF" w:rsidRPr="00EF13B1" w:rsidRDefault="000044FF" w:rsidP="00AF5E7A">
      <w:pPr>
        <w:pStyle w:val="Heading4"/>
      </w:pPr>
      <w:r w:rsidRPr="00EF13B1">
        <w:t>Definitions</w:t>
      </w:r>
    </w:p>
    <w:p w14:paraId="571F6E0F" w14:textId="77777777" w:rsidR="000044FF" w:rsidRPr="00EF13B1" w:rsidRDefault="000044FF" w:rsidP="00D70B5C">
      <w:pPr>
        <w:pStyle w:val="BodyText"/>
      </w:pPr>
      <w:r w:rsidRPr="00EF13B1">
        <w:t xml:space="preserve">AASB 137 Provisions, Contingent Liabilities and Contingent Assets (2022) defines relevant terms as follows: </w:t>
      </w:r>
    </w:p>
    <w:tbl>
      <w:tblPr>
        <w:tblStyle w:val="TableGrid"/>
        <w:tblW w:w="9639" w:type="dxa"/>
        <w:tblLook w:val="04A0" w:firstRow="1" w:lastRow="0" w:firstColumn="1" w:lastColumn="0" w:noHBand="0" w:noVBand="1"/>
      </w:tblPr>
      <w:tblGrid>
        <w:gridCol w:w="9639"/>
      </w:tblGrid>
      <w:tr w:rsidR="000044FF" w:rsidRPr="00EF13B1" w14:paraId="5F188E6B" w14:textId="77777777">
        <w:trPr>
          <w:tblHeader/>
        </w:trPr>
        <w:tc>
          <w:tcPr>
            <w:tcW w:w="9072" w:type="dxa"/>
            <w:shd w:val="clear" w:color="auto" w:fill="F2F2F2" w:themeFill="background1" w:themeFillShade="F2"/>
          </w:tcPr>
          <w:p w14:paraId="6BCE2970" w14:textId="77777777" w:rsidR="000044FF" w:rsidRPr="006F2FA8" w:rsidRDefault="000044FF" w:rsidP="006F2FA8">
            <w:pPr>
              <w:pStyle w:val="TableContent"/>
              <w:rPr>
                <w:b/>
                <w:bCs/>
                <w:sz w:val="24"/>
              </w:rPr>
            </w:pPr>
            <w:r w:rsidRPr="006F2FA8">
              <w:rPr>
                <w:b/>
                <w:bCs/>
                <w:sz w:val="24"/>
              </w:rPr>
              <w:t>(AASB 2022: 7)</w:t>
            </w:r>
          </w:p>
        </w:tc>
      </w:tr>
      <w:tr w:rsidR="000044FF" w:rsidRPr="00EF13B1" w14:paraId="4CE3764E" w14:textId="77777777">
        <w:tc>
          <w:tcPr>
            <w:tcW w:w="9072" w:type="dxa"/>
            <w:tcBorders>
              <w:bottom w:val="single" w:sz="4" w:space="0" w:color="auto"/>
            </w:tcBorders>
          </w:tcPr>
          <w:p w14:paraId="4C1C8BE4" w14:textId="5FA06BA3" w:rsidR="000044FF" w:rsidRPr="00F4600C" w:rsidRDefault="000044FF" w:rsidP="006F2FA8">
            <w:pPr>
              <w:pStyle w:val="TableContent"/>
              <w:rPr>
                <w:sz w:val="24"/>
              </w:rPr>
            </w:pPr>
            <w:r w:rsidRPr="00F4600C">
              <w:rPr>
                <w:sz w:val="24"/>
              </w:rPr>
              <w:t xml:space="preserve">‘10 The following terms are used in this Standard with the meanings specified: </w:t>
            </w:r>
          </w:p>
          <w:p w14:paraId="7E2F8EAE" w14:textId="77777777" w:rsidR="000044FF" w:rsidRPr="00F4600C" w:rsidRDefault="000044FF" w:rsidP="009E4980">
            <w:pPr>
              <w:pStyle w:val="TableContent"/>
              <w:ind w:left="794" w:hanging="397"/>
              <w:rPr>
                <w:sz w:val="24"/>
              </w:rPr>
            </w:pPr>
            <w:r w:rsidRPr="00F4600C">
              <w:rPr>
                <w:sz w:val="24"/>
              </w:rPr>
              <w:t xml:space="preserve">A </w:t>
            </w:r>
            <w:r w:rsidRPr="00F4600C">
              <w:rPr>
                <w:i/>
                <w:iCs/>
                <w:sz w:val="24"/>
              </w:rPr>
              <w:t>provision</w:t>
            </w:r>
            <w:r w:rsidRPr="00F4600C">
              <w:rPr>
                <w:sz w:val="24"/>
              </w:rPr>
              <w:t xml:space="preserve"> is a liability of uncertain timing or amount. </w:t>
            </w:r>
          </w:p>
          <w:p w14:paraId="018195C9" w14:textId="77777777" w:rsidR="000044FF" w:rsidRPr="00F4600C" w:rsidRDefault="000044FF" w:rsidP="009E4980">
            <w:pPr>
              <w:pStyle w:val="TableContent"/>
              <w:ind w:left="397"/>
              <w:rPr>
                <w:sz w:val="24"/>
              </w:rPr>
            </w:pPr>
            <w:r w:rsidRPr="00F4600C">
              <w:rPr>
                <w:sz w:val="24"/>
              </w:rPr>
              <w:t xml:space="preserve">A </w:t>
            </w:r>
            <w:r w:rsidRPr="00F4600C">
              <w:rPr>
                <w:i/>
                <w:iCs/>
                <w:sz w:val="24"/>
              </w:rPr>
              <w:t xml:space="preserve">liability </w:t>
            </w:r>
            <w:r w:rsidRPr="00F4600C">
              <w:rPr>
                <w:sz w:val="24"/>
              </w:rPr>
              <w:t xml:space="preserve">is a present obligation of the entity arising from past events, the settlement of which is expected to result in an outflow from the entity of resources embodying economic benefits. </w:t>
            </w:r>
          </w:p>
          <w:p w14:paraId="635BFB23" w14:textId="77777777" w:rsidR="000044FF" w:rsidRPr="00F4600C" w:rsidRDefault="000044FF" w:rsidP="009E4980">
            <w:pPr>
              <w:pStyle w:val="TableContent"/>
              <w:ind w:left="397"/>
              <w:rPr>
                <w:sz w:val="24"/>
              </w:rPr>
            </w:pPr>
            <w:r w:rsidRPr="00F4600C">
              <w:rPr>
                <w:sz w:val="24"/>
              </w:rPr>
              <w:t xml:space="preserve">An </w:t>
            </w:r>
            <w:r w:rsidRPr="00F4600C">
              <w:rPr>
                <w:i/>
                <w:iCs/>
                <w:sz w:val="24"/>
              </w:rPr>
              <w:t>obligating event</w:t>
            </w:r>
            <w:r w:rsidRPr="00F4600C">
              <w:rPr>
                <w:sz w:val="24"/>
              </w:rPr>
              <w:t xml:space="preserve"> is an event that creates a legal or constructive obligation that results in an entity having no realistic alternative to settling that obligation. </w:t>
            </w:r>
          </w:p>
          <w:p w14:paraId="5ABE539E" w14:textId="77777777" w:rsidR="000044FF" w:rsidRPr="00F4600C" w:rsidRDefault="000044FF" w:rsidP="009E4980">
            <w:pPr>
              <w:pStyle w:val="TableContent"/>
              <w:ind w:left="794" w:hanging="397"/>
              <w:rPr>
                <w:sz w:val="24"/>
              </w:rPr>
            </w:pPr>
            <w:r w:rsidRPr="00F4600C">
              <w:rPr>
                <w:sz w:val="24"/>
              </w:rPr>
              <w:t xml:space="preserve">A </w:t>
            </w:r>
            <w:r w:rsidRPr="00F4600C">
              <w:rPr>
                <w:i/>
                <w:iCs/>
                <w:sz w:val="24"/>
              </w:rPr>
              <w:t>legal obligation</w:t>
            </w:r>
            <w:r w:rsidRPr="00F4600C">
              <w:rPr>
                <w:sz w:val="24"/>
              </w:rPr>
              <w:t xml:space="preserve"> is an obligation that derives from: </w:t>
            </w:r>
          </w:p>
          <w:p w14:paraId="529ABAE6" w14:textId="77777777" w:rsidR="000044FF" w:rsidRPr="00F4600C" w:rsidRDefault="000044FF" w:rsidP="009E4980">
            <w:pPr>
              <w:pStyle w:val="TableContent"/>
              <w:ind w:left="794" w:hanging="397"/>
              <w:rPr>
                <w:sz w:val="24"/>
              </w:rPr>
            </w:pPr>
            <w:r w:rsidRPr="00F4600C">
              <w:rPr>
                <w:sz w:val="24"/>
              </w:rPr>
              <w:t>(a) a contract (through its explicit or implicit terms</w:t>
            </w:r>
            <w:proofErr w:type="gramStart"/>
            <w:r w:rsidRPr="00F4600C">
              <w:rPr>
                <w:sz w:val="24"/>
              </w:rPr>
              <w:t>);</w:t>
            </w:r>
            <w:proofErr w:type="gramEnd"/>
            <w:r w:rsidRPr="00F4600C">
              <w:rPr>
                <w:sz w:val="24"/>
              </w:rPr>
              <w:t xml:space="preserve"> </w:t>
            </w:r>
          </w:p>
          <w:p w14:paraId="1500F5FB" w14:textId="77777777" w:rsidR="000044FF" w:rsidRPr="00F4600C" w:rsidRDefault="000044FF" w:rsidP="009E4980">
            <w:pPr>
              <w:pStyle w:val="TableContent"/>
              <w:ind w:left="794" w:hanging="397"/>
              <w:rPr>
                <w:sz w:val="24"/>
              </w:rPr>
            </w:pPr>
            <w:r w:rsidRPr="00F4600C">
              <w:rPr>
                <w:sz w:val="24"/>
              </w:rPr>
              <w:t xml:space="preserve">(b) legislation; or </w:t>
            </w:r>
          </w:p>
          <w:p w14:paraId="60E94B4A" w14:textId="77777777" w:rsidR="000044FF" w:rsidRPr="00F4600C" w:rsidRDefault="000044FF" w:rsidP="009E4980">
            <w:pPr>
              <w:pStyle w:val="TableContent"/>
              <w:ind w:left="794" w:hanging="397"/>
              <w:rPr>
                <w:sz w:val="24"/>
              </w:rPr>
            </w:pPr>
            <w:r w:rsidRPr="00F4600C">
              <w:rPr>
                <w:sz w:val="24"/>
              </w:rPr>
              <w:t xml:space="preserve">(c) other operation of law. </w:t>
            </w:r>
          </w:p>
          <w:p w14:paraId="70FA3D0E" w14:textId="77777777" w:rsidR="000044FF" w:rsidRPr="00F4600C" w:rsidRDefault="000044FF" w:rsidP="00D02002">
            <w:pPr>
              <w:pStyle w:val="TableContent"/>
              <w:ind w:left="397"/>
              <w:rPr>
                <w:sz w:val="24"/>
              </w:rPr>
            </w:pPr>
            <w:r w:rsidRPr="00F4600C">
              <w:rPr>
                <w:sz w:val="24"/>
              </w:rPr>
              <w:t xml:space="preserve">A </w:t>
            </w:r>
            <w:r w:rsidRPr="00F4600C">
              <w:rPr>
                <w:i/>
                <w:iCs/>
                <w:sz w:val="24"/>
              </w:rPr>
              <w:t>constructive obligation</w:t>
            </w:r>
            <w:r w:rsidRPr="00F4600C">
              <w:rPr>
                <w:sz w:val="24"/>
              </w:rPr>
              <w:t xml:space="preserve"> is an obligation that derives from an entity’s actions where: </w:t>
            </w:r>
          </w:p>
          <w:p w14:paraId="4B0546DC" w14:textId="77777777" w:rsidR="000044FF" w:rsidRPr="00F4600C" w:rsidRDefault="000044FF" w:rsidP="009E4980">
            <w:pPr>
              <w:pStyle w:val="TableContent"/>
              <w:ind w:left="794" w:hanging="397"/>
              <w:rPr>
                <w:sz w:val="24"/>
              </w:rPr>
            </w:pPr>
            <w:r w:rsidRPr="00F4600C">
              <w:rPr>
                <w:sz w:val="24"/>
              </w:rPr>
              <w:t xml:space="preserve">(a) by an established pattern of past practice, published policies or a sufficiently specific current statement, the entity has indicated to other parties that it will accept certain responsibilities; and </w:t>
            </w:r>
          </w:p>
          <w:p w14:paraId="247C3AAB" w14:textId="77777777" w:rsidR="000044FF" w:rsidRPr="006F2FA8" w:rsidRDefault="000044FF" w:rsidP="009E4980">
            <w:pPr>
              <w:pStyle w:val="TableContent"/>
              <w:ind w:left="794" w:hanging="397"/>
              <w:rPr>
                <w:sz w:val="24"/>
              </w:rPr>
            </w:pPr>
            <w:r w:rsidRPr="00F4600C">
              <w:rPr>
                <w:sz w:val="24"/>
              </w:rPr>
              <w:t>(b) as a result, the entity has created a valid expectation on the part of those other parties that it will discharge those responsibilities.’</w:t>
            </w:r>
          </w:p>
        </w:tc>
      </w:tr>
      <w:tr w:rsidR="000044FF" w:rsidRPr="00EF13B1" w14:paraId="6FDE849E" w14:textId="77777777">
        <w:trPr>
          <w:tblHeader/>
        </w:trPr>
        <w:tc>
          <w:tcPr>
            <w:tcW w:w="9072" w:type="dxa"/>
            <w:shd w:val="clear" w:color="auto" w:fill="F2F2F2" w:themeFill="background1" w:themeFillShade="F2"/>
          </w:tcPr>
          <w:p w14:paraId="4D3E736A" w14:textId="77777777" w:rsidR="000044FF" w:rsidRPr="006F2FA8" w:rsidRDefault="000044FF" w:rsidP="006F2FA8">
            <w:pPr>
              <w:pStyle w:val="TableContent"/>
              <w:rPr>
                <w:b/>
                <w:bCs/>
                <w:sz w:val="24"/>
              </w:rPr>
            </w:pPr>
            <w:r w:rsidRPr="006F2FA8">
              <w:rPr>
                <w:b/>
                <w:bCs/>
                <w:sz w:val="24"/>
              </w:rPr>
              <w:t>Interpretation (AASB 2022: 7)</w:t>
            </w:r>
          </w:p>
        </w:tc>
      </w:tr>
      <w:tr w:rsidR="000044FF" w:rsidRPr="00EF13B1" w14:paraId="01966AF9" w14:textId="77777777">
        <w:tc>
          <w:tcPr>
            <w:tcW w:w="9072" w:type="dxa"/>
          </w:tcPr>
          <w:p w14:paraId="46929CCE" w14:textId="77777777" w:rsidR="000044FF" w:rsidRPr="006F2FA8" w:rsidRDefault="000044FF" w:rsidP="006F2FA8">
            <w:pPr>
              <w:pStyle w:val="TableContent"/>
              <w:rPr>
                <w:sz w:val="24"/>
              </w:rPr>
            </w:pPr>
            <w:r w:rsidRPr="006F2FA8">
              <w:rPr>
                <w:sz w:val="24"/>
              </w:rPr>
              <w:t>These definitions explain the characteristics of terms used.</w:t>
            </w:r>
          </w:p>
        </w:tc>
      </w:tr>
    </w:tbl>
    <w:p w14:paraId="029287A9" w14:textId="77777777" w:rsidR="000044FF" w:rsidRPr="00EF13B1" w:rsidRDefault="000044FF" w:rsidP="00AF5E7A">
      <w:pPr>
        <w:pStyle w:val="Heading4"/>
      </w:pPr>
      <w:r w:rsidRPr="00EF13B1">
        <w:t>Recognition of provisions</w:t>
      </w:r>
    </w:p>
    <w:p w14:paraId="4A6B1086" w14:textId="77777777" w:rsidR="000044FF" w:rsidRPr="00EF13B1" w:rsidRDefault="000044FF" w:rsidP="00D70B5C">
      <w:pPr>
        <w:pStyle w:val="BodyText"/>
      </w:pPr>
      <w:r w:rsidRPr="00EF13B1">
        <w:t>AASB 137 Provisions, Contingent Liabilities and Contingent Assets (2022) states regarding recognition of provisions:</w:t>
      </w:r>
    </w:p>
    <w:tbl>
      <w:tblPr>
        <w:tblStyle w:val="TableGrid"/>
        <w:tblW w:w="9639" w:type="dxa"/>
        <w:tblLook w:val="04A0" w:firstRow="1" w:lastRow="0" w:firstColumn="1" w:lastColumn="0" w:noHBand="0" w:noVBand="1"/>
      </w:tblPr>
      <w:tblGrid>
        <w:gridCol w:w="9607"/>
        <w:gridCol w:w="32"/>
      </w:tblGrid>
      <w:tr w:rsidR="000044FF" w:rsidRPr="00EF13B1" w14:paraId="413DEB1D" w14:textId="77777777" w:rsidTr="00422282">
        <w:trPr>
          <w:tblHeader/>
        </w:trPr>
        <w:tc>
          <w:tcPr>
            <w:tcW w:w="9639" w:type="dxa"/>
            <w:gridSpan w:val="2"/>
            <w:tcBorders>
              <w:bottom w:val="single" w:sz="4" w:space="0" w:color="auto"/>
            </w:tcBorders>
            <w:shd w:val="clear" w:color="auto" w:fill="F2F2F2" w:themeFill="background1" w:themeFillShade="F2"/>
          </w:tcPr>
          <w:p w14:paraId="0865B784" w14:textId="2BA5376A" w:rsidR="000044FF" w:rsidRPr="008B7813" w:rsidRDefault="000044FF" w:rsidP="00D02002">
            <w:pPr>
              <w:pStyle w:val="TableContent"/>
              <w:rPr>
                <w:b/>
                <w:bCs/>
                <w:sz w:val="24"/>
              </w:rPr>
            </w:pPr>
            <w:r w:rsidRPr="008B7813">
              <w:rPr>
                <w:b/>
                <w:bCs/>
                <w:sz w:val="24"/>
              </w:rPr>
              <w:t>(AASB 2022: 8</w:t>
            </w:r>
            <w:r w:rsidR="008B7813" w:rsidRPr="008B7813">
              <w:rPr>
                <w:b/>
                <w:bCs/>
                <w:sz w:val="24"/>
              </w:rPr>
              <w:t>-9</w:t>
            </w:r>
            <w:r w:rsidRPr="008B7813">
              <w:rPr>
                <w:b/>
                <w:bCs/>
                <w:sz w:val="24"/>
              </w:rPr>
              <w:t xml:space="preserve">) </w:t>
            </w:r>
          </w:p>
        </w:tc>
      </w:tr>
      <w:tr w:rsidR="000044FF" w:rsidRPr="00EF13B1" w14:paraId="6E2E8A04" w14:textId="77777777" w:rsidTr="00422282">
        <w:tc>
          <w:tcPr>
            <w:tcW w:w="9639" w:type="dxa"/>
            <w:gridSpan w:val="2"/>
            <w:tcBorders>
              <w:bottom w:val="single" w:sz="4" w:space="0" w:color="auto"/>
            </w:tcBorders>
          </w:tcPr>
          <w:p w14:paraId="7F719F28" w14:textId="7F6C56B6" w:rsidR="000044FF" w:rsidRPr="00F4600C" w:rsidRDefault="000044FF" w:rsidP="00D02002">
            <w:pPr>
              <w:pStyle w:val="TableContent"/>
              <w:rPr>
                <w:color w:val="000000"/>
                <w:sz w:val="24"/>
              </w:rPr>
            </w:pPr>
            <w:r w:rsidRPr="00F4600C">
              <w:rPr>
                <w:i/>
                <w:iCs/>
                <w:color w:val="000000"/>
                <w:sz w:val="24"/>
              </w:rPr>
              <w:t>‘</w:t>
            </w:r>
            <w:r w:rsidRPr="00F4600C">
              <w:rPr>
                <w:color w:val="000000"/>
                <w:sz w:val="24"/>
              </w:rPr>
              <w:t xml:space="preserve">14 A </w:t>
            </w:r>
            <w:r w:rsidRPr="00F4600C">
              <w:rPr>
                <w:i/>
                <w:iCs/>
                <w:color w:val="000000"/>
                <w:sz w:val="24"/>
              </w:rPr>
              <w:t>provision</w:t>
            </w:r>
            <w:r w:rsidRPr="00F4600C">
              <w:rPr>
                <w:color w:val="000000"/>
                <w:sz w:val="24"/>
              </w:rPr>
              <w:t xml:space="preserve"> shall be recognised when: </w:t>
            </w:r>
          </w:p>
          <w:p w14:paraId="44F3C9C0" w14:textId="77777777" w:rsidR="000044FF" w:rsidRPr="00F4600C" w:rsidRDefault="000044FF" w:rsidP="007D0083">
            <w:pPr>
              <w:pStyle w:val="TableContent"/>
              <w:ind w:left="794" w:hanging="397"/>
              <w:rPr>
                <w:color w:val="000000"/>
                <w:sz w:val="24"/>
              </w:rPr>
            </w:pPr>
            <w:r w:rsidRPr="00F4600C">
              <w:rPr>
                <w:color w:val="000000"/>
                <w:sz w:val="24"/>
              </w:rPr>
              <w:t xml:space="preserve">(a) an entity has a present obligation (legal or constructive) </w:t>
            </w:r>
            <w:proofErr w:type="gramStart"/>
            <w:r w:rsidRPr="00F4600C">
              <w:rPr>
                <w:color w:val="000000"/>
                <w:sz w:val="24"/>
              </w:rPr>
              <w:t>as a result of</w:t>
            </w:r>
            <w:proofErr w:type="gramEnd"/>
            <w:r w:rsidRPr="00F4600C">
              <w:rPr>
                <w:color w:val="000000"/>
                <w:sz w:val="24"/>
              </w:rPr>
              <w:t xml:space="preserve"> a past </w:t>
            </w:r>
            <w:proofErr w:type="gramStart"/>
            <w:r w:rsidRPr="00F4600C">
              <w:rPr>
                <w:color w:val="000000"/>
                <w:sz w:val="24"/>
              </w:rPr>
              <w:t>event;</w:t>
            </w:r>
            <w:proofErr w:type="gramEnd"/>
            <w:r w:rsidRPr="00F4600C">
              <w:rPr>
                <w:color w:val="000000"/>
                <w:sz w:val="24"/>
              </w:rPr>
              <w:t xml:space="preserve"> </w:t>
            </w:r>
          </w:p>
          <w:p w14:paraId="578FAD48" w14:textId="77777777" w:rsidR="000044FF" w:rsidRPr="00F4600C" w:rsidRDefault="000044FF" w:rsidP="007D0083">
            <w:pPr>
              <w:pStyle w:val="TableContent"/>
              <w:ind w:left="794" w:hanging="397"/>
              <w:rPr>
                <w:color w:val="000000"/>
                <w:sz w:val="24"/>
              </w:rPr>
            </w:pPr>
            <w:r w:rsidRPr="00F4600C">
              <w:rPr>
                <w:color w:val="000000"/>
                <w:sz w:val="24"/>
              </w:rPr>
              <w:t xml:space="preserve">(b) it is probable that an outflow of resources embodying economic benefits will be required to settle the obligation; and </w:t>
            </w:r>
          </w:p>
          <w:p w14:paraId="3DF77787" w14:textId="77777777" w:rsidR="000044FF" w:rsidRPr="00F4600C" w:rsidRDefault="000044FF" w:rsidP="007D0083">
            <w:pPr>
              <w:pStyle w:val="TableContent"/>
              <w:ind w:left="794" w:hanging="397"/>
              <w:rPr>
                <w:color w:val="000000"/>
                <w:sz w:val="24"/>
              </w:rPr>
            </w:pPr>
            <w:r w:rsidRPr="00F4600C">
              <w:rPr>
                <w:color w:val="000000"/>
                <w:sz w:val="24"/>
              </w:rPr>
              <w:lastRenderedPageBreak/>
              <w:t xml:space="preserve">(c) a reliable estimate can be made of the amount of the obligation. </w:t>
            </w:r>
          </w:p>
          <w:p w14:paraId="59B13DC0" w14:textId="75EA9456" w:rsidR="000044FF" w:rsidRPr="00F4600C" w:rsidRDefault="000044FF" w:rsidP="007D0083">
            <w:pPr>
              <w:pStyle w:val="TableContent"/>
              <w:ind w:left="397" w:hanging="397"/>
              <w:rPr>
                <w:color w:val="000000"/>
                <w:sz w:val="24"/>
              </w:rPr>
            </w:pPr>
            <w:r w:rsidRPr="00F4600C">
              <w:rPr>
                <w:color w:val="000000"/>
                <w:sz w:val="24"/>
              </w:rPr>
              <w:t>If these conditions are not met, no provision shall be recognised.</w:t>
            </w:r>
          </w:p>
          <w:p w14:paraId="6F1405C7" w14:textId="43499E3A" w:rsidR="000044FF" w:rsidRPr="00BA1F7C" w:rsidRDefault="00BA1F7C" w:rsidP="00C43590">
            <w:pPr>
              <w:pStyle w:val="TableContent"/>
              <w:ind w:left="397" w:hanging="397"/>
              <w:rPr>
                <w:sz w:val="24"/>
              </w:rPr>
            </w:pPr>
            <w:r w:rsidRPr="00F4600C">
              <w:rPr>
                <w:color w:val="000000"/>
                <w:sz w:val="24"/>
              </w:rPr>
              <w:t>15 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tc>
      </w:tr>
      <w:tr w:rsidR="000044FF" w:rsidRPr="00EF13B1" w14:paraId="71612107" w14:textId="77777777" w:rsidTr="00422282">
        <w:trPr>
          <w:gridAfter w:val="1"/>
          <w:wAfter w:w="32" w:type="dxa"/>
        </w:trPr>
        <w:tc>
          <w:tcPr>
            <w:tcW w:w="9607" w:type="dxa"/>
            <w:tcBorders>
              <w:bottom w:val="single" w:sz="4" w:space="0" w:color="auto"/>
            </w:tcBorders>
            <w:shd w:val="clear" w:color="auto" w:fill="F2F2F2" w:themeFill="background1" w:themeFillShade="F2"/>
          </w:tcPr>
          <w:p w14:paraId="4FAB1568" w14:textId="77777777" w:rsidR="000044FF" w:rsidRPr="00DE03EB" w:rsidRDefault="000044FF" w:rsidP="00DE03EB">
            <w:pPr>
              <w:pStyle w:val="TableContent"/>
              <w:rPr>
                <w:b/>
                <w:bCs/>
                <w:sz w:val="24"/>
              </w:rPr>
            </w:pPr>
            <w:r w:rsidRPr="00DE03EB">
              <w:rPr>
                <w:b/>
                <w:bCs/>
                <w:sz w:val="24"/>
              </w:rPr>
              <w:t>Interpretation (AASB 2022: 8-9)</w:t>
            </w:r>
          </w:p>
        </w:tc>
      </w:tr>
      <w:tr w:rsidR="000044FF" w:rsidRPr="00EF13B1" w14:paraId="7CF0B64C" w14:textId="77777777" w:rsidTr="00422282">
        <w:trPr>
          <w:gridAfter w:val="1"/>
          <w:wAfter w:w="32" w:type="dxa"/>
        </w:trPr>
        <w:tc>
          <w:tcPr>
            <w:tcW w:w="9607" w:type="dxa"/>
          </w:tcPr>
          <w:p w14:paraId="363CF91D" w14:textId="77777777" w:rsidR="000044FF" w:rsidRPr="00DE03EB" w:rsidRDefault="000044FF" w:rsidP="00DE03EB">
            <w:pPr>
              <w:pStyle w:val="TableContent"/>
              <w:rPr>
                <w:sz w:val="24"/>
              </w:rPr>
            </w:pPr>
            <w:r w:rsidRPr="00DE03EB">
              <w:rPr>
                <w:sz w:val="24"/>
              </w:rPr>
              <w:t xml:space="preserve">This can be best explained by means of an example: </w:t>
            </w:r>
          </w:p>
          <w:p w14:paraId="5C2D92D8" w14:textId="3AD34F92" w:rsidR="000044FF" w:rsidRPr="00DE03EB" w:rsidRDefault="000044FF" w:rsidP="00DE03EB">
            <w:pPr>
              <w:pStyle w:val="TableContent"/>
              <w:rPr>
                <w:sz w:val="24"/>
              </w:rPr>
            </w:pPr>
            <w:r w:rsidRPr="00DE03EB">
              <w:rPr>
                <w:sz w:val="24"/>
              </w:rPr>
              <w:t xml:space="preserve">The Environmental Protection Authority (EPA) may have granted a licence to a local government to operate a landfill. Such a licence will obligate the local government to rehabilitate the landfill site at the end of its operations (when the landfill is full). Consequently, it is a ‘present </w:t>
            </w:r>
            <w:proofErr w:type="gramStart"/>
            <w:r w:rsidRPr="00DE03EB">
              <w:rPr>
                <w:sz w:val="24"/>
              </w:rPr>
              <w:t>obligation‘ (</w:t>
            </w:r>
            <w:proofErr w:type="gramEnd"/>
            <w:r w:rsidRPr="00DE03EB">
              <w:rPr>
                <w:sz w:val="24"/>
              </w:rPr>
              <w:t>legally enforceable)</w:t>
            </w:r>
            <w:r w:rsidR="00F4600C">
              <w:rPr>
                <w:sz w:val="24"/>
              </w:rPr>
              <w:t xml:space="preserve"> </w:t>
            </w:r>
            <w:r w:rsidRPr="00DE03EB">
              <w:rPr>
                <w:sz w:val="24"/>
              </w:rPr>
              <w:t xml:space="preserve">which results from a ‘past event’. </w:t>
            </w:r>
          </w:p>
          <w:p w14:paraId="5B6742FB" w14:textId="77777777" w:rsidR="000044FF" w:rsidRPr="00DE03EB" w:rsidRDefault="000044FF" w:rsidP="00DE03EB">
            <w:pPr>
              <w:pStyle w:val="TableContent"/>
              <w:rPr>
                <w:sz w:val="24"/>
              </w:rPr>
            </w:pPr>
            <w:r w:rsidRPr="00DE03EB">
              <w:rPr>
                <w:sz w:val="24"/>
              </w:rPr>
              <w:t xml:space="preserve">The local government will incur costs to rehabilitate the site at the end of its operations which will result in an ‘outflow of resources embodying economic benefits’. </w:t>
            </w:r>
          </w:p>
          <w:p w14:paraId="23818136" w14:textId="5CD375BA" w:rsidR="000044FF" w:rsidRPr="00DE03EB" w:rsidRDefault="000044FF" w:rsidP="00DE03EB">
            <w:pPr>
              <w:pStyle w:val="TableContent"/>
              <w:rPr>
                <w:sz w:val="24"/>
              </w:rPr>
            </w:pPr>
            <w:r w:rsidRPr="00DE03EB">
              <w:rPr>
                <w:sz w:val="24"/>
              </w:rPr>
              <w:t xml:space="preserve">Rehabilitation of the landfill site will only commence when the landfill is full. In other words, an estimate will have to be made of the future expenditure that the local government will incur. In other words, it is an ‘accounting estimate’ (AASB 108 Accounting Policies, Changes in Accounting Estimates and Errors 2021: 5, par. 5). </w:t>
            </w:r>
          </w:p>
          <w:p w14:paraId="3A46A8EB" w14:textId="77777777" w:rsidR="000044FF" w:rsidRPr="00DE03EB" w:rsidRDefault="000044FF" w:rsidP="00DE03EB">
            <w:pPr>
              <w:pStyle w:val="TableContent"/>
              <w:rPr>
                <w:sz w:val="24"/>
              </w:rPr>
            </w:pPr>
            <w:r w:rsidRPr="00DE03EB">
              <w:rPr>
                <w:sz w:val="24"/>
              </w:rPr>
              <w:t xml:space="preserve">AASB 108 further states: </w:t>
            </w:r>
          </w:p>
          <w:p w14:paraId="43CB10F8" w14:textId="77777777" w:rsidR="000044FF" w:rsidRPr="00DE03EB" w:rsidRDefault="000044FF" w:rsidP="009946BD">
            <w:pPr>
              <w:pStyle w:val="TableContent"/>
              <w:ind w:left="454" w:hanging="454"/>
              <w:rPr>
                <w:color w:val="000000"/>
                <w:sz w:val="24"/>
              </w:rPr>
            </w:pPr>
            <w:r w:rsidRPr="00DE03EB">
              <w:rPr>
                <w:color w:val="000000"/>
                <w:sz w:val="24"/>
              </w:rPr>
              <w:t>‘33 The use of reasonable estimates is an essential part of the preparation of financial statements and does not undermine their reliability.’</w:t>
            </w:r>
          </w:p>
          <w:p w14:paraId="6056CC83" w14:textId="77777777" w:rsidR="000044FF" w:rsidRPr="00DE03EB" w:rsidRDefault="000044FF" w:rsidP="00DE03EB">
            <w:pPr>
              <w:pStyle w:val="TableContent"/>
              <w:rPr>
                <w:sz w:val="24"/>
                <w:highlight w:val="yellow"/>
              </w:rPr>
            </w:pPr>
            <w:r w:rsidRPr="00DE03EB">
              <w:rPr>
                <w:color w:val="000000"/>
                <w:sz w:val="24"/>
              </w:rPr>
              <w:t>(AASB 2021:10)</w:t>
            </w:r>
          </w:p>
        </w:tc>
      </w:tr>
    </w:tbl>
    <w:p w14:paraId="398E735A" w14:textId="77777777" w:rsidR="000044FF" w:rsidRPr="00EF13B1" w:rsidRDefault="000044FF" w:rsidP="00AF5E7A">
      <w:pPr>
        <w:pStyle w:val="Heading4"/>
      </w:pPr>
      <w:r w:rsidRPr="00EF13B1">
        <w:t>Measurement of a provision</w:t>
      </w:r>
    </w:p>
    <w:p w14:paraId="28EC1359" w14:textId="77777777" w:rsidR="000044FF" w:rsidRPr="00EF13B1" w:rsidRDefault="000044FF" w:rsidP="00D70B5C">
      <w:pPr>
        <w:pStyle w:val="BodyText"/>
      </w:pPr>
      <w:r w:rsidRPr="00EF13B1">
        <w:t xml:space="preserve">AASB 137 Provisions, Contingent Liabilities and Contingent Assets (2022 states regarding measurement of a provision: </w:t>
      </w:r>
    </w:p>
    <w:tbl>
      <w:tblPr>
        <w:tblStyle w:val="TableGrid"/>
        <w:tblW w:w="9639" w:type="dxa"/>
        <w:tblLook w:val="04A0" w:firstRow="1" w:lastRow="0" w:firstColumn="1" w:lastColumn="0" w:noHBand="0" w:noVBand="1"/>
      </w:tblPr>
      <w:tblGrid>
        <w:gridCol w:w="9639"/>
      </w:tblGrid>
      <w:tr w:rsidR="000044FF" w:rsidRPr="00EF13B1" w14:paraId="69D4A14F" w14:textId="77777777" w:rsidTr="00484788">
        <w:trPr>
          <w:tblHeader/>
        </w:trPr>
        <w:tc>
          <w:tcPr>
            <w:tcW w:w="9639" w:type="dxa"/>
            <w:shd w:val="clear" w:color="auto" w:fill="F2F2F2" w:themeFill="background1" w:themeFillShade="F2"/>
          </w:tcPr>
          <w:p w14:paraId="03AEF409" w14:textId="77777777" w:rsidR="000044FF" w:rsidRPr="00484788" w:rsidRDefault="000044FF" w:rsidP="00A3007E">
            <w:pPr>
              <w:pStyle w:val="TableContent"/>
              <w:rPr>
                <w:b/>
                <w:bCs/>
                <w:sz w:val="24"/>
              </w:rPr>
            </w:pPr>
            <w:r w:rsidRPr="00484788">
              <w:rPr>
                <w:b/>
                <w:bCs/>
                <w:sz w:val="24"/>
              </w:rPr>
              <w:t>(AASB 2022: 11)</w:t>
            </w:r>
          </w:p>
        </w:tc>
      </w:tr>
      <w:tr w:rsidR="000044FF" w:rsidRPr="00EF13B1" w14:paraId="5128205D" w14:textId="77777777" w:rsidTr="00484788">
        <w:tc>
          <w:tcPr>
            <w:tcW w:w="9639" w:type="dxa"/>
            <w:tcBorders>
              <w:bottom w:val="single" w:sz="4" w:space="0" w:color="auto"/>
            </w:tcBorders>
          </w:tcPr>
          <w:p w14:paraId="1D3D3BB4" w14:textId="0EC0291F" w:rsidR="0056653D" w:rsidRPr="00F4600C" w:rsidRDefault="000044FF" w:rsidP="00A2196B">
            <w:pPr>
              <w:pStyle w:val="TableContent"/>
              <w:ind w:left="454" w:hanging="454"/>
              <w:rPr>
                <w:sz w:val="24"/>
              </w:rPr>
            </w:pPr>
            <w:r w:rsidRPr="00F4600C">
              <w:rPr>
                <w:i/>
                <w:iCs/>
                <w:sz w:val="24"/>
              </w:rPr>
              <w:t>‘</w:t>
            </w:r>
            <w:r w:rsidRPr="00F4600C">
              <w:rPr>
                <w:sz w:val="24"/>
              </w:rPr>
              <w:t>36 The amount recognised as a provision shall be the best estimate of the expenditure required to settle the present obligation at the end of the reporting period.’</w:t>
            </w:r>
          </w:p>
        </w:tc>
      </w:tr>
    </w:tbl>
    <w:p w14:paraId="257CDABD" w14:textId="77777777" w:rsidR="00484788" w:rsidRDefault="00484788">
      <w:pPr>
        <w:spacing w:after="0" w:line="240" w:lineRule="auto"/>
        <w:rPr>
          <w:rFonts w:cs="Arial"/>
          <w:b/>
          <w:bCs/>
        </w:rPr>
      </w:pPr>
      <w:r>
        <w:rPr>
          <w:rFonts w:cs="Arial"/>
          <w:b/>
          <w:bCs/>
        </w:rPr>
        <w:br w:type="page"/>
      </w:r>
    </w:p>
    <w:tbl>
      <w:tblPr>
        <w:tblStyle w:val="TableGrid"/>
        <w:tblW w:w="0" w:type="auto"/>
        <w:tblLook w:val="04A0" w:firstRow="1" w:lastRow="0" w:firstColumn="1" w:lastColumn="0" w:noHBand="0" w:noVBand="1"/>
      </w:tblPr>
      <w:tblGrid>
        <w:gridCol w:w="9607"/>
      </w:tblGrid>
      <w:tr w:rsidR="00A12F07" w14:paraId="28418A94" w14:textId="77777777" w:rsidTr="00005246">
        <w:tc>
          <w:tcPr>
            <w:tcW w:w="9607" w:type="dxa"/>
            <w:shd w:val="clear" w:color="auto" w:fill="F2F2F2" w:themeFill="background1" w:themeFillShade="F2"/>
          </w:tcPr>
          <w:p w14:paraId="159C4CF8" w14:textId="0A87454E" w:rsidR="00A12F07" w:rsidRPr="00A70935" w:rsidRDefault="00A12F07" w:rsidP="00BE6DF8">
            <w:pPr>
              <w:autoSpaceDE w:val="0"/>
              <w:autoSpaceDN w:val="0"/>
              <w:adjustRightInd w:val="0"/>
              <w:spacing w:before="60" w:after="60"/>
              <w:rPr>
                <w:rFonts w:cs="Arial"/>
                <w:b/>
                <w:bCs/>
              </w:rPr>
            </w:pPr>
            <w:r w:rsidRPr="00A70935">
              <w:rPr>
                <w:b/>
                <w:bCs/>
                <w:sz w:val="24"/>
              </w:rPr>
              <w:lastRenderedPageBreak/>
              <w:t>Interpretation (AASB 2022: 11)</w:t>
            </w:r>
          </w:p>
        </w:tc>
      </w:tr>
      <w:tr w:rsidR="00A12F07" w14:paraId="1E5BAFB1" w14:textId="77777777">
        <w:tc>
          <w:tcPr>
            <w:tcW w:w="9607" w:type="dxa"/>
          </w:tcPr>
          <w:p w14:paraId="027A6A8D" w14:textId="77777777" w:rsidR="00A12F07" w:rsidRPr="00A3007E" w:rsidRDefault="00A12F07" w:rsidP="00BE6DF8">
            <w:pPr>
              <w:pStyle w:val="TableContent"/>
              <w:rPr>
                <w:sz w:val="24"/>
              </w:rPr>
            </w:pPr>
            <w:r w:rsidRPr="00A3007E">
              <w:rPr>
                <w:sz w:val="24"/>
              </w:rPr>
              <w:t xml:space="preserve">As stated above, regarding the landfill example: </w:t>
            </w:r>
          </w:p>
          <w:p w14:paraId="2D5652F4" w14:textId="42420FCA" w:rsidR="00A12F07" w:rsidRPr="00A3007E" w:rsidRDefault="00A12F07">
            <w:pPr>
              <w:pStyle w:val="TableContent"/>
              <w:numPr>
                <w:ilvl w:val="0"/>
                <w:numId w:val="104"/>
              </w:numPr>
              <w:rPr>
                <w:sz w:val="24"/>
              </w:rPr>
            </w:pPr>
            <w:r w:rsidRPr="00A3007E">
              <w:rPr>
                <w:sz w:val="24"/>
              </w:rPr>
              <w:t>the local government has a present obligation (legally enforceable obligation to rehabilitate the landfill site)</w:t>
            </w:r>
            <w:r w:rsidR="00F4600C">
              <w:rPr>
                <w:sz w:val="24"/>
              </w:rPr>
              <w:t>;</w:t>
            </w:r>
            <w:r w:rsidRPr="00A3007E">
              <w:rPr>
                <w:sz w:val="24"/>
              </w:rPr>
              <w:t xml:space="preserve"> and </w:t>
            </w:r>
          </w:p>
          <w:p w14:paraId="63B9292A" w14:textId="7B647FC9" w:rsidR="00A12F07" w:rsidRPr="00A3007E" w:rsidRDefault="00A12F07">
            <w:pPr>
              <w:pStyle w:val="TableContent"/>
              <w:numPr>
                <w:ilvl w:val="0"/>
                <w:numId w:val="104"/>
              </w:numPr>
              <w:rPr>
                <w:sz w:val="24"/>
              </w:rPr>
            </w:pPr>
            <w:r w:rsidRPr="00A3007E">
              <w:rPr>
                <w:sz w:val="24"/>
              </w:rPr>
              <w:t>rehabilitation of the landfill site will only commence when the landfill is full. In other words, an estimate will have to be made of the future expenditure that the local government will incur</w:t>
            </w:r>
            <w:r w:rsidR="00F4600C">
              <w:rPr>
                <w:sz w:val="24"/>
              </w:rPr>
              <w:t>.</w:t>
            </w:r>
          </w:p>
          <w:p w14:paraId="756E2A5A" w14:textId="516D2EE3" w:rsidR="00A12F07" w:rsidRDefault="00A12F07" w:rsidP="00BE6DF8">
            <w:pPr>
              <w:autoSpaceDE w:val="0"/>
              <w:autoSpaceDN w:val="0"/>
              <w:adjustRightInd w:val="0"/>
              <w:spacing w:before="60" w:after="60"/>
              <w:rPr>
                <w:rFonts w:cs="Arial"/>
                <w:b/>
                <w:bCs/>
              </w:rPr>
            </w:pPr>
            <w:r w:rsidRPr="00A3007E">
              <w:rPr>
                <w:sz w:val="24"/>
              </w:rPr>
              <w:t xml:space="preserve">AASB 137 (2022) provides guidance to help ensure the provision is the ‘best estimate’ of the future costs to rehabilitate the landfill site. </w:t>
            </w:r>
          </w:p>
        </w:tc>
      </w:tr>
    </w:tbl>
    <w:p w14:paraId="26662F22" w14:textId="77777777" w:rsidR="000044FF" w:rsidRPr="00EF13B1" w:rsidRDefault="000044FF" w:rsidP="00AF5E7A">
      <w:pPr>
        <w:pStyle w:val="Heading4"/>
      </w:pPr>
      <w:r w:rsidRPr="00EF13B1">
        <w:t>Risk and uncertainties</w:t>
      </w:r>
    </w:p>
    <w:p w14:paraId="392AED5D" w14:textId="77777777" w:rsidR="000044FF" w:rsidRPr="00EF13B1" w:rsidRDefault="000044FF" w:rsidP="00D70B5C">
      <w:pPr>
        <w:pStyle w:val="BodyText"/>
      </w:pPr>
      <w:r w:rsidRPr="00EF13B1">
        <w:t xml:space="preserve">AASB 137 Provisions, Contingent Liabilities and Contingent Assets (2022) states regarding ‘risks and uncertainties’ attached to quantification of a provision: </w:t>
      </w:r>
    </w:p>
    <w:tbl>
      <w:tblPr>
        <w:tblStyle w:val="TableGrid"/>
        <w:tblW w:w="9639" w:type="dxa"/>
        <w:tblLook w:val="04A0" w:firstRow="1" w:lastRow="0" w:firstColumn="1" w:lastColumn="0" w:noHBand="0" w:noVBand="1"/>
      </w:tblPr>
      <w:tblGrid>
        <w:gridCol w:w="9607"/>
        <w:gridCol w:w="32"/>
      </w:tblGrid>
      <w:tr w:rsidR="000044FF" w:rsidRPr="00267364" w14:paraId="5488441D" w14:textId="77777777">
        <w:trPr>
          <w:tblHeader/>
        </w:trPr>
        <w:tc>
          <w:tcPr>
            <w:tcW w:w="9639" w:type="dxa"/>
            <w:gridSpan w:val="2"/>
            <w:shd w:val="clear" w:color="auto" w:fill="F2F2F2" w:themeFill="background1" w:themeFillShade="F2"/>
          </w:tcPr>
          <w:p w14:paraId="3EE0E399" w14:textId="77777777" w:rsidR="000044FF" w:rsidRPr="00A37AFB" w:rsidRDefault="000044FF" w:rsidP="00A37AFB">
            <w:pPr>
              <w:pStyle w:val="TableContent"/>
              <w:rPr>
                <w:b/>
                <w:bCs/>
                <w:sz w:val="24"/>
              </w:rPr>
            </w:pPr>
            <w:r w:rsidRPr="00A37AFB">
              <w:rPr>
                <w:b/>
                <w:bCs/>
                <w:sz w:val="24"/>
              </w:rPr>
              <w:t>(AASB 2022:12)</w:t>
            </w:r>
          </w:p>
        </w:tc>
      </w:tr>
      <w:tr w:rsidR="000044FF" w:rsidRPr="00EF13B1" w14:paraId="365EBB5D" w14:textId="77777777">
        <w:tc>
          <w:tcPr>
            <w:tcW w:w="9639" w:type="dxa"/>
            <w:gridSpan w:val="2"/>
          </w:tcPr>
          <w:p w14:paraId="61F9C176" w14:textId="4EF2D48F" w:rsidR="000044FF" w:rsidRPr="00F4600C" w:rsidRDefault="000044FF" w:rsidP="00A37AFB">
            <w:pPr>
              <w:pStyle w:val="TableContent"/>
              <w:ind w:left="397" w:hanging="397"/>
              <w:rPr>
                <w:i/>
                <w:iCs/>
                <w:sz w:val="24"/>
              </w:rPr>
            </w:pPr>
            <w:r w:rsidRPr="00F4600C">
              <w:rPr>
                <w:i/>
                <w:iCs/>
                <w:sz w:val="24"/>
              </w:rPr>
              <w:t>‘</w:t>
            </w:r>
            <w:r w:rsidRPr="00F4600C">
              <w:rPr>
                <w:sz w:val="24"/>
              </w:rPr>
              <w:t xml:space="preserve">42 </w:t>
            </w:r>
            <w:r w:rsidR="009833A2" w:rsidRPr="00F4600C">
              <w:rPr>
                <w:sz w:val="24"/>
              </w:rPr>
              <w:t>T</w:t>
            </w:r>
            <w:r w:rsidRPr="00F4600C">
              <w:rPr>
                <w:sz w:val="24"/>
              </w:rPr>
              <w:t xml:space="preserve">he risks and uncertainties that inevitably surround many events and circumstances shall be </w:t>
            </w:r>
            <w:proofErr w:type="gramStart"/>
            <w:r w:rsidRPr="00F4600C">
              <w:rPr>
                <w:sz w:val="24"/>
              </w:rPr>
              <w:t>taken into account</w:t>
            </w:r>
            <w:proofErr w:type="gramEnd"/>
            <w:r w:rsidRPr="00F4600C">
              <w:rPr>
                <w:sz w:val="24"/>
              </w:rPr>
              <w:t xml:space="preserve"> in reaching the best estimate of a provision</w:t>
            </w:r>
            <w:r w:rsidRPr="00F4600C">
              <w:rPr>
                <w:i/>
                <w:iCs/>
                <w:sz w:val="24"/>
              </w:rPr>
              <w:t>.</w:t>
            </w:r>
          </w:p>
          <w:p w14:paraId="0AA9FD15" w14:textId="54D154DB" w:rsidR="00A37AFB" w:rsidRPr="00A37AFB" w:rsidRDefault="00A37AFB" w:rsidP="00A37AFB">
            <w:pPr>
              <w:pStyle w:val="TableContent"/>
              <w:ind w:left="340" w:hanging="340"/>
              <w:rPr>
                <w:i/>
                <w:iCs/>
                <w:sz w:val="24"/>
              </w:rPr>
            </w:pPr>
            <w:r w:rsidRPr="00A37AFB">
              <w:rPr>
                <w:sz w:val="24"/>
              </w:rPr>
              <w:t>43 Risk describes variability of outcome. A risk adjustment may increase the amount at which a liability is measured. Caution is needed in making judgements under conditions of uncertainty, so that income or assets are not overstated and expenses or liabilities are not understated. However, uncertainty does not justify the creation of excessive provisions or a deliberate overstatement of liabilities….</w:t>
            </w:r>
            <w:r w:rsidRPr="00A37AFB">
              <w:rPr>
                <w:i/>
                <w:iCs/>
                <w:sz w:val="24"/>
              </w:rPr>
              <w:t>’</w:t>
            </w:r>
          </w:p>
        </w:tc>
      </w:tr>
      <w:tr w:rsidR="000044FF" w:rsidRPr="00EF13B1" w14:paraId="2820CC67" w14:textId="77777777">
        <w:trPr>
          <w:gridAfter w:val="1"/>
          <w:wAfter w:w="32" w:type="dxa"/>
        </w:trPr>
        <w:tc>
          <w:tcPr>
            <w:tcW w:w="9607" w:type="dxa"/>
            <w:tcBorders>
              <w:bottom w:val="single" w:sz="4" w:space="0" w:color="auto"/>
            </w:tcBorders>
            <w:shd w:val="clear" w:color="auto" w:fill="F2F2F2" w:themeFill="background1" w:themeFillShade="F2"/>
          </w:tcPr>
          <w:p w14:paraId="0518EBF5" w14:textId="77777777" w:rsidR="000044FF" w:rsidRPr="00A37AFB" w:rsidRDefault="000044FF" w:rsidP="00A37AFB">
            <w:pPr>
              <w:pStyle w:val="TableContent"/>
              <w:rPr>
                <w:b/>
                <w:bCs/>
                <w:sz w:val="24"/>
              </w:rPr>
            </w:pPr>
            <w:r w:rsidRPr="00A37AFB">
              <w:rPr>
                <w:b/>
                <w:bCs/>
                <w:sz w:val="24"/>
              </w:rPr>
              <w:t>Interpretation (AASB 2022:12)</w:t>
            </w:r>
          </w:p>
        </w:tc>
      </w:tr>
      <w:tr w:rsidR="000044FF" w:rsidRPr="00EF13B1" w14:paraId="12D1AF30" w14:textId="77777777">
        <w:trPr>
          <w:gridAfter w:val="1"/>
          <w:wAfter w:w="32" w:type="dxa"/>
        </w:trPr>
        <w:tc>
          <w:tcPr>
            <w:tcW w:w="9607" w:type="dxa"/>
          </w:tcPr>
          <w:p w14:paraId="0D4E6051" w14:textId="77777777" w:rsidR="000044FF" w:rsidRPr="00A37AFB" w:rsidRDefault="000044FF" w:rsidP="00A37AFB">
            <w:pPr>
              <w:pStyle w:val="TableContent"/>
              <w:rPr>
                <w:sz w:val="24"/>
              </w:rPr>
            </w:pPr>
            <w:r w:rsidRPr="00A37AFB">
              <w:rPr>
                <w:sz w:val="24"/>
              </w:rPr>
              <w:t>The provision entails an estimate of future expenditure to be incurred to rehabilitate the landfill site. A balanced approach must be taken to help ensure the ‘best estimate” of the provision is made (AASB 137 2022:12)</w:t>
            </w:r>
          </w:p>
        </w:tc>
      </w:tr>
    </w:tbl>
    <w:p w14:paraId="113A7AEA" w14:textId="77777777" w:rsidR="000044FF" w:rsidRPr="00EF13B1" w:rsidRDefault="000044FF" w:rsidP="00AF5E7A">
      <w:pPr>
        <w:pStyle w:val="Heading4"/>
      </w:pPr>
      <w:r w:rsidRPr="00EF13B1">
        <w:t>Present value</w:t>
      </w:r>
    </w:p>
    <w:p w14:paraId="0B8A1883" w14:textId="77777777" w:rsidR="000044FF" w:rsidRPr="00EF13B1" w:rsidRDefault="000044FF" w:rsidP="00D70B5C">
      <w:pPr>
        <w:pStyle w:val="BodyText"/>
      </w:pPr>
      <w:r w:rsidRPr="00EF13B1">
        <w:t>AASB 137 Provisions, Contingent Liabilities and Contingent Assets (2022) states regarding ‘present value’:</w:t>
      </w:r>
    </w:p>
    <w:tbl>
      <w:tblPr>
        <w:tblStyle w:val="TableGrid"/>
        <w:tblW w:w="9639" w:type="dxa"/>
        <w:tblLook w:val="04A0" w:firstRow="1" w:lastRow="0" w:firstColumn="1" w:lastColumn="0" w:noHBand="0" w:noVBand="1"/>
      </w:tblPr>
      <w:tblGrid>
        <w:gridCol w:w="9639"/>
      </w:tblGrid>
      <w:tr w:rsidR="000044FF" w:rsidRPr="00267364" w14:paraId="2BCAEB48" w14:textId="77777777" w:rsidTr="00E56002">
        <w:trPr>
          <w:tblHeader/>
        </w:trPr>
        <w:tc>
          <w:tcPr>
            <w:tcW w:w="9639" w:type="dxa"/>
            <w:shd w:val="clear" w:color="auto" w:fill="F2F2F2" w:themeFill="background1" w:themeFillShade="F2"/>
          </w:tcPr>
          <w:p w14:paraId="4BDB013A" w14:textId="77777777" w:rsidR="000044FF" w:rsidRPr="00857F4F" w:rsidRDefault="000044FF" w:rsidP="00BA4A86">
            <w:pPr>
              <w:pStyle w:val="TableContent"/>
              <w:rPr>
                <w:b/>
                <w:bCs/>
                <w:sz w:val="24"/>
              </w:rPr>
            </w:pPr>
            <w:r w:rsidRPr="00857F4F">
              <w:rPr>
                <w:b/>
                <w:bCs/>
                <w:sz w:val="24"/>
              </w:rPr>
              <w:t>(AASB 2022: 12)</w:t>
            </w:r>
          </w:p>
        </w:tc>
      </w:tr>
      <w:tr w:rsidR="000044FF" w:rsidRPr="00EF13B1" w14:paraId="7B9344E4" w14:textId="77777777" w:rsidTr="00E56002">
        <w:tc>
          <w:tcPr>
            <w:tcW w:w="9639" w:type="dxa"/>
          </w:tcPr>
          <w:p w14:paraId="22B10180" w14:textId="20EA31CC" w:rsidR="00857F4F" w:rsidRPr="00F4600C" w:rsidRDefault="000044FF" w:rsidP="00A71476">
            <w:pPr>
              <w:pStyle w:val="TableContent"/>
              <w:ind w:left="397" w:hanging="397"/>
              <w:rPr>
                <w:sz w:val="24"/>
              </w:rPr>
            </w:pPr>
            <w:r w:rsidRPr="00F4600C">
              <w:rPr>
                <w:sz w:val="24"/>
              </w:rPr>
              <w:t>‘45 Where the effect of the time value of money is material, the amount of a provision shall be the present value of the expenditures expected to be required to settle the obligation.’</w:t>
            </w:r>
            <w:r w:rsidR="00857F4F" w:rsidRPr="00F4600C">
              <w:rPr>
                <w:sz w:val="24"/>
              </w:rPr>
              <w:t xml:space="preserve"> </w:t>
            </w:r>
          </w:p>
        </w:tc>
      </w:tr>
      <w:tr w:rsidR="000044FF" w:rsidRPr="00EF13B1" w14:paraId="78303E99" w14:textId="77777777" w:rsidTr="00E56002">
        <w:trPr>
          <w:tblHeader/>
        </w:trPr>
        <w:tc>
          <w:tcPr>
            <w:tcW w:w="9639" w:type="dxa"/>
            <w:tcBorders>
              <w:bottom w:val="single" w:sz="4" w:space="0" w:color="auto"/>
            </w:tcBorders>
          </w:tcPr>
          <w:p w14:paraId="5BC6E446" w14:textId="52D180DC" w:rsidR="000044FF" w:rsidRPr="00F4600C" w:rsidRDefault="000044FF" w:rsidP="00942A3C">
            <w:pPr>
              <w:pStyle w:val="TableContent"/>
              <w:ind w:left="397" w:hanging="397"/>
              <w:rPr>
                <w:sz w:val="24"/>
              </w:rPr>
            </w:pPr>
            <w:r w:rsidRPr="00F4600C">
              <w:rPr>
                <w:i/>
                <w:iCs/>
                <w:sz w:val="24"/>
              </w:rPr>
              <w:t>‘</w:t>
            </w:r>
            <w:r w:rsidRPr="00F4600C">
              <w:rPr>
                <w:sz w:val="24"/>
              </w:rPr>
              <w:t xml:space="preserve">47 </w:t>
            </w:r>
            <w:r w:rsidR="00942A3C" w:rsidRPr="00F4600C">
              <w:rPr>
                <w:sz w:val="24"/>
              </w:rPr>
              <w:t>T</w:t>
            </w:r>
            <w:r w:rsidRPr="00F4600C">
              <w:rPr>
                <w:sz w:val="24"/>
              </w:rPr>
              <w:t xml:space="preserve">he discount rate (or rates) shall be a pre-tax rate (or rates) that reflect(s) current market assessments of the time value of money and the risks specific to the liability. </w:t>
            </w:r>
            <w:r w:rsidRPr="00F4600C">
              <w:rPr>
                <w:sz w:val="24"/>
              </w:rPr>
              <w:lastRenderedPageBreak/>
              <w:t>The discount rate(s) shall not reflect risks for which future cash flow estimates have been adjusted.’</w:t>
            </w:r>
            <w:r w:rsidRPr="00F4600C">
              <w:rPr>
                <w:i/>
                <w:iCs/>
                <w:sz w:val="24"/>
              </w:rPr>
              <w:t xml:space="preserve"> </w:t>
            </w:r>
          </w:p>
        </w:tc>
      </w:tr>
      <w:tr w:rsidR="000044FF" w:rsidRPr="00267364" w14:paraId="080A2ED8" w14:textId="77777777" w:rsidTr="00E56002">
        <w:tc>
          <w:tcPr>
            <w:tcW w:w="9639" w:type="dxa"/>
            <w:shd w:val="clear" w:color="auto" w:fill="F2F2F2" w:themeFill="background1" w:themeFillShade="F2"/>
          </w:tcPr>
          <w:p w14:paraId="6DDE665F" w14:textId="77777777" w:rsidR="000044FF" w:rsidRPr="00857F4F" w:rsidRDefault="000044FF" w:rsidP="00857F4F">
            <w:pPr>
              <w:pStyle w:val="TableContent"/>
              <w:rPr>
                <w:b/>
                <w:bCs/>
                <w:sz w:val="24"/>
              </w:rPr>
            </w:pPr>
            <w:r w:rsidRPr="00857F4F">
              <w:rPr>
                <w:b/>
                <w:bCs/>
                <w:sz w:val="24"/>
              </w:rPr>
              <w:t>Interpretation (AASB 2022: 12)</w:t>
            </w:r>
          </w:p>
        </w:tc>
      </w:tr>
      <w:tr w:rsidR="000044FF" w:rsidRPr="00EF13B1" w14:paraId="42A44054" w14:textId="77777777" w:rsidTr="00E56002">
        <w:tc>
          <w:tcPr>
            <w:tcW w:w="9639" w:type="dxa"/>
          </w:tcPr>
          <w:p w14:paraId="09B3D057" w14:textId="59874631" w:rsidR="000044FF" w:rsidRPr="00857F4F" w:rsidRDefault="000044FF" w:rsidP="00857F4F">
            <w:pPr>
              <w:pStyle w:val="TableContent"/>
              <w:rPr>
                <w:sz w:val="24"/>
              </w:rPr>
            </w:pPr>
            <w:r w:rsidRPr="00857F4F">
              <w:rPr>
                <w:sz w:val="24"/>
              </w:rPr>
              <w:t xml:space="preserve">Time value of money is a financial concept </w:t>
            </w:r>
            <w:proofErr w:type="gramStart"/>
            <w:r w:rsidRPr="00857F4F">
              <w:rPr>
                <w:sz w:val="24"/>
              </w:rPr>
              <w:t>based on the fact that</w:t>
            </w:r>
            <w:proofErr w:type="gramEnd"/>
            <w:r w:rsidRPr="00857F4F">
              <w:rPr>
                <w:sz w:val="24"/>
              </w:rPr>
              <w:t xml:space="preserve"> receiving $100 today is better than receiving $100 a year from now. If I receive $100 today and invest it at a 5 % interest rate</w:t>
            </w:r>
            <w:r w:rsidR="00F4600C">
              <w:rPr>
                <w:sz w:val="24"/>
              </w:rPr>
              <w:t>,</w:t>
            </w:r>
            <w:r w:rsidRPr="00857F4F">
              <w:rPr>
                <w:sz w:val="24"/>
              </w:rPr>
              <w:t xml:space="preserve"> I will have $105 a year from now (which is better that receiving $100 one year from now).</w:t>
            </w:r>
          </w:p>
          <w:p w14:paraId="524C521A" w14:textId="3155A976" w:rsidR="000044FF" w:rsidRPr="00857F4F" w:rsidRDefault="000044FF" w:rsidP="00857F4F">
            <w:pPr>
              <w:pStyle w:val="TableContent"/>
              <w:rPr>
                <w:sz w:val="24"/>
              </w:rPr>
            </w:pPr>
            <w:r w:rsidRPr="00857F4F">
              <w:rPr>
                <w:sz w:val="24"/>
              </w:rPr>
              <w:t xml:space="preserve">A ‘discount rate’ in the context used above refers to a rate of return applied to future cash flows from an investment to calculate its present value. (For example, </w:t>
            </w:r>
            <w:r w:rsidR="00F4600C">
              <w:rPr>
                <w:sz w:val="24"/>
              </w:rPr>
              <w:t>i</w:t>
            </w:r>
            <w:r w:rsidRPr="00857F4F">
              <w:rPr>
                <w:sz w:val="24"/>
              </w:rPr>
              <w:t>f I discount the future cash flow from my investment</w:t>
            </w:r>
            <w:r w:rsidR="00F4600C">
              <w:rPr>
                <w:sz w:val="24"/>
              </w:rPr>
              <w:t>,</w:t>
            </w:r>
            <w:r w:rsidRPr="00857F4F">
              <w:rPr>
                <w:sz w:val="24"/>
              </w:rPr>
              <w:t xml:space="preserve"> which will pay me $105 one year from now at a discount rate of 5%, I will calculate a present value of $100. </w:t>
            </w:r>
          </w:p>
          <w:p w14:paraId="54F687A3" w14:textId="77777777" w:rsidR="000044FF" w:rsidRPr="00857F4F" w:rsidRDefault="000044FF" w:rsidP="00857F4F">
            <w:pPr>
              <w:pStyle w:val="TableContent"/>
              <w:rPr>
                <w:sz w:val="24"/>
              </w:rPr>
            </w:pPr>
            <w:r w:rsidRPr="00857F4F">
              <w:rPr>
                <w:sz w:val="24"/>
              </w:rPr>
              <w:t xml:space="preserve">The same principles can be applied to calculate a ‘present value’ of the future expenditure to be incurred to rehabilitate the landfill site. There are two steps to calculating a present value: </w:t>
            </w:r>
          </w:p>
          <w:p w14:paraId="10BE4A0A" w14:textId="552FD7B4" w:rsidR="000044FF" w:rsidRPr="00857F4F" w:rsidRDefault="000044FF">
            <w:pPr>
              <w:pStyle w:val="TableContent"/>
              <w:numPr>
                <w:ilvl w:val="0"/>
                <w:numId w:val="105"/>
              </w:numPr>
              <w:rPr>
                <w:sz w:val="24"/>
              </w:rPr>
            </w:pPr>
            <w:r w:rsidRPr="00857F4F">
              <w:rPr>
                <w:sz w:val="24"/>
              </w:rPr>
              <w:t>Step 1: calculate the expected future expenditure</w:t>
            </w:r>
            <w:r w:rsidR="00F4600C">
              <w:rPr>
                <w:sz w:val="24"/>
              </w:rPr>
              <w:t>.</w:t>
            </w:r>
          </w:p>
          <w:p w14:paraId="2352CCAE" w14:textId="77777777" w:rsidR="00584969" w:rsidRDefault="000044FF">
            <w:pPr>
              <w:pStyle w:val="TableContent"/>
              <w:numPr>
                <w:ilvl w:val="0"/>
                <w:numId w:val="105"/>
              </w:numPr>
              <w:rPr>
                <w:sz w:val="24"/>
              </w:rPr>
            </w:pPr>
            <w:r w:rsidRPr="00857F4F">
              <w:rPr>
                <w:sz w:val="24"/>
              </w:rPr>
              <w:t xml:space="preserve">Step two: calculate the present value of the expected future expenditure. </w:t>
            </w:r>
          </w:p>
          <w:p w14:paraId="64DB0D90" w14:textId="014F2669" w:rsidR="00584969" w:rsidRPr="00857F4F" w:rsidRDefault="00584969" w:rsidP="00584969">
            <w:pPr>
              <w:pStyle w:val="TableContent"/>
              <w:rPr>
                <w:sz w:val="24"/>
              </w:rPr>
            </w:pPr>
            <w:r w:rsidRPr="00EF13B1">
              <w:rPr>
                <w:sz w:val="24"/>
              </w:rPr>
              <w:t xml:space="preserve">A ‘discount rate’ is applied to the calculated future expenditure </w:t>
            </w:r>
            <w:r w:rsidR="00F4600C" w:rsidRPr="00EF13B1">
              <w:rPr>
                <w:sz w:val="24"/>
              </w:rPr>
              <w:t>to</w:t>
            </w:r>
            <w:r w:rsidRPr="00EF13B1">
              <w:rPr>
                <w:sz w:val="24"/>
              </w:rPr>
              <w:t xml:space="preserve"> calculate the present value thereof.</w:t>
            </w:r>
          </w:p>
        </w:tc>
      </w:tr>
    </w:tbl>
    <w:p w14:paraId="0429BEF5" w14:textId="77777777" w:rsidR="000044FF" w:rsidRPr="00EF13B1" w:rsidRDefault="000044FF" w:rsidP="00AF5E7A">
      <w:pPr>
        <w:pStyle w:val="Heading4"/>
      </w:pPr>
      <w:r w:rsidRPr="00EF13B1">
        <w:t>Changes in provisions</w:t>
      </w:r>
    </w:p>
    <w:p w14:paraId="508F62C4" w14:textId="77777777" w:rsidR="000044FF" w:rsidRPr="00EF13B1" w:rsidRDefault="000044FF" w:rsidP="00D70B5C">
      <w:pPr>
        <w:pStyle w:val="BodyText"/>
      </w:pPr>
      <w:r w:rsidRPr="00EF13B1">
        <w:t xml:space="preserve">AASB 137 Provisions, Contingent Liabilities and Contingent Assets (2022) states regarding ‘changes in </w:t>
      </w:r>
      <w:proofErr w:type="gramStart"/>
      <w:r w:rsidRPr="00EF13B1">
        <w:t>provisions’</w:t>
      </w:r>
      <w:proofErr w:type="gramEnd"/>
      <w:r w:rsidRPr="00EF13B1">
        <w:t>:</w:t>
      </w:r>
    </w:p>
    <w:tbl>
      <w:tblPr>
        <w:tblStyle w:val="TableGrid"/>
        <w:tblW w:w="9639" w:type="dxa"/>
        <w:tblLook w:val="04A0" w:firstRow="1" w:lastRow="0" w:firstColumn="1" w:lastColumn="0" w:noHBand="0" w:noVBand="1"/>
      </w:tblPr>
      <w:tblGrid>
        <w:gridCol w:w="9639"/>
      </w:tblGrid>
      <w:tr w:rsidR="000044FF" w:rsidRPr="00267364" w14:paraId="7AEDFA74" w14:textId="77777777">
        <w:trPr>
          <w:tblHeader/>
        </w:trPr>
        <w:tc>
          <w:tcPr>
            <w:tcW w:w="9639" w:type="dxa"/>
            <w:shd w:val="clear" w:color="auto" w:fill="F2F2F2" w:themeFill="background1" w:themeFillShade="F2"/>
          </w:tcPr>
          <w:p w14:paraId="27CCE806" w14:textId="77777777" w:rsidR="000044FF" w:rsidRPr="00E56002" w:rsidRDefault="000044FF" w:rsidP="00E56002">
            <w:pPr>
              <w:pStyle w:val="TableContent"/>
              <w:rPr>
                <w:b/>
                <w:bCs/>
                <w:sz w:val="24"/>
              </w:rPr>
            </w:pPr>
            <w:r w:rsidRPr="00E56002">
              <w:rPr>
                <w:b/>
                <w:bCs/>
                <w:sz w:val="24"/>
              </w:rPr>
              <w:t>(AASB 2022: 12)</w:t>
            </w:r>
          </w:p>
        </w:tc>
      </w:tr>
      <w:tr w:rsidR="000044FF" w:rsidRPr="00EF13B1" w14:paraId="3396ABAA" w14:textId="77777777">
        <w:tc>
          <w:tcPr>
            <w:tcW w:w="9639" w:type="dxa"/>
            <w:tcBorders>
              <w:bottom w:val="single" w:sz="4" w:space="0" w:color="auto"/>
            </w:tcBorders>
          </w:tcPr>
          <w:p w14:paraId="16AE30E6" w14:textId="6E3AB0D9" w:rsidR="000044FF" w:rsidRPr="00F4600C" w:rsidRDefault="000044FF" w:rsidP="00E56002">
            <w:pPr>
              <w:pStyle w:val="TableContent"/>
              <w:ind w:left="397" w:hanging="397"/>
              <w:rPr>
                <w:i/>
                <w:iCs/>
                <w:sz w:val="24"/>
              </w:rPr>
            </w:pPr>
            <w:r w:rsidRPr="00F4600C">
              <w:rPr>
                <w:sz w:val="24"/>
              </w:rPr>
              <w:t>‘48 Future events that may affect the amount required to settle an obligation shall be reflected in the amount of a provision where there is sufficient objective evidence that they will occur.’</w:t>
            </w:r>
          </w:p>
        </w:tc>
      </w:tr>
      <w:tr w:rsidR="000044FF" w:rsidRPr="00267364" w14:paraId="7B9101E1" w14:textId="77777777">
        <w:tc>
          <w:tcPr>
            <w:tcW w:w="9639" w:type="dxa"/>
            <w:shd w:val="clear" w:color="auto" w:fill="F2F2F2" w:themeFill="background1" w:themeFillShade="F2"/>
          </w:tcPr>
          <w:p w14:paraId="364476DE" w14:textId="77777777" w:rsidR="000044FF" w:rsidRPr="00E56002" w:rsidRDefault="000044FF" w:rsidP="00E56002">
            <w:pPr>
              <w:pStyle w:val="TableContent"/>
              <w:rPr>
                <w:b/>
                <w:bCs/>
                <w:sz w:val="24"/>
              </w:rPr>
            </w:pPr>
            <w:r w:rsidRPr="00E56002">
              <w:rPr>
                <w:b/>
                <w:bCs/>
                <w:sz w:val="24"/>
              </w:rPr>
              <w:t xml:space="preserve">Interpretation (AASB 2022: 12) </w:t>
            </w:r>
          </w:p>
        </w:tc>
      </w:tr>
      <w:tr w:rsidR="000044FF" w:rsidRPr="00EF13B1" w14:paraId="3B23DC4C" w14:textId="77777777">
        <w:tc>
          <w:tcPr>
            <w:tcW w:w="9639" w:type="dxa"/>
          </w:tcPr>
          <w:p w14:paraId="05020FC6" w14:textId="77777777" w:rsidR="000044FF" w:rsidRPr="00E56002" w:rsidRDefault="000044FF" w:rsidP="00E56002">
            <w:pPr>
              <w:pStyle w:val="TableContent"/>
              <w:rPr>
                <w:sz w:val="24"/>
              </w:rPr>
            </w:pPr>
            <w:r w:rsidRPr="00E56002">
              <w:rPr>
                <w:sz w:val="24"/>
              </w:rPr>
              <w:t>The goal is to make a ‘best estimate of the provision’ (AASB 137 2022;12). Consequently, future events which may change future costs must be accounted for in the provision if ‘sufficient objective evidence’ is available.</w:t>
            </w:r>
          </w:p>
        </w:tc>
      </w:tr>
    </w:tbl>
    <w:p w14:paraId="69C72061" w14:textId="77777777" w:rsidR="000044FF" w:rsidRDefault="000044FF" w:rsidP="000044FF">
      <w:pPr>
        <w:spacing w:after="160" w:line="278" w:lineRule="auto"/>
        <w:rPr>
          <w:rFonts w:ascii="Arial Rounded MT Bold" w:eastAsiaTheme="majorEastAsia" w:hAnsi="Arial Rounded MT Bold" w:cstheme="majorBidi"/>
          <w:sz w:val="30"/>
          <w:szCs w:val="30"/>
        </w:rPr>
      </w:pPr>
      <w:r>
        <w:br w:type="page"/>
      </w:r>
    </w:p>
    <w:p w14:paraId="1732221A" w14:textId="77777777" w:rsidR="000044FF" w:rsidRDefault="000044FF" w:rsidP="000044FF">
      <w:pPr>
        <w:pStyle w:val="Heading2"/>
      </w:pPr>
      <w:bookmarkStart w:id="119" w:name="_Toc207722757"/>
      <w:bookmarkStart w:id="120" w:name="_Toc223445090"/>
      <w:r w:rsidRPr="00EB544A">
        <w:lastRenderedPageBreak/>
        <w:t>AASB 16 Leases</w:t>
      </w:r>
      <w:bookmarkEnd w:id="116"/>
      <w:r w:rsidRPr="00EB544A">
        <w:t xml:space="preserve"> (2022)</w:t>
      </w:r>
      <w:bookmarkEnd w:id="119"/>
      <w:bookmarkEnd w:id="120"/>
    </w:p>
    <w:p w14:paraId="35A19261" w14:textId="14A1B37D" w:rsidR="000E17CA" w:rsidRPr="000E17CA" w:rsidRDefault="00F46ACB" w:rsidP="00EB57E0">
      <w:pPr>
        <w:pStyle w:val="BlockText"/>
      </w:pPr>
      <w:r w:rsidRPr="00EB544A">
        <w:t>WA local governments must show in each financial report the carrying amount of right-of-use assets using the cost model in accordance with the AAS (as per the LG (FM) Regs, regulation 17A(2)(c).</w:t>
      </w:r>
    </w:p>
    <w:p w14:paraId="2B749F03" w14:textId="77777777" w:rsidR="000044FF" w:rsidRPr="00EB544A" w:rsidRDefault="000044FF" w:rsidP="00AF5E7A">
      <w:pPr>
        <w:pStyle w:val="Heading4"/>
      </w:pPr>
      <w:r w:rsidRPr="00EB544A">
        <w:t>Identification as a lease</w:t>
      </w:r>
    </w:p>
    <w:p w14:paraId="340508BD" w14:textId="77777777" w:rsidR="000044FF" w:rsidRPr="00EB544A" w:rsidRDefault="000044FF" w:rsidP="00D70B5C">
      <w:pPr>
        <w:pStyle w:val="BodyText"/>
      </w:pPr>
      <w:r w:rsidRPr="00EB544A">
        <w:t>AASB 16 Leases (2022) states regarding ‘identifying a lease’:</w:t>
      </w:r>
    </w:p>
    <w:tbl>
      <w:tblPr>
        <w:tblStyle w:val="TableGrid"/>
        <w:tblW w:w="9639" w:type="dxa"/>
        <w:tblInd w:w="-5" w:type="dxa"/>
        <w:tblLayout w:type="fixed"/>
        <w:tblLook w:val="06A0" w:firstRow="1" w:lastRow="0" w:firstColumn="1" w:lastColumn="0" w:noHBand="1" w:noVBand="1"/>
      </w:tblPr>
      <w:tblGrid>
        <w:gridCol w:w="9639"/>
      </w:tblGrid>
      <w:tr w:rsidR="000044FF" w:rsidRPr="00EB544A" w14:paraId="18BB0F3D" w14:textId="77777777">
        <w:trPr>
          <w:trHeight w:val="300"/>
          <w:tblHeader/>
        </w:trPr>
        <w:tc>
          <w:tcPr>
            <w:tcW w:w="9639" w:type="dxa"/>
            <w:tcBorders>
              <w:bottom w:val="single" w:sz="4" w:space="0" w:color="auto"/>
            </w:tcBorders>
            <w:shd w:val="clear" w:color="auto" w:fill="F2F2F2" w:themeFill="background1" w:themeFillShade="F2"/>
          </w:tcPr>
          <w:p w14:paraId="402CFB8C" w14:textId="77777777" w:rsidR="000044FF" w:rsidRPr="002A08E5" w:rsidRDefault="000044FF" w:rsidP="0034527C">
            <w:pPr>
              <w:pStyle w:val="TableContent"/>
              <w:rPr>
                <w:b/>
                <w:bCs/>
                <w:sz w:val="24"/>
              </w:rPr>
            </w:pPr>
            <w:r w:rsidRPr="002A08E5">
              <w:rPr>
                <w:b/>
                <w:bCs/>
                <w:sz w:val="24"/>
              </w:rPr>
              <w:t>(AASB 2022: 7)</w:t>
            </w:r>
          </w:p>
        </w:tc>
      </w:tr>
      <w:tr w:rsidR="000044FF" w:rsidRPr="00EB544A" w14:paraId="6A4E4E94" w14:textId="77777777">
        <w:trPr>
          <w:trHeight w:val="300"/>
        </w:trPr>
        <w:tc>
          <w:tcPr>
            <w:tcW w:w="9639" w:type="dxa"/>
            <w:tcBorders>
              <w:bottom w:val="single" w:sz="4" w:space="0" w:color="auto"/>
            </w:tcBorders>
          </w:tcPr>
          <w:p w14:paraId="5B4467C8" w14:textId="2B2D2E51" w:rsidR="000044FF" w:rsidRPr="00231DDA" w:rsidRDefault="000044FF" w:rsidP="009D1AE8">
            <w:pPr>
              <w:pStyle w:val="TableContent"/>
              <w:ind w:left="284" w:hanging="284"/>
              <w:rPr>
                <w:i/>
                <w:iCs/>
                <w:sz w:val="24"/>
              </w:rPr>
            </w:pPr>
            <w:r w:rsidRPr="00231DDA">
              <w:rPr>
                <w:i/>
                <w:iCs/>
                <w:sz w:val="24"/>
              </w:rPr>
              <w:t xml:space="preserve">‘9 </w:t>
            </w:r>
            <w:r w:rsidRPr="00231DDA">
              <w:rPr>
                <w:sz w:val="24"/>
              </w:rPr>
              <w:t xml:space="preserve">At inception of a contract, an entity shall assess whether the contract is, or contains, a lease. A contract is, or contains, a lease if the contract conveys the right to control the use of an identified asset for </w:t>
            </w:r>
            <w:proofErr w:type="gramStart"/>
            <w:r w:rsidRPr="00231DDA">
              <w:rPr>
                <w:sz w:val="24"/>
              </w:rPr>
              <w:t>a period of time</w:t>
            </w:r>
            <w:proofErr w:type="gramEnd"/>
            <w:r w:rsidRPr="00231DDA">
              <w:rPr>
                <w:sz w:val="24"/>
              </w:rPr>
              <w:t xml:space="preserve"> in exchange for consideration. Paragraphs B9–B31 set out guidance on the assessment of whether a contract is, or contains, a lease</w:t>
            </w:r>
            <w:r w:rsidRPr="00231DDA">
              <w:rPr>
                <w:i/>
                <w:iCs/>
                <w:sz w:val="24"/>
              </w:rPr>
              <w:t>.’</w:t>
            </w:r>
          </w:p>
        </w:tc>
      </w:tr>
      <w:tr w:rsidR="000044FF" w:rsidRPr="00EB544A" w14:paraId="2420E7A9" w14:textId="77777777">
        <w:trPr>
          <w:trHeight w:val="300"/>
        </w:trPr>
        <w:tc>
          <w:tcPr>
            <w:tcW w:w="9639" w:type="dxa"/>
            <w:tcBorders>
              <w:bottom w:val="single" w:sz="4" w:space="0" w:color="auto"/>
            </w:tcBorders>
            <w:shd w:val="clear" w:color="auto" w:fill="F2F2F2" w:themeFill="background1" w:themeFillShade="F2"/>
          </w:tcPr>
          <w:p w14:paraId="59296552" w14:textId="77777777" w:rsidR="000044FF" w:rsidRPr="002A08E5" w:rsidRDefault="000044FF" w:rsidP="0034527C">
            <w:pPr>
              <w:pStyle w:val="TableContent"/>
              <w:rPr>
                <w:b/>
                <w:bCs/>
                <w:sz w:val="24"/>
              </w:rPr>
            </w:pPr>
            <w:r w:rsidRPr="002A08E5">
              <w:rPr>
                <w:b/>
                <w:bCs/>
                <w:sz w:val="24"/>
              </w:rPr>
              <w:t>(AASB 2022: 23-24)</w:t>
            </w:r>
          </w:p>
        </w:tc>
      </w:tr>
      <w:tr w:rsidR="000044FF" w:rsidRPr="00EB544A" w14:paraId="64E45CDD" w14:textId="77777777">
        <w:trPr>
          <w:trHeight w:val="300"/>
        </w:trPr>
        <w:tc>
          <w:tcPr>
            <w:tcW w:w="9639" w:type="dxa"/>
            <w:tcBorders>
              <w:bottom w:val="single" w:sz="4" w:space="0" w:color="auto"/>
            </w:tcBorders>
          </w:tcPr>
          <w:p w14:paraId="1D641550" w14:textId="619F75C0" w:rsidR="000044FF" w:rsidRPr="000B6E27" w:rsidRDefault="000044FF" w:rsidP="002A08E5">
            <w:pPr>
              <w:pStyle w:val="TableContent"/>
              <w:ind w:left="397" w:hanging="397"/>
              <w:rPr>
                <w:sz w:val="24"/>
              </w:rPr>
            </w:pPr>
            <w:r w:rsidRPr="000B6E27">
              <w:rPr>
                <w:i/>
                <w:iCs/>
                <w:sz w:val="24"/>
              </w:rPr>
              <w:t>‘</w:t>
            </w:r>
            <w:r w:rsidRPr="000B6E27">
              <w:rPr>
                <w:sz w:val="24"/>
              </w:rPr>
              <w:t xml:space="preserve">B9 To assess whether a contract conveys the right to control the use of an identified asset (see paragraphs B13– B20) for </w:t>
            </w:r>
            <w:proofErr w:type="gramStart"/>
            <w:r w:rsidRPr="000B6E27">
              <w:rPr>
                <w:sz w:val="24"/>
              </w:rPr>
              <w:t>a period of time</w:t>
            </w:r>
            <w:proofErr w:type="gramEnd"/>
            <w:r w:rsidRPr="000B6E27">
              <w:rPr>
                <w:sz w:val="24"/>
              </w:rPr>
              <w:t>, an entity shall assess whether, throughout the period of use, the customer has both of the following:</w:t>
            </w:r>
          </w:p>
          <w:p w14:paraId="23926C84" w14:textId="77777777" w:rsidR="000044FF" w:rsidRPr="000B6E27" w:rsidRDefault="000044FF" w:rsidP="002A08E5">
            <w:pPr>
              <w:pStyle w:val="TableContent"/>
              <w:ind w:left="737" w:hanging="340"/>
              <w:rPr>
                <w:sz w:val="24"/>
              </w:rPr>
            </w:pPr>
            <w:r w:rsidRPr="000B6E27">
              <w:rPr>
                <w:sz w:val="24"/>
              </w:rPr>
              <w:t xml:space="preserve">(a) the right to obtain substantially </w:t>
            </w:r>
            <w:proofErr w:type="gramStart"/>
            <w:r w:rsidRPr="000B6E27">
              <w:rPr>
                <w:sz w:val="24"/>
              </w:rPr>
              <w:t>all of</w:t>
            </w:r>
            <w:proofErr w:type="gramEnd"/>
            <w:r w:rsidRPr="000B6E27">
              <w:rPr>
                <w:sz w:val="24"/>
              </w:rPr>
              <w:t xml:space="preserve"> the economic benefits from use of the identified asset (as described in paragraphs B21–B23); and </w:t>
            </w:r>
          </w:p>
          <w:p w14:paraId="4359BE3F" w14:textId="77777777" w:rsidR="000044FF" w:rsidRPr="000B6E27" w:rsidRDefault="000044FF" w:rsidP="002A08E5">
            <w:pPr>
              <w:pStyle w:val="TableContent"/>
              <w:ind w:left="737" w:hanging="340"/>
              <w:rPr>
                <w:i/>
                <w:iCs/>
                <w:sz w:val="24"/>
              </w:rPr>
            </w:pPr>
            <w:r w:rsidRPr="000B6E27">
              <w:rPr>
                <w:sz w:val="24"/>
              </w:rPr>
              <w:t>(b) the right to direct the use of the identified asset (as described in paragraphs B24–B30).’</w:t>
            </w:r>
          </w:p>
        </w:tc>
      </w:tr>
      <w:tr w:rsidR="000044FF" w:rsidRPr="00EB544A" w14:paraId="42064333" w14:textId="77777777">
        <w:trPr>
          <w:trHeight w:val="300"/>
          <w:tblHeader/>
        </w:trPr>
        <w:tc>
          <w:tcPr>
            <w:tcW w:w="9639" w:type="dxa"/>
            <w:shd w:val="clear" w:color="auto" w:fill="F2F2F2" w:themeFill="background1" w:themeFillShade="F2"/>
          </w:tcPr>
          <w:p w14:paraId="27CB6C4B" w14:textId="77777777" w:rsidR="000044FF" w:rsidRPr="002A08E5" w:rsidRDefault="000044FF" w:rsidP="0034527C">
            <w:pPr>
              <w:pStyle w:val="TableContent"/>
              <w:rPr>
                <w:b/>
                <w:bCs/>
                <w:sz w:val="24"/>
              </w:rPr>
            </w:pPr>
            <w:r w:rsidRPr="002A08E5">
              <w:rPr>
                <w:b/>
                <w:bCs/>
                <w:sz w:val="24"/>
              </w:rPr>
              <w:t>Interpretation (AASB 2022: 23-24)</w:t>
            </w:r>
          </w:p>
        </w:tc>
      </w:tr>
      <w:tr w:rsidR="000044FF" w:rsidRPr="00EB544A" w14:paraId="713D5653" w14:textId="77777777">
        <w:trPr>
          <w:trHeight w:val="300"/>
        </w:trPr>
        <w:tc>
          <w:tcPr>
            <w:tcW w:w="9639" w:type="dxa"/>
          </w:tcPr>
          <w:p w14:paraId="054CE016" w14:textId="77777777" w:rsidR="000044FF" w:rsidRPr="000B6E27" w:rsidRDefault="000044FF" w:rsidP="0034527C">
            <w:pPr>
              <w:pStyle w:val="TableContent"/>
              <w:rPr>
                <w:sz w:val="24"/>
              </w:rPr>
            </w:pPr>
            <w:r w:rsidRPr="000B6E27">
              <w:rPr>
                <w:sz w:val="24"/>
              </w:rPr>
              <w:t xml:space="preserve">AASB 16 (2022) paragraphs B1 to B30 provide specific rules regarding the identification of leases. However, a detailed discussion regarding the identification of leases falls outside the scope of these Guidelines. </w:t>
            </w:r>
          </w:p>
        </w:tc>
      </w:tr>
    </w:tbl>
    <w:p w14:paraId="5925A00B" w14:textId="77777777" w:rsidR="000044FF" w:rsidRPr="00EB544A" w:rsidRDefault="000044FF" w:rsidP="00AF5E7A">
      <w:pPr>
        <w:pStyle w:val="Heading4"/>
      </w:pPr>
      <w:r w:rsidRPr="00EB544A">
        <w:t>Recognition of a lease by a lessee</w:t>
      </w:r>
    </w:p>
    <w:p w14:paraId="1379A36F" w14:textId="77777777" w:rsidR="000044FF" w:rsidRPr="00EB544A" w:rsidRDefault="000044FF" w:rsidP="00D70B5C">
      <w:pPr>
        <w:pStyle w:val="BodyText"/>
      </w:pPr>
      <w:r w:rsidRPr="00EB544A">
        <w:t>AASB 16 Leases (2022) states regarding recognition of a lease by a lessee:</w:t>
      </w:r>
    </w:p>
    <w:tbl>
      <w:tblPr>
        <w:tblStyle w:val="TableGrid"/>
        <w:tblW w:w="9639" w:type="dxa"/>
        <w:tblLayout w:type="fixed"/>
        <w:tblLook w:val="06A0" w:firstRow="1" w:lastRow="0" w:firstColumn="1" w:lastColumn="0" w:noHBand="1" w:noVBand="1"/>
      </w:tblPr>
      <w:tblGrid>
        <w:gridCol w:w="9639"/>
      </w:tblGrid>
      <w:tr w:rsidR="000044FF" w:rsidRPr="00EB544A" w14:paraId="0731E4A7" w14:textId="77777777">
        <w:trPr>
          <w:trHeight w:val="300"/>
          <w:tblHeader/>
        </w:trPr>
        <w:tc>
          <w:tcPr>
            <w:tcW w:w="8930" w:type="dxa"/>
            <w:shd w:val="clear" w:color="auto" w:fill="F2F2F2" w:themeFill="background1" w:themeFillShade="F2"/>
          </w:tcPr>
          <w:p w14:paraId="3C7FA035" w14:textId="77777777" w:rsidR="000044FF" w:rsidRPr="00997C67" w:rsidRDefault="000044FF" w:rsidP="00426D8B">
            <w:pPr>
              <w:pStyle w:val="TableContent"/>
              <w:rPr>
                <w:b/>
                <w:bCs/>
                <w:sz w:val="24"/>
              </w:rPr>
            </w:pPr>
            <w:r w:rsidRPr="00997C67">
              <w:rPr>
                <w:b/>
                <w:bCs/>
                <w:sz w:val="24"/>
              </w:rPr>
              <w:t>(AASB 2022: 8)</w:t>
            </w:r>
          </w:p>
        </w:tc>
      </w:tr>
      <w:tr w:rsidR="000044FF" w:rsidRPr="00EB544A" w14:paraId="29D7481F" w14:textId="77777777">
        <w:trPr>
          <w:trHeight w:val="300"/>
        </w:trPr>
        <w:tc>
          <w:tcPr>
            <w:tcW w:w="8930" w:type="dxa"/>
          </w:tcPr>
          <w:p w14:paraId="201D9484" w14:textId="3828A45A" w:rsidR="000044FF" w:rsidRPr="00231DDA" w:rsidRDefault="000044FF" w:rsidP="00426D8B">
            <w:pPr>
              <w:pStyle w:val="TableContent"/>
              <w:ind w:left="397" w:hanging="397"/>
              <w:rPr>
                <w:sz w:val="24"/>
              </w:rPr>
            </w:pPr>
            <w:r w:rsidRPr="00231DDA">
              <w:rPr>
                <w:sz w:val="24"/>
              </w:rPr>
              <w:t>‘22 At the commencement date, a lessee shall recognise a right-of-use asset and a lease liability.’</w:t>
            </w:r>
          </w:p>
        </w:tc>
      </w:tr>
    </w:tbl>
    <w:p w14:paraId="1B97E14C" w14:textId="77777777" w:rsidR="00997C67" w:rsidRDefault="00997C67">
      <w:pPr>
        <w:spacing w:after="0" w:line="240" w:lineRule="auto"/>
        <w:rPr>
          <w:rFonts w:cs="Arial"/>
          <w:b/>
          <w:bCs/>
        </w:rPr>
      </w:pPr>
      <w:r>
        <w:rPr>
          <w:rFonts w:cs="Arial"/>
          <w:b/>
          <w:bCs/>
        </w:rPr>
        <w:br w:type="page"/>
      </w:r>
    </w:p>
    <w:p w14:paraId="42F6A1A2" w14:textId="7DBECBA8" w:rsidR="000044FF" w:rsidRPr="00EB544A" w:rsidRDefault="000044FF" w:rsidP="00AF5E7A">
      <w:pPr>
        <w:pStyle w:val="Heading4"/>
      </w:pPr>
      <w:r w:rsidRPr="00EB544A">
        <w:lastRenderedPageBreak/>
        <w:t>Initial measurement of a right-of-use asset by a lessee</w:t>
      </w:r>
    </w:p>
    <w:p w14:paraId="0AA38B90" w14:textId="77777777" w:rsidR="000044FF" w:rsidRPr="00EB544A" w:rsidRDefault="000044FF" w:rsidP="00D70B5C">
      <w:pPr>
        <w:pStyle w:val="BodyText"/>
      </w:pPr>
      <w:r w:rsidRPr="00EB544A">
        <w:t xml:space="preserve">AASB 16 Leases (2022) states regarding the ‘initial recognition of a right-of-use asset’: </w:t>
      </w:r>
    </w:p>
    <w:tbl>
      <w:tblPr>
        <w:tblStyle w:val="TableGrid"/>
        <w:tblW w:w="9639" w:type="dxa"/>
        <w:tblLook w:val="04A0" w:firstRow="1" w:lastRow="0" w:firstColumn="1" w:lastColumn="0" w:noHBand="0" w:noVBand="1"/>
      </w:tblPr>
      <w:tblGrid>
        <w:gridCol w:w="9607"/>
        <w:gridCol w:w="32"/>
      </w:tblGrid>
      <w:tr w:rsidR="000044FF" w:rsidRPr="00EB544A" w14:paraId="5935F04E" w14:textId="77777777" w:rsidTr="003C5B3C">
        <w:trPr>
          <w:cantSplit/>
        </w:trPr>
        <w:tc>
          <w:tcPr>
            <w:tcW w:w="9639" w:type="dxa"/>
            <w:gridSpan w:val="2"/>
            <w:shd w:val="clear" w:color="auto" w:fill="F2F2F2" w:themeFill="background1" w:themeFillShade="F2"/>
          </w:tcPr>
          <w:p w14:paraId="3F2DC045" w14:textId="77777777" w:rsidR="000044FF" w:rsidRPr="00102FBC" w:rsidRDefault="000044FF" w:rsidP="00997C67">
            <w:pPr>
              <w:pStyle w:val="TableContent"/>
              <w:rPr>
                <w:b/>
                <w:bCs/>
                <w:i/>
                <w:iCs/>
                <w:sz w:val="24"/>
              </w:rPr>
            </w:pPr>
            <w:r w:rsidRPr="00102FBC">
              <w:rPr>
                <w:b/>
                <w:bCs/>
                <w:sz w:val="24"/>
              </w:rPr>
              <w:t>(AASB 2022: 8)</w:t>
            </w:r>
          </w:p>
        </w:tc>
      </w:tr>
      <w:tr w:rsidR="000044FF" w:rsidRPr="00231DDA" w14:paraId="06EEABE9" w14:textId="77777777" w:rsidTr="003C5B3C">
        <w:tc>
          <w:tcPr>
            <w:tcW w:w="9639" w:type="dxa"/>
            <w:gridSpan w:val="2"/>
            <w:tcBorders>
              <w:bottom w:val="single" w:sz="4" w:space="0" w:color="auto"/>
            </w:tcBorders>
          </w:tcPr>
          <w:p w14:paraId="0550C6FE" w14:textId="5A03E919" w:rsidR="000044FF" w:rsidRPr="00231DDA" w:rsidRDefault="000044FF" w:rsidP="00102FBC">
            <w:pPr>
              <w:pStyle w:val="TableContent"/>
              <w:ind w:left="397" w:hanging="397"/>
              <w:rPr>
                <w:sz w:val="24"/>
              </w:rPr>
            </w:pPr>
            <w:r w:rsidRPr="00231DDA">
              <w:rPr>
                <w:sz w:val="24"/>
              </w:rPr>
              <w:t>‘23 At the commencement date, a lessee shall measure the right-of-use asset at cost.’</w:t>
            </w:r>
          </w:p>
        </w:tc>
      </w:tr>
      <w:tr w:rsidR="000044FF" w14:paraId="65B60DAA" w14:textId="77777777" w:rsidTr="003C5B3C">
        <w:trPr>
          <w:gridAfter w:val="1"/>
          <w:wAfter w:w="32" w:type="dxa"/>
        </w:trPr>
        <w:tc>
          <w:tcPr>
            <w:tcW w:w="9607" w:type="dxa"/>
            <w:shd w:val="clear" w:color="auto" w:fill="F2F2F2" w:themeFill="background1" w:themeFillShade="F2"/>
          </w:tcPr>
          <w:p w14:paraId="73B44488" w14:textId="7C8B4893" w:rsidR="000044FF" w:rsidRPr="003C5B3C" w:rsidRDefault="000044FF" w:rsidP="003C5B3C">
            <w:pPr>
              <w:pStyle w:val="TableContent"/>
              <w:rPr>
                <w:b/>
                <w:bCs/>
                <w:sz w:val="24"/>
              </w:rPr>
            </w:pPr>
            <w:r w:rsidRPr="003C5B3C">
              <w:rPr>
                <w:b/>
                <w:bCs/>
                <w:sz w:val="24"/>
              </w:rPr>
              <w:t>(AASB 2022: 8)</w:t>
            </w:r>
          </w:p>
        </w:tc>
      </w:tr>
      <w:tr w:rsidR="000044FF" w14:paraId="21FEB7D2" w14:textId="77777777" w:rsidTr="003C5B3C">
        <w:trPr>
          <w:gridAfter w:val="1"/>
          <w:wAfter w:w="32" w:type="dxa"/>
        </w:trPr>
        <w:tc>
          <w:tcPr>
            <w:tcW w:w="9607" w:type="dxa"/>
            <w:tcBorders>
              <w:bottom w:val="single" w:sz="4" w:space="0" w:color="auto"/>
            </w:tcBorders>
          </w:tcPr>
          <w:p w14:paraId="14372121" w14:textId="77777777" w:rsidR="000044FF" w:rsidRPr="00231DDA" w:rsidRDefault="000044FF" w:rsidP="003C5B3C">
            <w:pPr>
              <w:pStyle w:val="TableContent"/>
              <w:ind w:left="1021" w:hanging="1021"/>
              <w:rPr>
                <w:sz w:val="24"/>
              </w:rPr>
            </w:pPr>
            <w:r w:rsidRPr="00231DDA">
              <w:rPr>
                <w:i/>
                <w:iCs/>
                <w:sz w:val="24"/>
              </w:rPr>
              <w:t>‘</w:t>
            </w:r>
            <w:r w:rsidRPr="00231DDA">
              <w:rPr>
                <w:sz w:val="24"/>
              </w:rPr>
              <w:t>Aus25.1 Notwithstanding paragraphs 23–25, where the lessee is a not-for-profit entity, the lessee may elect to measure right-of-use assets on a class-by-class basis at initial recognition at fair value in accordance with AASB 13 Fair Value Measurement for leases that have significantly below market terms and conditions principally to enable the entity to further its objectives. AASB 1058 Income of Not-for-Profit Entities addresses the recognition of related amounts.’</w:t>
            </w:r>
          </w:p>
        </w:tc>
      </w:tr>
      <w:tr w:rsidR="000044FF" w14:paraId="52E0DA25" w14:textId="77777777" w:rsidTr="003C5B3C">
        <w:trPr>
          <w:gridAfter w:val="1"/>
          <w:wAfter w:w="32" w:type="dxa"/>
        </w:trPr>
        <w:tc>
          <w:tcPr>
            <w:tcW w:w="9607" w:type="dxa"/>
            <w:shd w:val="clear" w:color="auto" w:fill="F2F2F2" w:themeFill="background1" w:themeFillShade="F2"/>
          </w:tcPr>
          <w:p w14:paraId="43DEBC0B" w14:textId="7CDBBC8A" w:rsidR="000044FF" w:rsidRPr="008A7F6C" w:rsidRDefault="000044FF" w:rsidP="003C5B3C">
            <w:pPr>
              <w:pStyle w:val="TableContent"/>
              <w:rPr>
                <w:b/>
                <w:bCs/>
                <w:i/>
                <w:iCs/>
                <w:sz w:val="24"/>
              </w:rPr>
            </w:pPr>
            <w:r w:rsidRPr="008A7F6C">
              <w:rPr>
                <w:b/>
                <w:bCs/>
                <w:sz w:val="24"/>
              </w:rPr>
              <w:t>Interpretation (AASB 2022: 8)</w:t>
            </w:r>
          </w:p>
        </w:tc>
      </w:tr>
      <w:tr w:rsidR="000044FF" w14:paraId="68049703" w14:textId="77777777" w:rsidTr="003C5B3C">
        <w:trPr>
          <w:gridAfter w:val="1"/>
          <w:wAfter w:w="32" w:type="dxa"/>
        </w:trPr>
        <w:tc>
          <w:tcPr>
            <w:tcW w:w="9607" w:type="dxa"/>
          </w:tcPr>
          <w:p w14:paraId="171DA9B7" w14:textId="77777777" w:rsidR="000044FF" w:rsidRPr="003C5B3C" w:rsidRDefault="000044FF" w:rsidP="00533451">
            <w:pPr>
              <w:pStyle w:val="TableContent"/>
              <w:rPr>
                <w:i/>
                <w:iCs/>
                <w:sz w:val="24"/>
              </w:rPr>
            </w:pPr>
            <w:r w:rsidRPr="003C5B3C">
              <w:rPr>
                <w:sz w:val="24"/>
              </w:rPr>
              <w:t>A not-for-profit entity has discretion, at initial recognition to measure a class of tight-of-use assets at fair value in accordance with AASB Fair Value Measurement (2022) if it meets the criteria in paragraph Aus25.1.</w:t>
            </w:r>
          </w:p>
        </w:tc>
      </w:tr>
    </w:tbl>
    <w:p w14:paraId="13223D83" w14:textId="77777777" w:rsidR="000044FF" w:rsidRPr="00EB544A" w:rsidRDefault="000044FF" w:rsidP="00AF5E7A">
      <w:pPr>
        <w:pStyle w:val="Heading4"/>
      </w:pPr>
      <w:r w:rsidRPr="00EB544A">
        <w:t>Subsequent measurement of a right-of-use asset by a lessee</w:t>
      </w:r>
    </w:p>
    <w:p w14:paraId="239E81E4" w14:textId="77777777" w:rsidR="000044FF" w:rsidRPr="00EB544A" w:rsidRDefault="000044FF" w:rsidP="00D70B5C">
      <w:pPr>
        <w:pStyle w:val="BodyText"/>
      </w:pPr>
      <w:r w:rsidRPr="00EB544A">
        <w:t>AASB 16 Leases (2022) states regarding ‘subsequent measurement of a right-of-use asset’</w:t>
      </w:r>
      <w:r w:rsidRPr="00EB544A">
        <w:rPr>
          <w:i/>
          <w:iCs/>
        </w:rPr>
        <w:t>:</w:t>
      </w:r>
    </w:p>
    <w:tbl>
      <w:tblPr>
        <w:tblStyle w:val="TableGrid"/>
        <w:tblW w:w="9639" w:type="dxa"/>
        <w:tblInd w:w="-5" w:type="dxa"/>
        <w:tblLayout w:type="fixed"/>
        <w:tblLook w:val="06A0" w:firstRow="1" w:lastRow="0" w:firstColumn="1" w:lastColumn="0" w:noHBand="1" w:noVBand="1"/>
      </w:tblPr>
      <w:tblGrid>
        <w:gridCol w:w="9639"/>
      </w:tblGrid>
      <w:tr w:rsidR="000044FF" w:rsidRPr="00D6598E" w14:paraId="2C0E2DA6" w14:textId="77777777">
        <w:trPr>
          <w:trHeight w:val="300"/>
          <w:tblHeader/>
        </w:trPr>
        <w:tc>
          <w:tcPr>
            <w:tcW w:w="9639" w:type="dxa"/>
            <w:tcBorders>
              <w:bottom w:val="single" w:sz="4" w:space="0" w:color="auto"/>
            </w:tcBorders>
            <w:shd w:val="clear" w:color="auto" w:fill="F2F2F2" w:themeFill="background1" w:themeFillShade="F2"/>
          </w:tcPr>
          <w:p w14:paraId="12E9BD41" w14:textId="77777777" w:rsidR="000044FF" w:rsidRPr="00F14A17" w:rsidRDefault="000044FF" w:rsidP="00F14A17">
            <w:pPr>
              <w:pStyle w:val="TableContent"/>
              <w:rPr>
                <w:sz w:val="24"/>
              </w:rPr>
            </w:pPr>
            <w:r w:rsidRPr="0003473B">
              <w:rPr>
                <w:b/>
                <w:bCs/>
                <w:sz w:val="24"/>
              </w:rPr>
              <w:t>(AASB 2022: 9)</w:t>
            </w:r>
          </w:p>
        </w:tc>
      </w:tr>
      <w:tr w:rsidR="000044FF" w:rsidRPr="00EB544A" w14:paraId="2E1CF966" w14:textId="77777777">
        <w:trPr>
          <w:trHeight w:val="300"/>
        </w:trPr>
        <w:tc>
          <w:tcPr>
            <w:tcW w:w="9639" w:type="dxa"/>
            <w:tcBorders>
              <w:bottom w:val="single" w:sz="4" w:space="0" w:color="auto"/>
            </w:tcBorders>
          </w:tcPr>
          <w:p w14:paraId="36F9F446" w14:textId="77777777" w:rsidR="000044FF" w:rsidRPr="00231DDA" w:rsidRDefault="000044FF" w:rsidP="008D5A48">
            <w:pPr>
              <w:pStyle w:val="TableContent"/>
              <w:ind w:left="397" w:hanging="397"/>
              <w:rPr>
                <w:i/>
                <w:iCs/>
                <w:sz w:val="24"/>
              </w:rPr>
            </w:pPr>
            <w:r w:rsidRPr="00231DDA">
              <w:rPr>
                <w:i/>
                <w:iCs/>
                <w:sz w:val="24"/>
              </w:rPr>
              <w:t>‘</w:t>
            </w:r>
            <w:r w:rsidRPr="00231DDA">
              <w:rPr>
                <w:sz w:val="24"/>
              </w:rPr>
              <w:t>29 After the commencement date, a lessee shall measure the right-of-use asset applying a cost model, unless it applies either of the measurement models described in paragraphs 34 and 35</w:t>
            </w:r>
            <w:r w:rsidRPr="00231DDA">
              <w:rPr>
                <w:i/>
                <w:iCs/>
                <w:sz w:val="24"/>
              </w:rPr>
              <w:t>.’</w:t>
            </w:r>
          </w:p>
        </w:tc>
      </w:tr>
      <w:tr w:rsidR="000044FF" w:rsidRPr="00EB544A" w14:paraId="7CB26FC8" w14:textId="77777777">
        <w:trPr>
          <w:trHeight w:val="300"/>
          <w:tblHeader/>
        </w:trPr>
        <w:tc>
          <w:tcPr>
            <w:tcW w:w="9639" w:type="dxa"/>
            <w:tcBorders>
              <w:bottom w:val="single" w:sz="4" w:space="0" w:color="auto"/>
            </w:tcBorders>
            <w:shd w:val="clear" w:color="auto" w:fill="F2F2F2" w:themeFill="background1" w:themeFillShade="F2"/>
          </w:tcPr>
          <w:p w14:paraId="28987AF9" w14:textId="77777777" w:rsidR="000044FF" w:rsidRPr="008D5A48" w:rsidRDefault="000044FF" w:rsidP="00F14A17">
            <w:pPr>
              <w:pStyle w:val="TableContent"/>
              <w:rPr>
                <w:b/>
                <w:bCs/>
                <w:sz w:val="24"/>
              </w:rPr>
            </w:pPr>
            <w:r w:rsidRPr="008D5A48">
              <w:rPr>
                <w:b/>
                <w:bCs/>
                <w:sz w:val="24"/>
              </w:rPr>
              <w:t>(AASB 2022: 10)</w:t>
            </w:r>
          </w:p>
        </w:tc>
      </w:tr>
      <w:tr w:rsidR="000044FF" w:rsidRPr="00EB544A" w14:paraId="28E84804" w14:textId="77777777" w:rsidTr="006E64C3">
        <w:trPr>
          <w:trHeight w:val="300"/>
          <w:tblHeader/>
        </w:trPr>
        <w:tc>
          <w:tcPr>
            <w:tcW w:w="9639" w:type="dxa"/>
          </w:tcPr>
          <w:p w14:paraId="647736E0" w14:textId="6C73E56E" w:rsidR="000044FF" w:rsidRPr="00F14A17" w:rsidRDefault="000044FF" w:rsidP="00DD664D">
            <w:pPr>
              <w:pStyle w:val="TableContent"/>
              <w:ind w:left="397" w:hanging="397"/>
              <w:rPr>
                <w:sz w:val="24"/>
              </w:rPr>
            </w:pPr>
            <w:r w:rsidRPr="00F14A17">
              <w:rPr>
                <w:sz w:val="24"/>
              </w:rPr>
              <w:t xml:space="preserve">‘34 If a lessee applies the fair value model in AASB 140 Investment Property to its investment property, the lessee shall also apply that fair value model to right-of-use assets that meet the definition of investment property in AASB 140. </w:t>
            </w:r>
          </w:p>
          <w:p w14:paraId="12A39719" w14:textId="02AE96D8" w:rsidR="000044FF" w:rsidRPr="00F14A17" w:rsidRDefault="000044FF" w:rsidP="006E64C3">
            <w:pPr>
              <w:pStyle w:val="TableContent"/>
              <w:ind w:left="397" w:hanging="397"/>
              <w:rPr>
                <w:sz w:val="24"/>
              </w:rPr>
            </w:pPr>
            <w:proofErr w:type="gramStart"/>
            <w:r w:rsidRPr="00F14A17">
              <w:rPr>
                <w:sz w:val="24"/>
              </w:rPr>
              <w:t xml:space="preserve">35 </w:t>
            </w:r>
            <w:r w:rsidR="009248B3">
              <w:rPr>
                <w:sz w:val="24"/>
              </w:rPr>
              <w:t xml:space="preserve"> </w:t>
            </w:r>
            <w:r w:rsidRPr="00F14A17">
              <w:rPr>
                <w:sz w:val="24"/>
              </w:rPr>
              <w:t>If</w:t>
            </w:r>
            <w:proofErr w:type="gramEnd"/>
            <w:r w:rsidRPr="00F14A17">
              <w:rPr>
                <w:sz w:val="24"/>
              </w:rPr>
              <w:t xml:space="preserve"> right-of-use assets relate to a class of property, plant and equipment to which the lessee applies the revaluation model in AASB 116, a lessee may elect to apply that revaluation model to </w:t>
            </w:r>
            <w:proofErr w:type="gramStart"/>
            <w:r w:rsidRPr="00F14A17">
              <w:rPr>
                <w:sz w:val="24"/>
              </w:rPr>
              <w:t>all of</w:t>
            </w:r>
            <w:proofErr w:type="gramEnd"/>
            <w:r w:rsidRPr="00F14A17">
              <w:rPr>
                <w:sz w:val="24"/>
              </w:rPr>
              <w:t xml:space="preserve"> the right-of-use assets that relate to that class of property, plant and equipment.</w:t>
            </w:r>
            <w:r w:rsidR="007B14BC">
              <w:rPr>
                <w:sz w:val="24"/>
              </w:rPr>
              <w:t>’</w:t>
            </w:r>
            <w:r w:rsidRPr="00F14A17">
              <w:rPr>
                <w:sz w:val="24"/>
              </w:rPr>
              <w:t xml:space="preserve"> </w:t>
            </w:r>
          </w:p>
        </w:tc>
      </w:tr>
    </w:tbl>
    <w:p w14:paraId="2C219AC5" w14:textId="77777777" w:rsidR="006E64C3" w:rsidRDefault="006E64C3">
      <w:pPr>
        <w:spacing w:after="0" w:line="240" w:lineRule="auto"/>
      </w:pPr>
      <w:r>
        <w:br w:type="page"/>
      </w:r>
    </w:p>
    <w:tbl>
      <w:tblPr>
        <w:tblStyle w:val="TableGrid"/>
        <w:tblW w:w="0" w:type="auto"/>
        <w:tblLook w:val="04A0" w:firstRow="1" w:lastRow="0" w:firstColumn="1" w:lastColumn="0" w:noHBand="0" w:noVBand="1"/>
      </w:tblPr>
      <w:tblGrid>
        <w:gridCol w:w="9607"/>
      </w:tblGrid>
      <w:tr w:rsidR="008173EC" w14:paraId="076BBE06" w14:textId="77777777" w:rsidTr="00CE37E9">
        <w:tc>
          <w:tcPr>
            <w:tcW w:w="9607" w:type="dxa"/>
            <w:shd w:val="clear" w:color="auto" w:fill="F2F2F2" w:themeFill="background1" w:themeFillShade="F2"/>
          </w:tcPr>
          <w:p w14:paraId="24CA7EB5" w14:textId="29CCC048" w:rsidR="008173EC" w:rsidRPr="006E64C3" w:rsidRDefault="008D016A" w:rsidP="006E64C3">
            <w:pPr>
              <w:pStyle w:val="TableContent"/>
              <w:rPr>
                <w:b/>
                <w:bCs/>
                <w:sz w:val="24"/>
              </w:rPr>
            </w:pPr>
            <w:r w:rsidRPr="006E64C3">
              <w:rPr>
                <w:b/>
                <w:bCs/>
                <w:sz w:val="24"/>
              </w:rPr>
              <w:lastRenderedPageBreak/>
              <w:t>(AASB 2022:10)</w:t>
            </w:r>
          </w:p>
        </w:tc>
      </w:tr>
      <w:tr w:rsidR="001D0E49" w14:paraId="76F0B593" w14:textId="77777777" w:rsidTr="00CE37E9">
        <w:tc>
          <w:tcPr>
            <w:tcW w:w="9607" w:type="dxa"/>
            <w:tcBorders>
              <w:bottom w:val="single" w:sz="4" w:space="0" w:color="000000"/>
            </w:tcBorders>
          </w:tcPr>
          <w:p w14:paraId="28D10D1C" w14:textId="2D748071" w:rsidR="001D0E49" w:rsidRPr="006E64C3" w:rsidRDefault="006E64C3" w:rsidP="006E64C3">
            <w:pPr>
              <w:pStyle w:val="TableContent"/>
              <w:ind w:left="964" w:hanging="964"/>
              <w:rPr>
                <w:sz w:val="24"/>
              </w:rPr>
            </w:pPr>
            <w:r>
              <w:rPr>
                <w:sz w:val="24"/>
              </w:rPr>
              <w:t>‘</w:t>
            </w:r>
            <w:r w:rsidR="00B00C45" w:rsidRPr="006E64C3">
              <w:rPr>
                <w:sz w:val="24"/>
              </w:rPr>
              <w:t>Aus35.1 Notwithstanding paragraph 35, a not-for-profit public sector entity may elect to measure a class of right-of-use assets at cost or at fair value if the entity applies the revaluation model in AASB 116 to the related class of property, plant and equipment.’</w:t>
            </w:r>
          </w:p>
        </w:tc>
      </w:tr>
      <w:tr w:rsidR="00F63176" w14:paraId="49E63DC1" w14:textId="77777777" w:rsidTr="00CE37E9">
        <w:tc>
          <w:tcPr>
            <w:tcW w:w="9607" w:type="dxa"/>
            <w:shd w:val="clear" w:color="auto" w:fill="F2F2F2" w:themeFill="background1" w:themeFillShade="F2"/>
          </w:tcPr>
          <w:p w14:paraId="0B72B068" w14:textId="559D58F3" w:rsidR="00F63176" w:rsidRPr="00F63176" w:rsidRDefault="00F63176" w:rsidP="00F63176">
            <w:pPr>
              <w:pStyle w:val="TableContent"/>
              <w:rPr>
                <w:b/>
                <w:bCs/>
                <w:sz w:val="24"/>
              </w:rPr>
            </w:pPr>
            <w:r w:rsidRPr="00F63176">
              <w:rPr>
                <w:b/>
                <w:bCs/>
                <w:sz w:val="24"/>
              </w:rPr>
              <w:t>Interpretation (AASB 2022: 10)</w:t>
            </w:r>
          </w:p>
        </w:tc>
      </w:tr>
      <w:tr w:rsidR="00F63176" w14:paraId="2E9C0D23" w14:textId="77777777">
        <w:tc>
          <w:tcPr>
            <w:tcW w:w="9607" w:type="dxa"/>
          </w:tcPr>
          <w:p w14:paraId="106A44A9" w14:textId="77777777" w:rsidR="00F63176" w:rsidRPr="00F63176" w:rsidRDefault="00F63176" w:rsidP="00533451">
            <w:pPr>
              <w:pStyle w:val="TableContent"/>
              <w:rPr>
                <w:sz w:val="24"/>
              </w:rPr>
            </w:pPr>
            <w:r w:rsidRPr="00F63176">
              <w:rPr>
                <w:sz w:val="24"/>
              </w:rPr>
              <w:t xml:space="preserve">Paragraph 34: </w:t>
            </w:r>
          </w:p>
          <w:p w14:paraId="57D8CDD3" w14:textId="37BFF775" w:rsidR="00F63176" w:rsidRPr="00F63176" w:rsidRDefault="00F63176" w:rsidP="00533451">
            <w:pPr>
              <w:pStyle w:val="TableContent"/>
              <w:rPr>
                <w:sz w:val="24"/>
              </w:rPr>
            </w:pPr>
            <w:r w:rsidRPr="00F63176">
              <w:rPr>
                <w:sz w:val="24"/>
              </w:rPr>
              <w:t>Compliance with paragraph 34 will result in a consistent approach being applied across all investment properties (being investment properties owned and ‘right of-use assets which meet the definition of an investment property in AASB 140’</w:t>
            </w:r>
            <w:r w:rsidR="00231DDA">
              <w:rPr>
                <w:sz w:val="24"/>
              </w:rPr>
              <w:t>).</w:t>
            </w:r>
          </w:p>
          <w:p w14:paraId="335D0DF7" w14:textId="77777777" w:rsidR="00F63176" w:rsidRPr="00F63176" w:rsidRDefault="00F63176" w:rsidP="00533451">
            <w:pPr>
              <w:pStyle w:val="TableContent"/>
              <w:rPr>
                <w:sz w:val="24"/>
              </w:rPr>
            </w:pPr>
            <w:r w:rsidRPr="00F63176">
              <w:rPr>
                <w:sz w:val="24"/>
              </w:rPr>
              <w:t xml:space="preserve">Paragraph Aus35.1 </w:t>
            </w:r>
          </w:p>
          <w:p w14:paraId="20DBE2E4" w14:textId="13ED8F4E" w:rsidR="00F63176" w:rsidRPr="00F63176" w:rsidRDefault="00F63176" w:rsidP="00533451">
            <w:pPr>
              <w:pStyle w:val="TableContent"/>
              <w:rPr>
                <w:sz w:val="24"/>
              </w:rPr>
            </w:pPr>
            <w:r w:rsidRPr="00F63176">
              <w:rPr>
                <w:sz w:val="24"/>
              </w:rPr>
              <w:t xml:space="preserve">Compliance with paragraph Aus35.1 may result in an inconsistent measurement approach being applied </w:t>
            </w:r>
            <w:proofErr w:type="gramStart"/>
            <w:r w:rsidRPr="00F63176">
              <w:rPr>
                <w:sz w:val="24"/>
              </w:rPr>
              <w:t>to  a</w:t>
            </w:r>
            <w:proofErr w:type="gramEnd"/>
            <w:r w:rsidRPr="00F63176">
              <w:rPr>
                <w:sz w:val="24"/>
              </w:rPr>
              <w:t xml:space="preserve"> class of right-of-use assets which relate to a class of property, plant or equipment. </w:t>
            </w:r>
          </w:p>
        </w:tc>
      </w:tr>
    </w:tbl>
    <w:p w14:paraId="1D1D731E" w14:textId="379F9CBB" w:rsidR="000044FF" w:rsidRDefault="000044FF" w:rsidP="000044FF">
      <w:pPr>
        <w:spacing w:after="160" w:line="278" w:lineRule="auto"/>
      </w:pPr>
      <w:r>
        <w:br w:type="page"/>
      </w:r>
    </w:p>
    <w:p w14:paraId="0DD610AE" w14:textId="77777777" w:rsidR="000044FF" w:rsidRPr="00D6598E" w:rsidRDefault="000044FF" w:rsidP="000044FF">
      <w:pPr>
        <w:pStyle w:val="Heading2"/>
        <w:rPr>
          <w:b w:val="0"/>
          <w:bCs w:val="0"/>
        </w:rPr>
      </w:pPr>
      <w:bookmarkStart w:id="121" w:name="_Toc170118990"/>
      <w:bookmarkStart w:id="122" w:name="_Toc207722758"/>
      <w:bookmarkStart w:id="123" w:name="_Toc223445091"/>
      <w:r w:rsidRPr="00D6598E">
        <w:lastRenderedPageBreak/>
        <w:t>AASB 1051 Land Under Roads</w:t>
      </w:r>
      <w:bookmarkEnd w:id="121"/>
      <w:r w:rsidRPr="00D6598E">
        <w:t xml:space="preserve"> (2020)</w:t>
      </w:r>
      <w:bookmarkEnd w:id="122"/>
      <w:bookmarkEnd w:id="123"/>
    </w:p>
    <w:p w14:paraId="760D4CC5" w14:textId="3619B107" w:rsidR="0061736D" w:rsidRDefault="006F74F8" w:rsidP="00AF5E7A">
      <w:pPr>
        <w:pStyle w:val="Heading4"/>
      </w:pPr>
      <w:r>
        <w:t xml:space="preserve">‘Land </w:t>
      </w:r>
      <w:r w:rsidR="00547FB3">
        <w:t xml:space="preserve">under roads </w:t>
      </w:r>
      <w:r>
        <w:t xml:space="preserve">acquired </w:t>
      </w:r>
      <w:r w:rsidR="0061736D" w:rsidRPr="0051285F">
        <w:t>before the end of the first reporting period ending on or after 31 December 2007</w:t>
      </w:r>
      <w:r>
        <w:t>’</w:t>
      </w:r>
    </w:p>
    <w:p w14:paraId="684AA153" w14:textId="6B13EA38" w:rsidR="000044FF" w:rsidRPr="00D6598E" w:rsidRDefault="000044FF" w:rsidP="00D70B5C">
      <w:pPr>
        <w:pStyle w:val="BodyText"/>
        <w:rPr>
          <w:b/>
          <w:bCs/>
        </w:rPr>
      </w:pPr>
      <w:r w:rsidRPr="00D6598E">
        <w:t>AASB 1051 Land Under Roads (2020)</w:t>
      </w:r>
      <w:r w:rsidRPr="00D6598E">
        <w:rPr>
          <w:b/>
          <w:bCs/>
        </w:rPr>
        <w:t xml:space="preserve"> </w:t>
      </w:r>
      <w:r w:rsidRPr="00D6598E">
        <w:t>states:</w:t>
      </w:r>
      <w:r w:rsidRPr="00D6598E">
        <w:rPr>
          <w:b/>
          <w:bCs/>
        </w:rPr>
        <w:t xml:space="preserve"> </w:t>
      </w:r>
    </w:p>
    <w:tbl>
      <w:tblPr>
        <w:tblStyle w:val="TableGrid"/>
        <w:tblW w:w="9639" w:type="dxa"/>
        <w:tblLook w:val="04A0" w:firstRow="1" w:lastRow="0" w:firstColumn="1" w:lastColumn="0" w:noHBand="0" w:noVBand="1"/>
      </w:tblPr>
      <w:tblGrid>
        <w:gridCol w:w="9639"/>
      </w:tblGrid>
      <w:tr w:rsidR="000044FF" w:rsidRPr="00D6598E" w14:paraId="52038989" w14:textId="77777777">
        <w:trPr>
          <w:tblHeader/>
        </w:trPr>
        <w:tc>
          <w:tcPr>
            <w:tcW w:w="9639" w:type="dxa"/>
            <w:shd w:val="clear" w:color="auto" w:fill="F2F2F2" w:themeFill="background1" w:themeFillShade="F2"/>
          </w:tcPr>
          <w:p w14:paraId="121BDD40" w14:textId="77777777" w:rsidR="000044FF" w:rsidRPr="00803C51" w:rsidRDefault="000044FF" w:rsidP="002D44E1">
            <w:pPr>
              <w:pStyle w:val="TableContent"/>
              <w:rPr>
                <w:b/>
                <w:bCs/>
                <w:sz w:val="24"/>
              </w:rPr>
            </w:pPr>
            <w:r w:rsidRPr="00803C51">
              <w:rPr>
                <w:b/>
                <w:bCs/>
                <w:sz w:val="24"/>
              </w:rPr>
              <w:t>(AASB 2020: 5-6)</w:t>
            </w:r>
          </w:p>
        </w:tc>
      </w:tr>
      <w:tr w:rsidR="000044FF" w:rsidRPr="00D6598E" w14:paraId="4480353D" w14:textId="77777777">
        <w:tc>
          <w:tcPr>
            <w:tcW w:w="9639" w:type="dxa"/>
          </w:tcPr>
          <w:p w14:paraId="6CC029D4" w14:textId="0FC66B53" w:rsidR="000044FF" w:rsidRPr="00231DDA" w:rsidRDefault="000044FF" w:rsidP="00506015">
            <w:pPr>
              <w:pStyle w:val="TableContent"/>
              <w:ind w:left="284" w:hanging="284"/>
              <w:rPr>
                <w:color w:val="000000"/>
                <w:sz w:val="24"/>
              </w:rPr>
            </w:pPr>
            <w:r w:rsidRPr="00231DDA">
              <w:rPr>
                <w:color w:val="000000"/>
                <w:sz w:val="24"/>
              </w:rPr>
              <w:t xml:space="preserve">‘7 Other Australian Accounting Standards (including AASB 116 Property, Plant and Equipment) apply to land under roads, except to the extent that this Standard requires or permits otherwise. This Standard does not apply to land under roads that are service concession assets in accordance with AASB 1059 Service Concession Arrangements: Grantors. </w:t>
            </w:r>
          </w:p>
          <w:p w14:paraId="23119AC9" w14:textId="7A3BF83C" w:rsidR="000044FF" w:rsidRPr="00231DDA" w:rsidRDefault="000044FF" w:rsidP="00506015">
            <w:pPr>
              <w:pStyle w:val="TableContent"/>
              <w:ind w:left="284" w:hanging="284"/>
              <w:rPr>
                <w:color w:val="000000"/>
                <w:sz w:val="24"/>
              </w:rPr>
            </w:pPr>
            <w:r w:rsidRPr="00231DDA">
              <w:rPr>
                <w:color w:val="000000"/>
                <w:sz w:val="24"/>
              </w:rPr>
              <w:t xml:space="preserve">8 </w:t>
            </w:r>
            <w:r w:rsidR="005B0539" w:rsidRPr="00231DDA">
              <w:rPr>
                <w:color w:val="000000"/>
                <w:sz w:val="24"/>
              </w:rPr>
              <w:t xml:space="preserve"> </w:t>
            </w:r>
            <w:r w:rsidRPr="00231DDA">
              <w:rPr>
                <w:color w:val="000000"/>
                <w:sz w:val="24"/>
              </w:rPr>
              <w:t xml:space="preserve">An entity may elect to recognise (including continue to recognise or to recognise for the first time), subject to satisfaction of the asset recognition criteria, or not to recognise (including continue not to recognise or to derecognise) as an asset, land under roads acquired before the end of the first reporting period ending on or after 31 December 2007. </w:t>
            </w:r>
          </w:p>
          <w:p w14:paraId="756BD2BB" w14:textId="69AF0789" w:rsidR="000044FF" w:rsidRPr="00803C51" w:rsidRDefault="000044FF" w:rsidP="00506015">
            <w:pPr>
              <w:pStyle w:val="TableContent"/>
              <w:ind w:left="284" w:hanging="284"/>
              <w:rPr>
                <w:color w:val="000000"/>
                <w:sz w:val="24"/>
              </w:rPr>
            </w:pPr>
            <w:proofErr w:type="gramStart"/>
            <w:r w:rsidRPr="00231DDA">
              <w:rPr>
                <w:color w:val="000000"/>
                <w:sz w:val="24"/>
              </w:rPr>
              <w:t xml:space="preserve">9 </w:t>
            </w:r>
            <w:r w:rsidR="005B0539" w:rsidRPr="00231DDA">
              <w:rPr>
                <w:color w:val="000000"/>
                <w:sz w:val="24"/>
              </w:rPr>
              <w:t xml:space="preserve"> </w:t>
            </w:r>
            <w:r w:rsidRPr="00231DDA">
              <w:rPr>
                <w:color w:val="000000"/>
                <w:sz w:val="24"/>
              </w:rPr>
              <w:t>An</w:t>
            </w:r>
            <w:proofErr w:type="gramEnd"/>
            <w:r w:rsidRPr="00231DDA">
              <w:rPr>
                <w:color w:val="000000"/>
                <w:sz w:val="24"/>
              </w:rPr>
              <w:t xml:space="preserve"> entity shall make a final election under paragraph 8 effective as at the first day of the next reporting period following the end of the first reporting period ending on or after 31 December 2007. Any adjustments that arise from a final election that is made effective as at that first day shall be made against the opening balance of accumulated surplus (deficiency) of that next reporting period.’</w:t>
            </w:r>
          </w:p>
        </w:tc>
      </w:tr>
      <w:tr w:rsidR="000044FF" w:rsidRPr="00D6598E" w14:paraId="288E7D40" w14:textId="77777777">
        <w:tc>
          <w:tcPr>
            <w:tcW w:w="9639" w:type="dxa"/>
            <w:shd w:val="clear" w:color="auto" w:fill="F2F2F2" w:themeFill="background1" w:themeFillShade="F2"/>
          </w:tcPr>
          <w:p w14:paraId="1F129FF0" w14:textId="656F66D4" w:rsidR="000044FF" w:rsidRPr="0051285F" w:rsidRDefault="000044FF" w:rsidP="0051285F">
            <w:pPr>
              <w:pStyle w:val="TableContent"/>
              <w:rPr>
                <w:b/>
                <w:bCs/>
                <w:sz w:val="24"/>
              </w:rPr>
            </w:pPr>
            <w:r w:rsidRPr="0051285F">
              <w:rPr>
                <w:b/>
                <w:bCs/>
                <w:sz w:val="24"/>
              </w:rPr>
              <w:t>Interpretation (AASB 2020: 5-6</w:t>
            </w:r>
            <w:r w:rsidR="004D2343">
              <w:rPr>
                <w:b/>
                <w:bCs/>
                <w:sz w:val="24"/>
              </w:rPr>
              <w:t>)</w:t>
            </w:r>
          </w:p>
        </w:tc>
      </w:tr>
      <w:tr w:rsidR="000044FF" w:rsidRPr="00D6598E" w14:paraId="11AB329D" w14:textId="77777777">
        <w:tc>
          <w:tcPr>
            <w:tcW w:w="9639" w:type="dxa"/>
          </w:tcPr>
          <w:p w14:paraId="7D67C987" w14:textId="03D9B89A" w:rsidR="000044FF" w:rsidRPr="0051285F" w:rsidRDefault="000044FF" w:rsidP="0051285F">
            <w:pPr>
              <w:pStyle w:val="TableContent"/>
              <w:rPr>
                <w:sz w:val="24"/>
              </w:rPr>
            </w:pPr>
            <w:r w:rsidRPr="0051285F">
              <w:rPr>
                <w:sz w:val="24"/>
              </w:rPr>
              <w:t xml:space="preserve">A local government has discretion to recognise land under roads </w:t>
            </w:r>
            <w:r w:rsidRPr="0051285F">
              <w:rPr>
                <w:color w:val="000000"/>
                <w:sz w:val="24"/>
              </w:rPr>
              <w:t>acquired before the end of the first reporting period ending on or after 31 December 2007</w:t>
            </w:r>
            <w:r w:rsidRPr="0051285F">
              <w:rPr>
                <w:sz w:val="24"/>
              </w:rPr>
              <w:t xml:space="preserve"> as an asset if it meets the asset recognition criteria.</w:t>
            </w:r>
          </w:p>
        </w:tc>
      </w:tr>
    </w:tbl>
    <w:p w14:paraId="76D9FB09" w14:textId="12656C96" w:rsidR="00547FB3" w:rsidRPr="009D2186" w:rsidRDefault="00547FB3" w:rsidP="009D2186">
      <w:pPr>
        <w:pStyle w:val="Heading4"/>
        <w:rPr>
          <w:rStyle w:val="Heading4Char"/>
          <w:b/>
          <w:bCs/>
        </w:rPr>
      </w:pPr>
      <w:r w:rsidRPr="009D2186">
        <w:t>‘</w:t>
      </w:r>
      <w:r w:rsidRPr="009D2186">
        <w:rPr>
          <w:rStyle w:val="Heading4Char"/>
          <w:b/>
          <w:bCs/>
        </w:rPr>
        <w:t>Land under roads acquired after the end of the first reporting period ending on or after 31 December 2007’</w:t>
      </w:r>
    </w:p>
    <w:tbl>
      <w:tblPr>
        <w:tblStyle w:val="TableGrid"/>
        <w:tblW w:w="0" w:type="auto"/>
        <w:tblLook w:val="04A0" w:firstRow="1" w:lastRow="0" w:firstColumn="1" w:lastColumn="0" w:noHBand="0" w:noVBand="1"/>
      </w:tblPr>
      <w:tblGrid>
        <w:gridCol w:w="9607"/>
      </w:tblGrid>
      <w:tr w:rsidR="00FE1846" w14:paraId="6434A2D9" w14:textId="77777777" w:rsidTr="00570D5A">
        <w:tc>
          <w:tcPr>
            <w:tcW w:w="9607" w:type="dxa"/>
            <w:shd w:val="clear" w:color="auto" w:fill="F2F2F2" w:themeFill="background1" w:themeFillShade="F2"/>
          </w:tcPr>
          <w:p w14:paraId="410E7F40" w14:textId="0876A393" w:rsidR="00FE1846" w:rsidRDefault="00BB4585" w:rsidP="00570D5A">
            <w:pPr>
              <w:spacing w:before="60" w:after="60"/>
            </w:pPr>
            <w:r w:rsidRPr="005E058E">
              <w:rPr>
                <w:b/>
                <w:bCs/>
                <w:sz w:val="24"/>
              </w:rPr>
              <w:t xml:space="preserve">(AASB 2020: </w:t>
            </w:r>
            <w:r>
              <w:rPr>
                <w:b/>
                <w:bCs/>
                <w:sz w:val="24"/>
              </w:rPr>
              <w:t>6</w:t>
            </w:r>
            <w:r w:rsidRPr="005E058E">
              <w:rPr>
                <w:b/>
                <w:bCs/>
                <w:sz w:val="24"/>
              </w:rPr>
              <w:t>)</w:t>
            </w:r>
          </w:p>
        </w:tc>
      </w:tr>
      <w:tr w:rsidR="00FE1846" w14:paraId="20CA4A65" w14:textId="77777777" w:rsidTr="00570D5A">
        <w:tc>
          <w:tcPr>
            <w:tcW w:w="9607" w:type="dxa"/>
            <w:tcBorders>
              <w:bottom w:val="single" w:sz="4" w:space="0" w:color="000000"/>
            </w:tcBorders>
          </w:tcPr>
          <w:p w14:paraId="52584E8D" w14:textId="4F0F153B" w:rsidR="00FE1846" w:rsidRDefault="00FE1846" w:rsidP="00570D5A">
            <w:pPr>
              <w:spacing w:before="60" w:after="60"/>
              <w:ind w:left="454" w:hanging="454"/>
            </w:pPr>
            <w:r w:rsidRPr="00803C51">
              <w:rPr>
                <w:sz w:val="24"/>
              </w:rPr>
              <w:t>‘15 Land under roads acquired after the end of the first reporting period ending on or after 31 December 2007 is accounted for in accordance with AASB 116.’</w:t>
            </w:r>
          </w:p>
        </w:tc>
      </w:tr>
      <w:tr w:rsidR="00FE1846" w14:paraId="66FC322A" w14:textId="77777777" w:rsidTr="00570D5A">
        <w:tc>
          <w:tcPr>
            <w:tcW w:w="9607" w:type="dxa"/>
            <w:shd w:val="clear" w:color="auto" w:fill="F2F2F2" w:themeFill="background1" w:themeFillShade="F2"/>
          </w:tcPr>
          <w:p w14:paraId="0B94CFFF" w14:textId="10AE526D" w:rsidR="00FE1846" w:rsidRDefault="00FE1846" w:rsidP="00570D5A">
            <w:pPr>
              <w:spacing w:before="60" w:after="60"/>
            </w:pPr>
            <w:r w:rsidRPr="005E058E">
              <w:rPr>
                <w:b/>
                <w:bCs/>
                <w:sz w:val="24"/>
              </w:rPr>
              <w:t>(AASB 2020: 12)</w:t>
            </w:r>
          </w:p>
        </w:tc>
      </w:tr>
      <w:tr w:rsidR="00FE1846" w14:paraId="28330CEC" w14:textId="77777777" w:rsidTr="00570D5A">
        <w:tc>
          <w:tcPr>
            <w:tcW w:w="9607" w:type="dxa"/>
            <w:tcBorders>
              <w:bottom w:val="single" w:sz="4" w:space="0" w:color="000000"/>
            </w:tcBorders>
          </w:tcPr>
          <w:p w14:paraId="0A9CD8D9" w14:textId="77777777" w:rsidR="00FE1846" w:rsidRPr="00803C51" w:rsidRDefault="00FE1846" w:rsidP="000D790C">
            <w:pPr>
              <w:pStyle w:val="TableContent"/>
              <w:rPr>
                <w:i/>
                <w:iCs/>
                <w:sz w:val="24"/>
              </w:rPr>
            </w:pPr>
            <w:r w:rsidRPr="00803C51">
              <w:rPr>
                <w:sz w:val="24"/>
              </w:rPr>
              <w:t>‘Basis for Conclusions’ (BC numbering)</w:t>
            </w:r>
            <w:r w:rsidRPr="00803C51">
              <w:rPr>
                <w:i/>
                <w:iCs/>
                <w:sz w:val="24"/>
              </w:rPr>
              <w:t xml:space="preserve"> </w:t>
            </w:r>
          </w:p>
          <w:p w14:paraId="741D6EDD" w14:textId="3E37A79E" w:rsidR="00FE1846" w:rsidRDefault="00FE1846" w:rsidP="00570D5A">
            <w:pPr>
              <w:spacing w:before="60" w:after="60"/>
            </w:pPr>
            <w:r w:rsidRPr="00803C51">
              <w:rPr>
                <w:i/>
                <w:iCs/>
                <w:sz w:val="24"/>
              </w:rPr>
              <w:t>‘This Basis for Conclusions accompanies, but is not part of, AASB 1051</w:t>
            </w:r>
            <w:r w:rsidRPr="00803C51">
              <w:rPr>
                <w:sz w:val="24"/>
              </w:rPr>
              <w:t>’</w:t>
            </w:r>
          </w:p>
        </w:tc>
      </w:tr>
    </w:tbl>
    <w:p w14:paraId="0EEC9AB0" w14:textId="77777777" w:rsidR="001A0831" w:rsidRDefault="001A0831" w:rsidP="000D790C">
      <w:pPr>
        <w:spacing w:before="60" w:after="60"/>
        <w:rPr>
          <w:b/>
          <w:bCs/>
        </w:rPr>
        <w:sectPr w:rsidR="001A0831" w:rsidSect="00F57F84">
          <w:pgSz w:w="11920" w:h="16840"/>
          <w:pgMar w:top="1440" w:right="863" w:bottom="1440" w:left="1440" w:header="720" w:footer="282" w:gutter="0"/>
          <w:cols w:space="720"/>
        </w:sectPr>
      </w:pPr>
    </w:p>
    <w:tbl>
      <w:tblPr>
        <w:tblStyle w:val="TableGrid"/>
        <w:tblW w:w="0" w:type="auto"/>
        <w:tblLook w:val="04A0" w:firstRow="1" w:lastRow="0" w:firstColumn="1" w:lastColumn="0" w:noHBand="0" w:noVBand="1"/>
      </w:tblPr>
      <w:tblGrid>
        <w:gridCol w:w="9607"/>
      </w:tblGrid>
      <w:tr w:rsidR="00FE1846" w14:paraId="5490E4CD" w14:textId="77777777" w:rsidTr="00570D5A">
        <w:tc>
          <w:tcPr>
            <w:tcW w:w="9607" w:type="dxa"/>
            <w:shd w:val="clear" w:color="auto" w:fill="F2F2F2" w:themeFill="background1" w:themeFillShade="F2"/>
          </w:tcPr>
          <w:p w14:paraId="49837E4B" w14:textId="7826275F" w:rsidR="00FE1846" w:rsidRPr="00570D5A" w:rsidRDefault="00FE1846" w:rsidP="000D790C">
            <w:pPr>
              <w:spacing w:before="60" w:after="60"/>
              <w:rPr>
                <w:b/>
                <w:bCs/>
              </w:rPr>
            </w:pPr>
            <w:r w:rsidRPr="00570D5A">
              <w:rPr>
                <w:b/>
                <w:bCs/>
                <w:sz w:val="24"/>
              </w:rPr>
              <w:lastRenderedPageBreak/>
              <w:t>(AASB 2020: 14)</w:t>
            </w:r>
          </w:p>
        </w:tc>
      </w:tr>
      <w:tr w:rsidR="00FE1846" w14:paraId="6E89FBE2" w14:textId="77777777" w:rsidTr="00570D5A">
        <w:tc>
          <w:tcPr>
            <w:tcW w:w="9607" w:type="dxa"/>
            <w:tcBorders>
              <w:bottom w:val="single" w:sz="4" w:space="0" w:color="000000"/>
            </w:tcBorders>
          </w:tcPr>
          <w:p w14:paraId="6AC15295" w14:textId="77777777" w:rsidR="00FE1846" w:rsidRPr="00803C51" w:rsidRDefault="00FE1846" w:rsidP="000D790C">
            <w:pPr>
              <w:pStyle w:val="TableContent"/>
              <w:ind w:left="794" w:hanging="794"/>
              <w:rPr>
                <w:sz w:val="24"/>
              </w:rPr>
            </w:pPr>
            <w:r w:rsidRPr="00803C51">
              <w:rPr>
                <w:sz w:val="24"/>
              </w:rPr>
              <w:t xml:space="preserve">‘BC16 The Board concluded that, in principle, land under roads is property and therefore falls within the scope of AASB 116. Accordingly, it is appropriate that land under roads acquired after the end of the first reporting period ending on or after 31 December 2007 is accounted for in accordance with AASB 116. In making this decision, the Board noted that AASB 116, including paragraph Aus15.1, requires: </w:t>
            </w:r>
          </w:p>
          <w:p w14:paraId="158A0DB3" w14:textId="77777777" w:rsidR="00FE1846" w:rsidRPr="00803C51" w:rsidRDefault="00FE1846" w:rsidP="000D790C">
            <w:pPr>
              <w:pStyle w:val="TableContent"/>
              <w:ind w:left="1191" w:hanging="397"/>
              <w:rPr>
                <w:sz w:val="24"/>
              </w:rPr>
            </w:pPr>
            <w:r w:rsidRPr="00803C51">
              <w:rPr>
                <w:sz w:val="24"/>
              </w:rPr>
              <w:t xml:space="preserve">(a) assets acquired at no cost, or for a nominal cost, to be initially measured at fair value as at the date of acquisition where fair value can be measured reliably; and </w:t>
            </w:r>
          </w:p>
          <w:p w14:paraId="55A67958" w14:textId="6C3C5142" w:rsidR="00FE1846" w:rsidRDefault="00FE1846" w:rsidP="000D790C">
            <w:pPr>
              <w:spacing w:before="60" w:after="60"/>
              <w:ind w:left="1191" w:hanging="397"/>
            </w:pPr>
            <w:r w:rsidRPr="00803C51">
              <w:rPr>
                <w:sz w:val="24"/>
              </w:rPr>
              <w:t xml:space="preserve">(b) requires assets acquired at a cost to be initially measured at </w:t>
            </w:r>
            <w:proofErr w:type="gramStart"/>
            <w:r w:rsidRPr="00803C51">
              <w:rPr>
                <w:sz w:val="24"/>
              </w:rPr>
              <w:t>cost, but</w:t>
            </w:r>
            <w:proofErr w:type="gramEnd"/>
            <w:r w:rsidRPr="00803C51">
              <w:rPr>
                <w:sz w:val="24"/>
              </w:rPr>
              <w:t xml:space="preserve"> does not require adoption of the revaluation model. The Board also noted that issues relating to reliable measurement of fair value are not unique to land under roads and therefore could be dealt with in the same </w:t>
            </w:r>
            <w:proofErr w:type="gramStart"/>
            <w:r w:rsidRPr="00803C51">
              <w:rPr>
                <w:sz w:val="24"/>
              </w:rPr>
              <w:t>manner in which</w:t>
            </w:r>
            <w:proofErr w:type="gramEnd"/>
            <w:r w:rsidRPr="00803C51">
              <w:rPr>
                <w:sz w:val="24"/>
              </w:rPr>
              <w:t xml:space="preserve"> issues for other classes of assets are dealt with under AASB 116.’</w:t>
            </w:r>
          </w:p>
        </w:tc>
      </w:tr>
      <w:tr w:rsidR="00533451" w14:paraId="583A8FB8" w14:textId="77777777" w:rsidTr="00570D5A">
        <w:tc>
          <w:tcPr>
            <w:tcW w:w="9607" w:type="dxa"/>
            <w:shd w:val="clear" w:color="auto" w:fill="F2F2F2" w:themeFill="background1" w:themeFillShade="F2"/>
          </w:tcPr>
          <w:p w14:paraId="4EB38678" w14:textId="1CBB31AD" w:rsidR="00533451" w:rsidRPr="00803C51" w:rsidRDefault="003959B0" w:rsidP="000D790C">
            <w:pPr>
              <w:pStyle w:val="TableContent"/>
              <w:ind w:left="794" w:hanging="794"/>
            </w:pPr>
            <w:r w:rsidRPr="0051285F">
              <w:rPr>
                <w:b/>
                <w:bCs/>
                <w:sz w:val="24"/>
              </w:rPr>
              <w:t>Interpretation (AASB 2020: 6, 12 and 14)</w:t>
            </w:r>
          </w:p>
        </w:tc>
      </w:tr>
      <w:tr w:rsidR="00533451" w14:paraId="5288DE09" w14:textId="77777777" w:rsidTr="00FE1846">
        <w:tc>
          <w:tcPr>
            <w:tcW w:w="9607" w:type="dxa"/>
          </w:tcPr>
          <w:p w14:paraId="233218E5" w14:textId="77777777" w:rsidR="00127EF5" w:rsidRPr="0051285F" w:rsidRDefault="00127EF5" w:rsidP="000D790C">
            <w:pPr>
              <w:pStyle w:val="TableContent"/>
              <w:rPr>
                <w:color w:val="000000"/>
                <w:sz w:val="24"/>
              </w:rPr>
            </w:pPr>
            <w:r w:rsidRPr="0051285F">
              <w:rPr>
                <w:sz w:val="24"/>
              </w:rPr>
              <w:t xml:space="preserve">A local government must account for land under roads </w:t>
            </w:r>
            <w:r w:rsidRPr="0051285F">
              <w:rPr>
                <w:color w:val="000000"/>
                <w:sz w:val="24"/>
              </w:rPr>
              <w:t>acquired after the end of the first reporting period ending on or after 31 December 2007 in accordance with AASB 116 Property, Plant and Equipment (2022).</w:t>
            </w:r>
          </w:p>
          <w:p w14:paraId="6EE4972F" w14:textId="53F1D791" w:rsidR="00533451" w:rsidRPr="00803C51" w:rsidRDefault="00127EF5" w:rsidP="000D790C">
            <w:pPr>
              <w:pStyle w:val="TableContent"/>
            </w:pPr>
            <w:r w:rsidRPr="0051285F">
              <w:rPr>
                <w:color w:val="000000"/>
                <w:sz w:val="24"/>
              </w:rPr>
              <w:t xml:space="preserve">Jurisdictional legislation may override AASB 1051 (2020). Specifically, in </w:t>
            </w:r>
            <w:proofErr w:type="gramStart"/>
            <w:r w:rsidRPr="0051285F">
              <w:rPr>
                <w:color w:val="000000"/>
                <w:sz w:val="24"/>
              </w:rPr>
              <w:t>WA ,</w:t>
            </w:r>
            <w:proofErr w:type="gramEnd"/>
            <w:r w:rsidRPr="0051285F">
              <w:rPr>
                <w:color w:val="000000"/>
                <w:sz w:val="24"/>
              </w:rPr>
              <w:t xml:space="preserve"> land under roads is treated as a right-of-use asset in terms of LG (FM) Regs, regulation 17A(2)(</w:t>
            </w:r>
            <w:proofErr w:type="gramStart"/>
            <w:r w:rsidRPr="0051285F">
              <w:rPr>
                <w:color w:val="000000"/>
                <w:sz w:val="24"/>
              </w:rPr>
              <w:t>c)and</w:t>
            </w:r>
            <w:proofErr w:type="gramEnd"/>
            <w:r w:rsidRPr="0051285F">
              <w:rPr>
                <w:color w:val="000000"/>
                <w:sz w:val="24"/>
              </w:rPr>
              <w:t xml:space="preserve"> is measured at zero cost.</w:t>
            </w:r>
          </w:p>
        </w:tc>
      </w:tr>
    </w:tbl>
    <w:p w14:paraId="2E6B7CEC" w14:textId="77777777" w:rsidR="000044FF" w:rsidRDefault="000044FF" w:rsidP="000044FF">
      <w:pPr>
        <w:spacing w:after="160" w:line="278" w:lineRule="auto"/>
        <w:sectPr w:rsidR="000044FF" w:rsidSect="00F57F84">
          <w:pgSz w:w="11920" w:h="16840"/>
          <w:pgMar w:top="1440" w:right="863" w:bottom="1440" w:left="1440" w:header="720" w:footer="282" w:gutter="0"/>
          <w:cols w:space="720"/>
        </w:sectPr>
      </w:pPr>
    </w:p>
    <w:p w14:paraId="2E87A199" w14:textId="77777777" w:rsidR="00DB216D" w:rsidRPr="00D6598E" w:rsidRDefault="00DB216D" w:rsidP="00DB216D">
      <w:pPr>
        <w:pStyle w:val="Heading1"/>
        <w:ind w:right="-599"/>
        <w:rPr>
          <w:b w:val="0"/>
          <w:bCs w:val="0"/>
          <w:szCs w:val="42"/>
        </w:rPr>
      </w:pPr>
      <w:bookmarkStart w:id="124" w:name="_Toc207722759"/>
      <w:bookmarkStart w:id="125" w:name="_Toc223445092"/>
      <w:r w:rsidRPr="00D6598E">
        <w:rPr>
          <w:szCs w:val="42"/>
        </w:rPr>
        <w:lastRenderedPageBreak/>
        <w:t>Attachment B: Guidance on specific asset types</w:t>
      </w:r>
      <w:bookmarkEnd w:id="124"/>
      <w:bookmarkEnd w:id="125"/>
    </w:p>
    <w:p w14:paraId="5E2DAECD" w14:textId="77777777" w:rsidR="00B83046" w:rsidRDefault="00B83046" w:rsidP="00DB216D"/>
    <w:p w14:paraId="72D1E9DB" w14:textId="0B245C95" w:rsidR="00B83046" w:rsidRDefault="00B83046" w:rsidP="00EB57E0">
      <w:pPr>
        <w:pStyle w:val="BlockText"/>
      </w:pPr>
      <w:r w:rsidRPr="00D10B14">
        <w:t>Attachment B is not applicable to WA except as otherwise indicated.</w:t>
      </w:r>
    </w:p>
    <w:p w14:paraId="3D035B86" w14:textId="77777777" w:rsidR="00B83046" w:rsidRDefault="00B83046" w:rsidP="00DB216D"/>
    <w:p w14:paraId="223C5845" w14:textId="77777777" w:rsidR="00FD4C19" w:rsidRDefault="00AB6CAC" w:rsidP="00EB57E0">
      <w:pPr>
        <w:pStyle w:val="BlockText"/>
      </w:pPr>
      <w:r>
        <w:t xml:space="preserve">Attachment B provides guidance </w:t>
      </w:r>
      <w:r w:rsidR="002B05E8">
        <w:t xml:space="preserve">regarding the application of </w:t>
      </w:r>
      <w:r w:rsidR="00FD5D36">
        <w:t xml:space="preserve">AAS </w:t>
      </w:r>
      <w:r w:rsidR="00FD4C19">
        <w:t xml:space="preserve">to specific asset types. </w:t>
      </w:r>
    </w:p>
    <w:p w14:paraId="72A6827C" w14:textId="42DC8DE5" w:rsidR="00B83046" w:rsidRDefault="00B83046" w:rsidP="00EB57E0">
      <w:pPr>
        <w:pStyle w:val="BlockText"/>
      </w:pPr>
      <w:r w:rsidRPr="00D10B14">
        <w:t>Attachment B applies across all Australian jurisdictions. However, Attachment B does not consider jurisdictional legislation which may overrule the guidance it provides. Consequently, if a conflict arises between jurisdictional legislation and the guidance provided in Attachment B, the jurisdictional legislation may take precedence.</w:t>
      </w:r>
    </w:p>
    <w:p w14:paraId="6C74F53F" w14:textId="77777777" w:rsidR="00DB216D" w:rsidRPr="00D10B14" w:rsidRDefault="00DB216D" w:rsidP="00D70B5C">
      <w:pPr>
        <w:pStyle w:val="BodyText"/>
      </w:pPr>
      <w:r w:rsidRPr="00D10B14">
        <w:t>The information included below is provided with an aim of promoting consistency of methodology and approaches for specific asset types. However, it is recognised that different valuers, whether internal or external consultants, may adopt different methodologies or local governments may be limited due to the existing structure of their asset registers.</w:t>
      </w:r>
    </w:p>
    <w:p w14:paraId="5DF15D08" w14:textId="77777777" w:rsidR="00DB216D" w:rsidRPr="00D10B14" w:rsidRDefault="00DB216D" w:rsidP="00D70B5C">
      <w:pPr>
        <w:pStyle w:val="BodyText"/>
      </w:pPr>
      <w:r w:rsidRPr="00D10B14">
        <w:t xml:space="preserve">Guidance is included for: </w:t>
      </w:r>
    </w:p>
    <w:p w14:paraId="0F8AF285" w14:textId="77777777" w:rsidR="00DB216D" w:rsidRPr="00D10B14" w:rsidRDefault="00DB216D">
      <w:pPr>
        <w:pStyle w:val="BodyText"/>
        <w:numPr>
          <w:ilvl w:val="0"/>
          <w:numId w:val="107"/>
        </w:numPr>
      </w:pPr>
      <w:r w:rsidRPr="00D10B14">
        <w:t>land</w:t>
      </w:r>
    </w:p>
    <w:p w14:paraId="6086A065" w14:textId="77777777" w:rsidR="00DB216D" w:rsidRPr="00D10B14" w:rsidRDefault="00DB216D">
      <w:pPr>
        <w:pStyle w:val="BodyText"/>
        <w:numPr>
          <w:ilvl w:val="0"/>
          <w:numId w:val="107"/>
        </w:numPr>
      </w:pPr>
      <w:r w:rsidRPr="00D10B14">
        <w:t>buildings</w:t>
      </w:r>
    </w:p>
    <w:p w14:paraId="27C438DB" w14:textId="27280DFB" w:rsidR="00DB216D" w:rsidRPr="00D10B14" w:rsidRDefault="00231DDA">
      <w:pPr>
        <w:pStyle w:val="BodyText"/>
        <w:numPr>
          <w:ilvl w:val="0"/>
          <w:numId w:val="107"/>
        </w:numPr>
      </w:pPr>
      <w:r>
        <w:t>i</w:t>
      </w:r>
      <w:r w:rsidR="00DB216D" w:rsidRPr="00D10B14">
        <w:t>nfrastructure: transport, water and wastewater</w:t>
      </w:r>
    </w:p>
    <w:p w14:paraId="2DC5EE32" w14:textId="4682AFC4" w:rsidR="00DB216D" w:rsidRPr="00D10B14" w:rsidRDefault="00E974AA">
      <w:pPr>
        <w:pStyle w:val="BodyText"/>
        <w:numPr>
          <w:ilvl w:val="0"/>
          <w:numId w:val="107"/>
        </w:numPr>
      </w:pPr>
      <w:r>
        <w:t>l</w:t>
      </w:r>
      <w:r w:rsidR="00DB216D" w:rsidRPr="00D10B14">
        <w:t>andfills</w:t>
      </w:r>
    </w:p>
    <w:p w14:paraId="1D4FB654" w14:textId="6FBC52EC" w:rsidR="00DB216D" w:rsidRPr="00D10B14" w:rsidRDefault="00E974AA">
      <w:pPr>
        <w:pStyle w:val="BodyText"/>
        <w:numPr>
          <w:ilvl w:val="0"/>
          <w:numId w:val="107"/>
        </w:numPr>
      </w:pPr>
      <w:r>
        <w:t>c</w:t>
      </w:r>
      <w:r w:rsidR="00DB216D" w:rsidRPr="00D10B14">
        <w:t xml:space="preserve">rossovers. </w:t>
      </w:r>
    </w:p>
    <w:p w14:paraId="161276E8" w14:textId="77777777" w:rsidR="00DB216D" w:rsidRPr="00D10B14" w:rsidRDefault="00DB216D">
      <w:pPr>
        <w:pStyle w:val="ListParagraph"/>
        <w:numPr>
          <w:ilvl w:val="0"/>
          <w:numId w:val="106"/>
        </w:numPr>
      </w:pPr>
      <w:r w:rsidRPr="00D10B14">
        <w:br w:type="page"/>
      </w:r>
    </w:p>
    <w:p w14:paraId="5D685335" w14:textId="77777777" w:rsidR="00DB216D" w:rsidRDefault="00DB216D" w:rsidP="00DB216D">
      <w:pPr>
        <w:pStyle w:val="Heading1"/>
        <w:rPr>
          <w:bCs w:val="0"/>
          <w:color w:val="auto"/>
        </w:rPr>
        <w:sectPr w:rsidR="00DB216D" w:rsidSect="00F57F84">
          <w:pgSz w:w="11920" w:h="16840"/>
          <w:pgMar w:top="1440" w:right="1440" w:bottom="1440" w:left="1440" w:header="720" w:footer="282" w:gutter="0"/>
          <w:cols w:space="720"/>
        </w:sectPr>
      </w:pPr>
      <w:bookmarkStart w:id="126" w:name="_Toc170118995"/>
    </w:p>
    <w:p w14:paraId="064D098D" w14:textId="77777777" w:rsidR="00DB216D" w:rsidRPr="00D10B14" w:rsidRDefault="00DB216D" w:rsidP="00DB216D">
      <w:pPr>
        <w:pStyle w:val="Heading2"/>
        <w:rPr>
          <w:b w:val="0"/>
          <w:bCs w:val="0"/>
        </w:rPr>
      </w:pPr>
      <w:bookmarkStart w:id="127" w:name="_Toc207722760"/>
      <w:bookmarkStart w:id="128" w:name="_Toc223445093"/>
      <w:bookmarkEnd w:id="126"/>
      <w:r w:rsidRPr="00D10B14">
        <w:lastRenderedPageBreak/>
        <w:t>Jurisdictional rules</w:t>
      </w:r>
      <w:bookmarkEnd w:id="127"/>
      <w:bookmarkEnd w:id="128"/>
    </w:p>
    <w:p w14:paraId="34BB9EE5" w14:textId="305DFFE7" w:rsidR="00C52BAA" w:rsidRDefault="009662D3" w:rsidP="009D2186">
      <w:pPr>
        <w:pStyle w:val="Heading4"/>
        <w:rPr>
          <w:rStyle w:val="BodyTextChar"/>
        </w:rPr>
      </w:pPr>
      <w:r>
        <w:rPr>
          <w:rStyle w:val="BodyTextChar"/>
        </w:rPr>
        <w:t xml:space="preserve">Basic </w:t>
      </w:r>
      <w:r w:rsidR="00185500">
        <w:rPr>
          <w:rStyle w:val="BodyTextChar"/>
        </w:rPr>
        <w:t>concept</w:t>
      </w:r>
    </w:p>
    <w:p w14:paraId="54740BE9" w14:textId="4E69324D" w:rsidR="00DB216D" w:rsidRPr="00D10B14" w:rsidRDefault="00DB216D" w:rsidP="00DB216D">
      <w:pPr>
        <w:rPr>
          <w:rFonts w:cs="Arial"/>
          <w:color w:val="1F1F1F"/>
        </w:rPr>
      </w:pPr>
      <w:r w:rsidRPr="004B7282">
        <w:rPr>
          <w:rStyle w:val="BodyTextChar"/>
        </w:rPr>
        <w:t>AASB 13 Fair Value Measurement (2022</w:t>
      </w:r>
      <w:r w:rsidR="00CD1432" w:rsidRPr="004B7282">
        <w:rPr>
          <w:rStyle w:val="BodyTextChar"/>
        </w:rPr>
        <w:t>) addresses</w:t>
      </w:r>
      <w:r w:rsidRPr="004B7282">
        <w:rPr>
          <w:rStyle w:val="BodyTextChar"/>
        </w:rPr>
        <w:t xml:space="preserve"> the concept of jurisdictional rules</w:t>
      </w:r>
      <w:r w:rsidRPr="00D10B14">
        <w:rPr>
          <w:rFonts w:cs="Arial"/>
          <w:color w:val="1F1F1F"/>
        </w:rPr>
        <w:t xml:space="preserve">: </w:t>
      </w:r>
    </w:p>
    <w:tbl>
      <w:tblPr>
        <w:tblStyle w:val="TableGrid"/>
        <w:tblW w:w="9639" w:type="dxa"/>
        <w:tblInd w:w="-5" w:type="dxa"/>
        <w:tblLayout w:type="fixed"/>
        <w:tblLook w:val="06A0" w:firstRow="1" w:lastRow="0" w:firstColumn="1" w:lastColumn="0" w:noHBand="1" w:noVBand="1"/>
      </w:tblPr>
      <w:tblGrid>
        <w:gridCol w:w="9639"/>
      </w:tblGrid>
      <w:tr w:rsidR="00DB216D" w:rsidRPr="00D10B14" w14:paraId="44E6C589" w14:textId="77777777" w:rsidTr="004B7282">
        <w:trPr>
          <w:trHeight w:val="300"/>
          <w:tblHeader/>
        </w:trPr>
        <w:tc>
          <w:tcPr>
            <w:tcW w:w="9639" w:type="dxa"/>
            <w:tcBorders>
              <w:bottom w:val="single" w:sz="4" w:space="0" w:color="auto"/>
            </w:tcBorders>
            <w:shd w:val="clear" w:color="auto" w:fill="F2F2F2" w:themeFill="background1" w:themeFillShade="F2"/>
          </w:tcPr>
          <w:p w14:paraId="02F9D180" w14:textId="77777777" w:rsidR="00DB216D" w:rsidRPr="00820FE5" w:rsidRDefault="00DB216D" w:rsidP="00DB1346">
            <w:pPr>
              <w:pStyle w:val="TableContent"/>
              <w:rPr>
                <w:b/>
                <w:sz w:val="24"/>
              </w:rPr>
            </w:pPr>
            <w:r w:rsidRPr="00820FE5">
              <w:rPr>
                <w:b/>
                <w:sz w:val="24"/>
              </w:rPr>
              <w:t>(AASB 2022: 49)</w:t>
            </w:r>
          </w:p>
        </w:tc>
      </w:tr>
      <w:tr w:rsidR="00DB216D" w:rsidRPr="00D10B14" w14:paraId="3453953B" w14:textId="77777777" w:rsidTr="004B7282">
        <w:trPr>
          <w:trHeight w:val="300"/>
        </w:trPr>
        <w:tc>
          <w:tcPr>
            <w:tcW w:w="9639" w:type="dxa"/>
            <w:tcBorders>
              <w:bottom w:val="single" w:sz="4" w:space="0" w:color="auto"/>
            </w:tcBorders>
          </w:tcPr>
          <w:p w14:paraId="6434EECA" w14:textId="77777777" w:rsidR="00DB216D" w:rsidRPr="00DB1346" w:rsidRDefault="00DB216D" w:rsidP="00DB1346">
            <w:pPr>
              <w:pStyle w:val="TableContent"/>
              <w:rPr>
                <w:sz w:val="24"/>
              </w:rPr>
            </w:pPr>
            <w:r w:rsidRPr="00DB1346">
              <w:rPr>
                <w:i/>
                <w:sz w:val="24"/>
              </w:rPr>
              <w:t>‘</w:t>
            </w:r>
            <w:r w:rsidRPr="00DB1346">
              <w:rPr>
                <w:sz w:val="24"/>
              </w:rPr>
              <w:t>Basis for Conclusions on AASB 2022-10’ (BC numbering)</w:t>
            </w:r>
          </w:p>
          <w:p w14:paraId="5DB999F1" w14:textId="77777777" w:rsidR="00DB216D" w:rsidRPr="00D10B14" w:rsidRDefault="00DB216D" w:rsidP="00DB1346">
            <w:pPr>
              <w:pStyle w:val="TableContent"/>
              <w:rPr>
                <w:sz w:val="24"/>
              </w:rPr>
            </w:pPr>
            <w:r w:rsidRPr="00D10B14">
              <w:rPr>
                <w:i/>
                <w:sz w:val="24"/>
              </w:rPr>
              <w:t>‘This Basis for Conclusions accompanies, but is not part of, AASB 13.</w:t>
            </w:r>
            <w:r w:rsidRPr="00D10B14">
              <w:rPr>
                <w:sz w:val="24"/>
              </w:rPr>
              <w:t>’</w:t>
            </w:r>
          </w:p>
        </w:tc>
      </w:tr>
      <w:tr w:rsidR="00DB216D" w:rsidRPr="00D10B14" w14:paraId="21246A7D" w14:textId="77777777" w:rsidTr="004B7282">
        <w:trPr>
          <w:trHeight w:val="300"/>
        </w:trPr>
        <w:tc>
          <w:tcPr>
            <w:tcW w:w="9639" w:type="dxa"/>
            <w:shd w:val="clear" w:color="auto" w:fill="F2F2F2" w:themeFill="background1" w:themeFillShade="F2"/>
          </w:tcPr>
          <w:p w14:paraId="0590DABE" w14:textId="77777777" w:rsidR="00DB216D" w:rsidRPr="00C24EE3" w:rsidRDefault="00DB216D" w:rsidP="00DB1346">
            <w:pPr>
              <w:pStyle w:val="TableContent"/>
              <w:rPr>
                <w:b/>
                <w:color w:val="auto"/>
                <w:sz w:val="24"/>
              </w:rPr>
            </w:pPr>
            <w:r w:rsidRPr="00C24EE3">
              <w:rPr>
                <w:b/>
                <w:color w:val="auto"/>
                <w:sz w:val="24"/>
              </w:rPr>
              <w:t>(AASB 2022: 84)</w:t>
            </w:r>
          </w:p>
        </w:tc>
      </w:tr>
      <w:tr w:rsidR="00DB216D" w:rsidRPr="00D10B14" w14:paraId="22A96DE2" w14:textId="77777777" w:rsidTr="005F02B6">
        <w:trPr>
          <w:trHeight w:val="300"/>
        </w:trPr>
        <w:tc>
          <w:tcPr>
            <w:tcW w:w="9639" w:type="dxa"/>
            <w:tcBorders>
              <w:bottom w:val="single" w:sz="4" w:space="0" w:color="auto"/>
            </w:tcBorders>
          </w:tcPr>
          <w:p w14:paraId="0D16117C" w14:textId="77777777" w:rsidR="00DB216D" w:rsidRPr="00DB1346" w:rsidRDefault="00DB216D" w:rsidP="00051192">
            <w:pPr>
              <w:pStyle w:val="TableContent"/>
              <w:ind w:left="907" w:hanging="907"/>
              <w:rPr>
                <w:sz w:val="24"/>
              </w:rPr>
            </w:pPr>
            <w:r w:rsidRPr="00DB1346">
              <w:rPr>
                <w:sz w:val="24"/>
              </w:rPr>
              <w:t>‘BC234  Further, the Board observed that most public sector entities do not determine their own accounting policies for applying the requirements of Australian Accounting Standards, particularly in relation to policies for transactions that are common across the public sector – those policies are determined by the Treasury or Finance Department (or other authority) or the Office of Local Government in each jurisdiction. In relation to the Board’s conclusion not to develop guidance beyond the scope of that in this Standard, if the Treasury or Finance Department (or other authority) and/or the Office of Local Government in a jurisdiction desires greater consistency in the valuation approach(es) used to measure the fair value of particular types or classes of non-financial assets in a jurisdiction, it may choose to designate a valuation approach for application to those assets held by public sector entities in its jurisdiction. In effect, where AASB 13 requires the exercise of judgement regarding the appropriate valuation approach, the Treasury or Finance Department (or other authority) and/or the Office of Local Government may apply judgement on behalf of entities in its jurisdiction.’</w:t>
            </w:r>
          </w:p>
        </w:tc>
      </w:tr>
      <w:tr w:rsidR="00DB216D" w:rsidRPr="00D10B14" w14:paraId="0591903E" w14:textId="77777777" w:rsidTr="005F02B6">
        <w:trPr>
          <w:trHeight w:val="300"/>
        </w:trPr>
        <w:tc>
          <w:tcPr>
            <w:tcW w:w="9639" w:type="dxa"/>
            <w:tcBorders>
              <w:top w:val="single" w:sz="4" w:space="0" w:color="auto"/>
              <w:bottom w:val="single" w:sz="4" w:space="0" w:color="auto"/>
            </w:tcBorders>
            <w:shd w:val="clear" w:color="auto" w:fill="F2F2F2" w:themeFill="background1" w:themeFillShade="F2"/>
          </w:tcPr>
          <w:p w14:paraId="58E9348B" w14:textId="77777777" w:rsidR="00DB216D" w:rsidRPr="00C24EE3" w:rsidRDefault="00DB216D" w:rsidP="00DB1346">
            <w:pPr>
              <w:pStyle w:val="TableContent"/>
              <w:rPr>
                <w:b/>
                <w:i/>
                <w:sz w:val="24"/>
              </w:rPr>
            </w:pPr>
            <w:r w:rsidRPr="00C24EE3">
              <w:rPr>
                <w:b/>
                <w:sz w:val="24"/>
              </w:rPr>
              <w:t>(AASB 2022: 87)</w:t>
            </w:r>
          </w:p>
        </w:tc>
      </w:tr>
      <w:tr w:rsidR="00DB216D" w:rsidRPr="00D10B14" w14:paraId="7AA05B75" w14:textId="77777777" w:rsidTr="004B7282">
        <w:trPr>
          <w:trHeight w:val="300"/>
        </w:trPr>
        <w:tc>
          <w:tcPr>
            <w:tcW w:w="9639" w:type="dxa"/>
            <w:tcBorders>
              <w:bottom w:val="single" w:sz="4" w:space="0" w:color="auto"/>
            </w:tcBorders>
          </w:tcPr>
          <w:p w14:paraId="3C574289" w14:textId="1E3613A8" w:rsidR="00DB216D" w:rsidRPr="00D10B14" w:rsidRDefault="00DB216D" w:rsidP="003210AA">
            <w:pPr>
              <w:pStyle w:val="TableContent"/>
              <w:ind w:left="907" w:hanging="907"/>
              <w:rPr>
                <w:i/>
                <w:iCs/>
                <w:sz w:val="24"/>
              </w:rPr>
            </w:pPr>
            <w:r w:rsidRPr="00D10B14">
              <w:rPr>
                <w:i/>
                <w:sz w:val="24"/>
              </w:rPr>
              <w:t>‘</w:t>
            </w:r>
            <w:r w:rsidRPr="00D10B14">
              <w:rPr>
                <w:sz w:val="24"/>
              </w:rPr>
              <w:t>BC255  As noted in paragraph BC234, in deciding not to develop guidance specific to fair value measurement of land subject to public-sector-specific legal restrictions, the Board observed that if the Treasury or Finance Department (or other authority) and/or the Office of Local Government in a jurisdiction desires greater consistency in the valuation approach(es) used to measure the fair value of particular types or classes of non-financial assets in a jurisdiction, it may choose to designate a valuation approach for application to those assets held by public sector entities in its jurisdiction.’</w:t>
            </w:r>
          </w:p>
        </w:tc>
      </w:tr>
      <w:tr w:rsidR="00DB216D" w:rsidRPr="00D10B14" w14:paraId="0A35D295" w14:textId="77777777" w:rsidTr="004B7282">
        <w:trPr>
          <w:trHeight w:val="300"/>
        </w:trPr>
        <w:tc>
          <w:tcPr>
            <w:tcW w:w="9639" w:type="dxa"/>
            <w:shd w:val="clear" w:color="auto" w:fill="F2F2F2" w:themeFill="background1" w:themeFillShade="F2"/>
          </w:tcPr>
          <w:p w14:paraId="74E18199" w14:textId="77777777" w:rsidR="00DB216D" w:rsidRPr="003210AA" w:rsidRDefault="00DB216D" w:rsidP="00DB1346">
            <w:pPr>
              <w:pStyle w:val="TableContent"/>
              <w:rPr>
                <w:b/>
                <w:sz w:val="24"/>
              </w:rPr>
            </w:pPr>
            <w:r w:rsidRPr="003210AA">
              <w:rPr>
                <w:b/>
                <w:sz w:val="24"/>
              </w:rPr>
              <w:t>Interpretation (AASB 2022: 84 and 87)</w:t>
            </w:r>
          </w:p>
        </w:tc>
      </w:tr>
      <w:tr w:rsidR="00DB216D" w:rsidRPr="00D10B14" w14:paraId="64993881" w14:textId="77777777" w:rsidTr="004B7282">
        <w:trPr>
          <w:trHeight w:val="300"/>
        </w:trPr>
        <w:tc>
          <w:tcPr>
            <w:tcW w:w="9639" w:type="dxa"/>
          </w:tcPr>
          <w:p w14:paraId="165C0E31" w14:textId="58EAFAFE" w:rsidR="00DB216D" w:rsidRPr="00D10B14" w:rsidRDefault="00DB216D" w:rsidP="00DB1346">
            <w:pPr>
              <w:pStyle w:val="TableContent"/>
              <w:rPr>
                <w:sz w:val="24"/>
              </w:rPr>
            </w:pPr>
            <w:r w:rsidRPr="00D10B14">
              <w:rPr>
                <w:sz w:val="24"/>
              </w:rPr>
              <w:t>Standardisation of valuation practices will help ensure consistency and comparability of valuations approaches across local governments. It is preferable that such standardisation occur on a national level. However, jurisdictional mandates to stipulate valuation approaches must be respected.</w:t>
            </w:r>
          </w:p>
        </w:tc>
      </w:tr>
    </w:tbl>
    <w:tbl>
      <w:tblPr>
        <w:tblStyle w:val="TableGrid"/>
        <w:tblW w:w="0" w:type="auto"/>
        <w:tblLook w:val="04A0" w:firstRow="1" w:lastRow="0" w:firstColumn="1" w:lastColumn="0" w:noHBand="0" w:noVBand="1"/>
      </w:tblPr>
      <w:tblGrid>
        <w:gridCol w:w="9607"/>
      </w:tblGrid>
      <w:tr w:rsidR="003210AA" w14:paraId="3CA84D8F" w14:textId="77777777" w:rsidTr="005F02B6">
        <w:tc>
          <w:tcPr>
            <w:tcW w:w="9607" w:type="dxa"/>
            <w:shd w:val="clear" w:color="auto" w:fill="F2F2F2" w:themeFill="background1" w:themeFillShade="F2"/>
          </w:tcPr>
          <w:p w14:paraId="63F8036D" w14:textId="3762398A" w:rsidR="003210AA" w:rsidRPr="001351CC" w:rsidRDefault="001351CC" w:rsidP="001351CC">
            <w:pPr>
              <w:pStyle w:val="TableContent"/>
              <w:rPr>
                <w:b/>
                <w:sz w:val="24"/>
              </w:rPr>
            </w:pPr>
            <w:r w:rsidRPr="001351CC">
              <w:rPr>
                <w:b/>
                <w:bCs/>
                <w:sz w:val="24"/>
              </w:rPr>
              <w:lastRenderedPageBreak/>
              <w:t>Interpretation (AASB 2022: 84 and 87)</w:t>
            </w:r>
          </w:p>
        </w:tc>
      </w:tr>
      <w:tr w:rsidR="003210AA" w14:paraId="5DCDBD98" w14:textId="77777777" w:rsidTr="003210AA">
        <w:tc>
          <w:tcPr>
            <w:tcW w:w="9607" w:type="dxa"/>
          </w:tcPr>
          <w:p w14:paraId="1FB42A76" w14:textId="33BE9646" w:rsidR="003210AA" w:rsidRPr="001351CC" w:rsidRDefault="003210AA" w:rsidP="001351CC">
            <w:pPr>
              <w:pStyle w:val="TableContent"/>
              <w:rPr>
                <w:sz w:val="24"/>
              </w:rPr>
            </w:pPr>
            <w:r w:rsidRPr="00DB1346">
              <w:rPr>
                <w:sz w:val="24"/>
              </w:rPr>
              <w:t>It is recommended that each jurisdiction decides which valuation approach should be used to value different classes of assets in its jurisdiction. However, care must be taken to ensure that valuation approaches stipulated are legally enforceable.</w:t>
            </w:r>
          </w:p>
        </w:tc>
      </w:tr>
    </w:tbl>
    <w:p w14:paraId="1FDE52BA" w14:textId="77777777" w:rsidR="00DB216D" w:rsidRPr="007959B5" w:rsidRDefault="00DB216D" w:rsidP="009D2186">
      <w:pPr>
        <w:pStyle w:val="Heading4"/>
      </w:pPr>
      <w:r w:rsidRPr="007959B5">
        <w:t xml:space="preserve">Restrictions in general </w:t>
      </w:r>
    </w:p>
    <w:p w14:paraId="2F1878D9" w14:textId="77777777" w:rsidR="00DB216D" w:rsidRPr="007959B5" w:rsidRDefault="00DB216D" w:rsidP="00D70B5C">
      <w:pPr>
        <w:pStyle w:val="BodyText"/>
      </w:pPr>
      <w:r w:rsidRPr="007959B5">
        <w:t xml:space="preserve">Restrictions may affect the fair value measurement of a non-financial asset. Basically, there are two types of restrictions to consider: </w:t>
      </w:r>
    </w:p>
    <w:tbl>
      <w:tblPr>
        <w:tblStyle w:val="TableGrid"/>
        <w:tblW w:w="9639" w:type="dxa"/>
        <w:tblLook w:val="04A0" w:firstRow="1" w:lastRow="0" w:firstColumn="1" w:lastColumn="0" w:noHBand="0" w:noVBand="1"/>
      </w:tblPr>
      <w:tblGrid>
        <w:gridCol w:w="2552"/>
        <w:gridCol w:w="7087"/>
      </w:tblGrid>
      <w:tr w:rsidR="00DB216D" w:rsidRPr="007959B5" w14:paraId="52D4A80F" w14:textId="77777777" w:rsidTr="00231DDA">
        <w:trPr>
          <w:tblHeader/>
        </w:trPr>
        <w:tc>
          <w:tcPr>
            <w:tcW w:w="2552" w:type="dxa"/>
            <w:tcBorders>
              <w:bottom w:val="single" w:sz="4" w:space="0" w:color="auto"/>
            </w:tcBorders>
            <w:shd w:val="clear" w:color="auto" w:fill="F2F2F2" w:themeFill="background1" w:themeFillShade="F2"/>
          </w:tcPr>
          <w:p w14:paraId="58E0D70D" w14:textId="26C60FF6" w:rsidR="00DB216D" w:rsidRPr="000060A8" w:rsidRDefault="00DB216D" w:rsidP="005448F1">
            <w:pPr>
              <w:pStyle w:val="TableContent"/>
              <w:rPr>
                <w:b/>
                <w:sz w:val="24"/>
              </w:rPr>
            </w:pPr>
            <w:r w:rsidRPr="000060A8">
              <w:rPr>
                <w:b/>
                <w:sz w:val="24"/>
              </w:rPr>
              <w:t xml:space="preserve">Nature of </w:t>
            </w:r>
            <w:r w:rsidR="00E974AA">
              <w:rPr>
                <w:b/>
                <w:sz w:val="24"/>
              </w:rPr>
              <w:t>r</w:t>
            </w:r>
            <w:r w:rsidRPr="000060A8">
              <w:rPr>
                <w:b/>
                <w:sz w:val="24"/>
              </w:rPr>
              <w:t>estriction</w:t>
            </w:r>
          </w:p>
        </w:tc>
        <w:tc>
          <w:tcPr>
            <w:tcW w:w="7087" w:type="dxa"/>
            <w:tcBorders>
              <w:bottom w:val="single" w:sz="4" w:space="0" w:color="auto"/>
            </w:tcBorders>
            <w:shd w:val="clear" w:color="auto" w:fill="F2F2F2" w:themeFill="background1" w:themeFillShade="F2"/>
          </w:tcPr>
          <w:p w14:paraId="44A6ECBB" w14:textId="175F1D52" w:rsidR="00DB216D" w:rsidRPr="000060A8" w:rsidRDefault="00DB216D" w:rsidP="005448F1">
            <w:pPr>
              <w:pStyle w:val="TableContent"/>
              <w:rPr>
                <w:b/>
                <w:sz w:val="24"/>
              </w:rPr>
            </w:pPr>
            <w:r w:rsidRPr="000060A8">
              <w:rPr>
                <w:b/>
                <w:sz w:val="24"/>
              </w:rPr>
              <w:t xml:space="preserve">Explanation and </w:t>
            </w:r>
            <w:r w:rsidR="00E974AA">
              <w:rPr>
                <w:b/>
                <w:sz w:val="24"/>
              </w:rPr>
              <w:t>a</w:t>
            </w:r>
            <w:r w:rsidRPr="000060A8">
              <w:rPr>
                <w:b/>
                <w:sz w:val="24"/>
              </w:rPr>
              <w:t>pplication</w:t>
            </w:r>
          </w:p>
        </w:tc>
      </w:tr>
      <w:tr w:rsidR="00DB216D" w:rsidRPr="007959B5" w14:paraId="755E1DDC" w14:textId="77777777" w:rsidTr="00231DDA">
        <w:tc>
          <w:tcPr>
            <w:tcW w:w="2552" w:type="dxa"/>
            <w:vMerge w:val="restart"/>
          </w:tcPr>
          <w:p w14:paraId="43403764" w14:textId="77777777" w:rsidR="00DB216D" w:rsidRPr="005448F1" w:rsidRDefault="00DB216D" w:rsidP="005448F1">
            <w:pPr>
              <w:pStyle w:val="TableContent"/>
              <w:rPr>
                <w:color w:val="000000"/>
                <w:sz w:val="24"/>
              </w:rPr>
            </w:pPr>
            <w:r w:rsidRPr="005448F1">
              <w:rPr>
                <w:color w:val="000000"/>
                <w:sz w:val="24"/>
              </w:rPr>
              <w:t>Transferable restrictions</w:t>
            </w:r>
          </w:p>
        </w:tc>
        <w:tc>
          <w:tcPr>
            <w:tcW w:w="7087" w:type="dxa"/>
          </w:tcPr>
          <w:p w14:paraId="1199DF68" w14:textId="77777777" w:rsidR="00DB216D" w:rsidRPr="005448F1" w:rsidRDefault="00DB216D" w:rsidP="005448F1">
            <w:pPr>
              <w:pStyle w:val="TableContent"/>
              <w:rPr>
                <w:color w:val="000000"/>
                <w:sz w:val="24"/>
              </w:rPr>
            </w:pPr>
            <w:r w:rsidRPr="005448F1">
              <w:rPr>
                <w:color w:val="000000"/>
                <w:sz w:val="24"/>
              </w:rPr>
              <w:t>Explanation</w:t>
            </w:r>
          </w:p>
          <w:p w14:paraId="571C57B8" w14:textId="77777777" w:rsidR="00DB216D" w:rsidRPr="007959B5" w:rsidRDefault="00DB216D" w:rsidP="005448F1">
            <w:pPr>
              <w:pStyle w:val="TableContent"/>
              <w:rPr>
                <w:color w:val="000000"/>
                <w:sz w:val="24"/>
              </w:rPr>
            </w:pPr>
            <w:r w:rsidRPr="005448F1">
              <w:rPr>
                <w:color w:val="000000"/>
                <w:sz w:val="24"/>
              </w:rPr>
              <w:t>Inherent characteristic of the asset.</w:t>
            </w:r>
            <w:r w:rsidRPr="007959B5">
              <w:rPr>
                <w:color w:val="000000"/>
                <w:sz w:val="24"/>
              </w:rPr>
              <w:t xml:space="preserve"> Such restrictions will always limit the use of the asset, irrespective of who uses the asset. Consequently, use of the asset in compliance with such restrictions will be the ‘highest and best use’ thereof (AASB 13 Fair Value Measurement 2022: 8, par.27). These </w:t>
            </w:r>
            <w:r w:rsidRPr="005448F1">
              <w:rPr>
                <w:color w:val="000000"/>
                <w:sz w:val="24"/>
              </w:rPr>
              <w:t>restrictions will be transferred on a chance of ownership of the asset.</w:t>
            </w:r>
            <w:r w:rsidRPr="007959B5">
              <w:rPr>
                <w:color w:val="000000"/>
                <w:sz w:val="24"/>
              </w:rPr>
              <w:t xml:space="preserve"> </w:t>
            </w:r>
          </w:p>
        </w:tc>
      </w:tr>
      <w:tr w:rsidR="00DB216D" w:rsidRPr="007959B5" w14:paraId="0315D694" w14:textId="77777777" w:rsidTr="00231DDA">
        <w:tc>
          <w:tcPr>
            <w:tcW w:w="2552" w:type="dxa"/>
            <w:vMerge/>
          </w:tcPr>
          <w:p w14:paraId="36AC6FF7" w14:textId="77777777" w:rsidR="00DB216D" w:rsidRPr="005448F1" w:rsidRDefault="00DB216D" w:rsidP="005448F1">
            <w:pPr>
              <w:pStyle w:val="TableContent"/>
              <w:rPr>
                <w:color w:val="000000"/>
                <w:sz w:val="24"/>
              </w:rPr>
            </w:pPr>
          </w:p>
        </w:tc>
        <w:tc>
          <w:tcPr>
            <w:tcW w:w="7087" w:type="dxa"/>
          </w:tcPr>
          <w:p w14:paraId="10503811" w14:textId="77777777" w:rsidR="00DB216D" w:rsidRPr="005448F1" w:rsidRDefault="00DB216D" w:rsidP="005448F1">
            <w:pPr>
              <w:pStyle w:val="TableContent"/>
              <w:rPr>
                <w:color w:val="000000"/>
                <w:sz w:val="24"/>
              </w:rPr>
            </w:pPr>
            <w:r w:rsidRPr="005448F1">
              <w:rPr>
                <w:color w:val="000000"/>
                <w:sz w:val="24"/>
              </w:rPr>
              <w:t>Application</w:t>
            </w:r>
          </w:p>
          <w:p w14:paraId="708395C7" w14:textId="77777777" w:rsidR="00DB216D" w:rsidRPr="007959B5" w:rsidRDefault="00DB216D" w:rsidP="005448F1">
            <w:pPr>
              <w:pStyle w:val="TableContent"/>
              <w:rPr>
                <w:color w:val="000000"/>
                <w:sz w:val="24"/>
              </w:rPr>
            </w:pPr>
            <w:r w:rsidRPr="005448F1">
              <w:rPr>
                <w:color w:val="000000"/>
                <w:sz w:val="24"/>
              </w:rPr>
              <w:t>Consider</w:t>
            </w:r>
            <w:r w:rsidRPr="007959B5">
              <w:rPr>
                <w:color w:val="000000"/>
                <w:sz w:val="24"/>
              </w:rPr>
              <w:t xml:space="preserve"> the restrictions in the fair value measurement of the asset.</w:t>
            </w:r>
          </w:p>
        </w:tc>
      </w:tr>
      <w:tr w:rsidR="00DB216D" w:rsidRPr="007959B5" w14:paraId="19D51E52" w14:textId="77777777" w:rsidTr="00231DDA">
        <w:tc>
          <w:tcPr>
            <w:tcW w:w="2552" w:type="dxa"/>
            <w:vMerge/>
            <w:tcBorders>
              <w:bottom w:val="single" w:sz="12" w:space="0" w:color="auto"/>
            </w:tcBorders>
          </w:tcPr>
          <w:p w14:paraId="77D592CD" w14:textId="77777777" w:rsidR="00DB216D" w:rsidRPr="005448F1" w:rsidRDefault="00DB216D" w:rsidP="005448F1">
            <w:pPr>
              <w:pStyle w:val="TableContent"/>
              <w:rPr>
                <w:color w:val="000000"/>
                <w:sz w:val="24"/>
              </w:rPr>
            </w:pPr>
          </w:p>
        </w:tc>
        <w:tc>
          <w:tcPr>
            <w:tcW w:w="7087" w:type="dxa"/>
            <w:tcBorders>
              <w:bottom w:val="single" w:sz="12" w:space="0" w:color="auto"/>
            </w:tcBorders>
          </w:tcPr>
          <w:p w14:paraId="576DB4AA" w14:textId="77777777" w:rsidR="00DB216D" w:rsidRPr="005448F1" w:rsidRDefault="00DB216D" w:rsidP="005448F1">
            <w:pPr>
              <w:pStyle w:val="TableContent"/>
              <w:rPr>
                <w:color w:val="000000"/>
                <w:sz w:val="24"/>
              </w:rPr>
            </w:pPr>
            <w:r w:rsidRPr="005448F1">
              <w:rPr>
                <w:color w:val="000000"/>
                <w:sz w:val="24"/>
              </w:rPr>
              <w:t xml:space="preserve">Example: </w:t>
            </w:r>
          </w:p>
          <w:p w14:paraId="26B8C7C9" w14:textId="77777777" w:rsidR="00DB216D" w:rsidRPr="005448F1" w:rsidRDefault="00DB216D" w:rsidP="005448F1">
            <w:pPr>
              <w:pStyle w:val="TableContent"/>
              <w:rPr>
                <w:color w:val="000000"/>
                <w:sz w:val="24"/>
              </w:rPr>
            </w:pPr>
            <w:r w:rsidRPr="005448F1">
              <w:rPr>
                <w:color w:val="000000"/>
                <w:sz w:val="24"/>
              </w:rPr>
              <w:t>Land zoned as agricultural land should be valued as agricultural land.</w:t>
            </w:r>
          </w:p>
        </w:tc>
      </w:tr>
      <w:tr w:rsidR="00DB216D" w:rsidRPr="007959B5" w14:paraId="3108678D" w14:textId="77777777" w:rsidTr="00231DDA">
        <w:tc>
          <w:tcPr>
            <w:tcW w:w="2552" w:type="dxa"/>
            <w:vMerge w:val="restart"/>
            <w:tcBorders>
              <w:top w:val="single" w:sz="12" w:space="0" w:color="auto"/>
            </w:tcBorders>
          </w:tcPr>
          <w:p w14:paraId="1FF90163" w14:textId="77777777" w:rsidR="00DB216D" w:rsidRPr="005448F1" w:rsidRDefault="00DB216D" w:rsidP="005448F1">
            <w:pPr>
              <w:pStyle w:val="TableContent"/>
              <w:rPr>
                <w:color w:val="000000"/>
                <w:sz w:val="24"/>
              </w:rPr>
            </w:pPr>
            <w:r w:rsidRPr="005448F1">
              <w:rPr>
                <w:color w:val="000000"/>
                <w:sz w:val="24"/>
              </w:rPr>
              <w:t>Non-transferable restrictions</w:t>
            </w:r>
          </w:p>
        </w:tc>
        <w:tc>
          <w:tcPr>
            <w:tcW w:w="7087" w:type="dxa"/>
            <w:tcBorders>
              <w:top w:val="single" w:sz="12" w:space="0" w:color="auto"/>
            </w:tcBorders>
          </w:tcPr>
          <w:p w14:paraId="2EB70563" w14:textId="77777777" w:rsidR="00DB216D" w:rsidRPr="005448F1" w:rsidRDefault="00DB216D" w:rsidP="005448F1">
            <w:pPr>
              <w:pStyle w:val="TableContent"/>
              <w:rPr>
                <w:color w:val="000000"/>
                <w:sz w:val="24"/>
              </w:rPr>
            </w:pPr>
            <w:r w:rsidRPr="005448F1">
              <w:rPr>
                <w:color w:val="000000"/>
                <w:sz w:val="24"/>
              </w:rPr>
              <w:t>Explanation</w:t>
            </w:r>
          </w:p>
          <w:p w14:paraId="3E567950" w14:textId="77777777" w:rsidR="00DB216D" w:rsidRPr="007959B5" w:rsidRDefault="00DB216D" w:rsidP="005448F1">
            <w:pPr>
              <w:pStyle w:val="TableContent"/>
              <w:rPr>
                <w:color w:val="000000"/>
                <w:sz w:val="24"/>
              </w:rPr>
            </w:pPr>
            <w:r w:rsidRPr="005448F1">
              <w:rPr>
                <w:color w:val="000000"/>
                <w:sz w:val="24"/>
              </w:rPr>
              <w:t>Restrictions specific to the holder of the asset.</w:t>
            </w:r>
            <w:r w:rsidRPr="007959B5">
              <w:rPr>
                <w:color w:val="000000"/>
                <w:sz w:val="24"/>
              </w:rPr>
              <w:t xml:space="preserve"> Such restriction is limited to the current user of the asset. Consequently, such restrictions do not limit the ‘highest and best use’ of the asset (AASB 13 Fair Value Measurement 2022: 8, par. 27).</w:t>
            </w:r>
          </w:p>
          <w:p w14:paraId="1678BD71" w14:textId="77777777" w:rsidR="00DB216D" w:rsidRPr="005448F1" w:rsidRDefault="00DB216D" w:rsidP="005448F1">
            <w:pPr>
              <w:pStyle w:val="TableContent"/>
              <w:rPr>
                <w:color w:val="000000"/>
                <w:sz w:val="24"/>
              </w:rPr>
            </w:pPr>
            <w:r w:rsidRPr="005448F1">
              <w:rPr>
                <w:color w:val="000000"/>
                <w:sz w:val="24"/>
              </w:rPr>
              <w:t>These restrictions will not be transferred on a chance of ownership of the asset.</w:t>
            </w:r>
          </w:p>
        </w:tc>
      </w:tr>
      <w:tr w:rsidR="00DB216D" w:rsidRPr="007959B5" w14:paraId="09D7ECEC" w14:textId="77777777" w:rsidTr="00231DDA">
        <w:tc>
          <w:tcPr>
            <w:tcW w:w="2552" w:type="dxa"/>
            <w:vMerge/>
          </w:tcPr>
          <w:p w14:paraId="2A795B59" w14:textId="77777777" w:rsidR="00DB216D" w:rsidRPr="005448F1" w:rsidRDefault="00DB216D" w:rsidP="005448F1">
            <w:pPr>
              <w:pStyle w:val="TableContent"/>
              <w:rPr>
                <w:color w:val="000000"/>
                <w:sz w:val="24"/>
              </w:rPr>
            </w:pPr>
          </w:p>
        </w:tc>
        <w:tc>
          <w:tcPr>
            <w:tcW w:w="7087" w:type="dxa"/>
          </w:tcPr>
          <w:p w14:paraId="0CB237FB" w14:textId="77777777" w:rsidR="00DB216D" w:rsidRPr="005448F1" w:rsidRDefault="00DB216D" w:rsidP="005448F1">
            <w:pPr>
              <w:pStyle w:val="TableContent"/>
              <w:rPr>
                <w:color w:val="000000"/>
                <w:sz w:val="24"/>
              </w:rPr>
            </w:pPr>
            <w:r w:rsidRPr="005448F1">
              <w:rPr>
                <w:color w:val="000000"/>
                <w:sz w:val="24"/>
              </w:rPr>
              <w:t>Application</w:t>
            </w:r>
          </w:p>
          <w:p w14:paraId="2C1A5913" w14:textId="77777777" w:rsidR="00DB216D" w:rsidRPr="005448F1" w:rsidRDefault="00DB216D" w:rsidP="005448F1">
            <w:pPr>
              <w:pStyle w:val="TableContent"/>
              <w:rPr>
                <w:color w:val="000000"/>
                <w:sz w:val="24"/>
              </w:rPr>
            </w:pPr>
            <w:r w:rsidRPr="005448F1">
              <w:rPr>
                <w:color w:val="000000"/>
                <w:sz w:val="24"/>
              </w:rPr>
              <w:t xml:space="preserve">Do not consider restrictions specific to the holder of the asset </w:t>
            </w:r>
            <w:r w:rsidRPr="007959B5">
              <w:rPr>
                <w:color w:val="000000"/>
                <w:sz w:val="24"/>
              </w:rPr>
              <w:t>in the fair value measurement of the asset.</w:t>
            </w:r>
            <w:r w:rsidRPr="005448F1">
              <w:rPr>
                <w:color w:val="000000"/>
                <w:sz w:val="24"/>
              </w:rPr>
              <w:t xml:space="preserve"> </w:t>
            </w:r>
          </w:p>
        </w:tc>
      </w:tr>
    </w:tbl>
    <w:p w14:paraId="78D998BC" w14:textId="77777777" w:rsidR="00231DDA" w:rsidRDefault="00231DDA">
      <w:r>
        <w:br w:type="page"/>
      </w:r>
    </w:p>
    <w:tbl>
      <w:tblPr>
        <w:tblStyle w:val="TableGrid"/>
        <w:tblW w:w="9639" w:type="dxa"/>
        <w:tblLook w:val="04A0" w:firstRow="1" w:lastRow="0" w:firstColumn="1" w:lastColumn="0" w:noHBand="0" w:noVBand="1"/>
      </w:tblPr>
      <w:tblGrid>
        <w:gridCol w:w="2552"/>
        <w:gridCol w:w="7087"/>
      </w:tblGrid>
      <w:tr w:rsidR="00DB216D" w:rsidRPr="007959B5" w14:paraId="176A21D4" w14:textId="77777777" w:rsidTr="004B7282">
        <w:tc>
          <w:tcPr>
            <w:tcW w:w="2552" w:type="dxa"/>
          </w:tcPr>
          <w:p w14:paraId="3BA8C3FF" w14:textId="46AD13B3" w:rsidR="00DB216D" w:rsidRPr="005448F1" w:rsidRDefault="00DB216D" w:rsidP="005448F1">
            <w:pPr>
              <w:pStyle w:val="TableContent"/>
              <w:rPr>
                <w:color w:val="000000"/>
                <w:sz w:val="24"/>
              </w:rPr>
            </w:pPr>
          </w:p>
        </w:tc>
        <w:tc>
          <w:tcPr>
            <w:tcW w:w="7088" w:type="dxa"/>
          </w:tcPr>
          <w:p w14:paraId="5473D232" w14:textId="77777777" w:rsidR="00DB216D" w:rsidRPr="005448F1" w:rsidRDefault="00DB216D" w:rsidP="005448F1">
            <w:pPr>
              <w:pStyle w:val="TableContent"/>
              <w:rPr>
                <w:sz w:val="24"/>
              </w:rPr>
            </w:pPr>
            <w:r w:rsidRPr="005448F1">
              <w:rPr>
                <w:sz w:val="24"/>
              </w:rPr>
              <w:t xml:space="preserve">Example: </w:t>
            </w:r>
          </w:p>
          <w:p w14:paraId="7A53A9B8" w14:textId="77777777" w:rsidR="00DB216D" w:rsidRPr="005448F1" w:rsidRDefault="00DB216D" w:rsidP="005448F1">
            <w:pPr>
              <w:pStyle w:val="TableContent"/>
              <w:rPr>
                <w:sz w:val="24"/>
              </w:rPr>
            </w:pPr>
            <w:r w:rsidRPr="005448F1">
              <w:rPr>
                <w:sz w:val="24"/>
              </w:rPr>
              <w:t>AASB 13 Fair Value Measurement (2022: 64-</w:t>
            </w:r>
            <w:proofErr w:type="gramStart"/>
            <w:r w:rsidRPr="005448F1">
              <w:rPr>
                <w:sz w:val="24"/>
              </w:rPr>
              <w:t>65 )states</w:t>
            </w:r>
            <w:proofErr w:type="gramEnd"/>
            <w:r w:rsidRPr="005448F1">
              <w:rPr>
                <w:sz w:val="24"/>
              </w:rPr>
              <w:t>:</w:t>
            </w:r>
          </w:p>
          <w:p w14:paraId="76A2E4B6" w14:textId="4FDA440C" w:rsidR="00DB216D" w:rsidRPr="005448F1" w:rsidRDefault="00DB216D" w:rsidP="00A3415A">
            <w:pPr>
              <w:pStyle w:val="TableContent"/>
              <w:ind w:left="907" w:hanging="907"/>
              <w:rPr>
                <w:sz w:val="24"/>
              </w:rPr>
            </w:pPr>
            <w:r w:rsidRPr="005448F1">
              <w:rPr>
                <w:sz w:val="24"/>
              </w:rPr>
              <w:t xml:space="preserve">‘BC103 Paragraph IE29 of the IASB’s Illustrative Examples accompanying IFRS 13 (which can be accessed via the AASB’s website) provides the following example of legally permissible uses of a non-financial asset: </w:t>
            </w:r>
          </w:p>
          <w:p w14:paraId="622D1778" w14:textId="77777777" w:rsidR="00DB216D" w:rsidRPr="005448F1" w:rsidRDefault="00DB216D" w:rsidP="00A3415A">
            <w:pPr>
              <w:pStyle w:val="TableContent"/>
              <w:ind w:left="907"/>
              <w:rPr>
                <w:sz w:val="24"/>
              </w:rPr>
            </w:pPr>
            <w:r w:rsidRPr="005448F1">
              <w:rPr>
                <w:sz w:val="24"/>
              </w:rPr>
              <w:t>A donor contributes land in an otherwise developed residential area to a not-for-profit neighbourhood association. The land is currently used as a playground. The donor specifies that the land must continue to be used by the association as a playground in perpetuity. Upon review of relevant documentation (</w:t>
            </w:r>
            <w:proofErr w:type="spellStart"/>
            <w:r w:rsidRPr="005448F1">
              <w:rPr>
                <w:sz w:val="24"/>
              </w:rPr>
              <w:t>eg</w:t>
            </w:r>
            <w:proofErr w:type="spellEnd"/>
            <w:r w:rsidRPr="005448F1">
              <w:rPr>
                <w:sz w:val="24"/>
              </w:rPr>
              <w:t xml:space="preserve"> legal and other), the association determines that the fiduciary responsibility to meet the donor’s restriction would not be transferred to market participants if the association sold the asset, </w:t>
            </w:r>
            <w:proofErr w:type="spellStart"/>
            <w:r w:rsidRPr="005448F1">
              <w:rPr>
                <w:sz w:val="24"/>
              </w:rPr>
              <w:t>ie</w:t>
            </w:r>
            <w:proofErr w:type="spellEnd"/>
            <w:r w:rsidRPr="005448F1">
              <w:rPr>
                <w:sz w:val="24"/>
              </w:rPr>
              <w:t xml:space="preserve"> the donor restriction on the use of the land is specific to the association. Furthermore, the association is not restricted from selling the land. Without the restriction on the use of the land by the association, the land could be used as a site for residential development. In addition, the land is subject to an easement (</w:t>
            </w:r>
            <w:proofErr w:type="spellStart"/>
            <w:r w:rsidRPr="005448F1">
              <w:rPr>
                <w:sz w:val="24"/>
              </w:rPr>
              <w:t>ie</w:t>
            </w:r>
            <w:proofErr w:type="spellEnd"/>
            <w:r w:rsidRPr="005448F1">
              <w:rPr>
                <w:sz w:val="24"/>
              </w:rPr>
              <w:t xml:space="preserve"> a legal right that enables a utility to run power lines across the land).’</w:t>
            </w:r>
          </w:p>
          <w:p w14:paraId="76EA5272" w14:textId="4640A663" w:rsidR="00DB216D" w:rsidRPr="005448F1" w:rsidRDefault="00DB216D" w:rsidP="00A3415A">
            <w:pPr>
              <w:pStyle w:val="TableContent"/>
              <w:ind w:left="907" w:hanging="907"/>
              <w:rPr>
                <w:sz w:val="24"/>
              </w:rPr>
            </w:pPr>
            <w:r w:rsidRPr="005448F1">
              <w:rPr>
                <w:sz w:val="24"/>
              </w:rPr>
              <w:t>‘BC</w:t>
            </w:r>
            <w:proofErr w:type="gramStart"/>
            <w:r w:rsidRPr="005448F1">
              <w:rPr>
                <w:sz w:val="24"/>
              </w:rPr>
              <w:t>104  Consistent</w:t>
            </w:r>
            <w:proofErr w:type="gramEnd"/>
            <w:r w:rsidRPr="005448F1">
              <w:rPr>
                <w:sz w:val="24"/>
              </w:rPr>
              <w:t xml:space="preserve"> with the IASB’s analysis in the illustrative example quoted in paragraph BC103, the Board noted that the fair value measurement of an asset:</w:t>
            </w:r>
          </w:p>
          <w:p w14:paraId="1669E949" w14:textId="77777777" w:rsidR="00DB216D" w:rsidRPr="005448F1" w:rsidRDefault="00DB216D" w:rsidP="00A3415A">
            <w:pPr>
              <w:pStyle w:val="TableContent"/>
              <w:ind w:left="1304" w:hanging="397"/>
              <w:rPr>
                <w:sz w:val="24"/>
              </w:rPr>
            </w:pPr>
            <w:r w:rsidRPr="005448F1">
              <w:rPr>
                <w:sz w:val="24"/>
              </w:rPr>
              <w:t xml:space="preserve">(a) would not </w:t>
            </w:r>
            <w:proofErr w:type="gramStart"/>
            <w:r w:rsidRPr="005448F1">
              <w:rPr>
                <w:sz w:val="24"/>
              </w:rPr>
              <w:t>take into account</w:t>
            </w:r>
            <w:proofErr w:type="gramEnd"/>
            <w:r w:rsidRPr="005448F1">
              <w:rPr>
                <w:sz w:val="24"/>
              </w:rPr>
              <w:t xml:space="preserve"> a restriction that is specific to the entity holding the asset, </w:t>
            </w:r>
            <w:proofErr w:type="spellStart"/>
            <w:r w:rsidRPr="005448F1">
              <w:rPr>
                <w:sz w:val="24"/>
              </w:rPr>
              <w:t>ie</w:t>
            </w:r>
            <w:proofErr w:type="spellEnd"/>
            <w:r w:rsidRPr="005448F1">
              <w:rPr>
                <w:sz w:val="24"/>
              </w:rPr>
              <w:t xml:space="preserve"> would not transfer to market participants in a hypothetical sale transaction (</w:t>
            </w:r>
            <w:proofErr w:type="spellStart"/>
            <w:r w:rsidRPr="005448F1">
              <w:rPr>
                <w:sz w:val="24"/>
              </w:rPr>
              <w:t>eg</w:t>
            </w:r>
            <w:proofErr w:type="spellEnd"/>
            <w:r w:rsidRPr="005448F1">
              <w:rPr>
                <w:sz w:val="24"/>
              </w:rPr>
              <w:t xml:space="preserve"> the restriction on the use of land in the IASB’s example); but </w:t>
            </w:r>
          </w:p>
          <w:p w14:paraId="78275162" w14:textId="77777777" w:rsidR="00DB216D" w:rsidRPr="005448F1" w:rsidRDefault="00DB216D" w:rsidP="00A3415A">
            <w:pPr>
              <w:pStyle w:val="TableContent"/>
              <w:ind w:left="1304" w:hanging="397"/>
              <w:rPr>
                <w:sz w:val="24"/>
              </w:rPr>
            </w:pPr>
            <w:r w:rsidRPr="005448F1">
              <w:rPr>
                <w:sz w:val="24"/>
              </w:rPr>
              <w:t xml:space="preserve">(b) would </w:t>
            </w:r>
            <w:proofErr w:type="gramStart"/>
            <w:r w:rsidRPr="005448F1">
              <w:rPr>
                <w:sz w:val="24"/>
              </w:rPr>
              <w:t>take into account</w:t>
            </w:r>
            <w:proofErr w:type="gramEnd"/>
            <w:r w:rsidRPr="005448F1">
              <w:rPr>
                <w:sz w:val="24"/>
              </w:rPr>
              <w:t xml:space="preserve"> the effect of restrictions that would transfer to market participants in a hypothetical sale transaction (</w:t>
            </w:r>
            <w:proofErr w:type="spellStart"/>
            <w:r w:rsidRPr="005448F1">
              <w:rPr>
                <w:sz w:val="24"/>
              </w:rPr>
              <w:t>eg</w:t>
            </w:r>
            <w:proofErr w:type="spellEnd"/>
            <w:r w:rsidRPr="005448F1">
              <w:rPr>
                <w:sz w:val="24"/>
              </w:rPr>
              <w:t xml:space="preserve"> the easement restriction in the IASB’s example).’</w:t>
            </w:r>
          </w:p>
        </w:tc>
      </w:tr>
    </w:tbl>
    <w:p w14:paraId="2782BD40" w14:textId="77777777" w:rsidR="009D2186" w:rsidRDefault="009D2186">
      <w:pPr>
        <w:spacing w:after="0" w:line="240" w:lineRule="auto"/>
        <w:rPr>
          <w:rFonts w:eastAsia="Times New Roman" w:cs="Arial"/>
          <w:b/>
          <w:bCs/>
          <w:szCs w:val="28"/>
        </w:rPr>
      </w:pPr>
      <w:r>
        <w:br w:type="page"/>
      </w:r>
    </w:p>
    <w:p w14:paraId="5DA073FE" w14:textId="030665F9" w:rsidR="00DB216D" w:rsidRPr="007959B5" w:rsidRDefault="00DB216D" w:rsidP="009D2186">
      <w:pPr>
        <w:pStyle w:val="Heading4"/>
      </w:pPr>
      <w:r w:rsidRPr="007959B5">
        <w:lastRenderedPageBreak/>
        <w:t xml:space="preserve">Restrictions specific to not-for-profit public sector entities </w:t>
      </w:r>
    </w:p>
    <w:p w14:paraId="6F8EB707" w14:textId="4EC554EA" w:rsidR="00DB216D" w:rsidRPr="007959B5" w:rsidRDefault="00DB216D" w:rsidP="00D70B5C">
      <w:pPr>
        <w:pStyle w:val="BodyText"/>
      </w:pPr>
      <w:r w:rsidRPr="007959B5">
        <w:t>AASB 13 Fair Value Measurement (2022:9, par</w:t>
      </w:r>
      <w:r w:rsidR="00C342BE">
        <w:t xml:space="preserve"> </w:t>
      </w:r>
      <w:r w:rsidRPr="007959B5">
        <w:t xml:space="preserve">Aus29.1) applies specifically to: </w:t>
      </w:r>
    </w:p>
    <w:p w14:paraId="51108CFD" w14:textId="77777777" w:rsidR="00DB216D" w:rsidRPr="007959B5" w:rsidRDefault="00DB216D">
      <w:pPr>
        <w:pStyle w:val="BodyText"/>
        <w:numPr>
          <w:ilvl w:val="0"/>
          <w:numId w:val="140"/>
        </w:numPr>
      </w:pPr>
      <w:r w:rsidRPr="007959B5">
        <w:t>‘not-for-profit public sector entities’ regarding</w:t>
      </w:r>
    </w:p>
    <w:p w14:paraId="02FDB316" w14:textId="77777777" w:rsidR="00DB216D" w:rsidRPr="007959B5" w:rsidRDefault="00DB216D">
      <w:pPr>
        <w:pStyle w:val="BodyText"/>
        <w:numPr>
          <w:ilvl w:val="0"/>
          <w:numId w:val="140"/>
        </w:numPr>
      </w:pPr>
      <w:r w:rsidRPr="007959B5">
        <w:t>‘non-financial assets’</w:t>
      </w:r>
    </w:p>
    <w:p w14:paraId="04D3F3E2" w14:textId="77777777" w:rsidR="00792A8E" w:rsidRDefault="00DB216D">
      <w:pPr>
        <w:pStyle w:val="BodyText"/>
        <w:numPr>
          <w:ilvl w:val="0"/>
          <w:numId w:val="140"/>
        </w:numPr>
      </w:pPr>
      <w:r w:rsidRPr="007959B5">
        <w:t>‘</w:t>
      </w:r>
      <w:proofErr w:type="gramStart"/>
      <w:r w:rsidRPr="007959B5">
        <w:t>not</w:t>
      </w:r>
      <w:proofErr w:type="gramEnd"/>
      <w:r w:rsidRPr="007959B5">
        <w:t xml:space="preserve"> held primarily for its ability to generate net cash inflows’</w:t>
      </w:r>
    </w:p>
    <w:p w14:paraId="473B9762" w14:textId="36F49B2C" w:rsidR="00397FED" w:rsidRDefault="00956D8C">
      <w:pPr>
        <w:pStyle w:val="BodyText"/>
        <w:numPr>
          <w:ilvl w:val="0"/>
          <w:numId w:val="140"/>
        </w:numPr>
      </w:pPr>
      <w:r>
        <w:t xml:space="preserve">not subject to the </w:t>
      </w:r>
      <w:r w:rsidR="0061616F">
        <w:t xml:space="preserve">two exceptions in paragraph Aus29.1 of AASB 13 Fair Value </w:t>
      </w:r>
      <w:r w:rsidR="009357BE">
        <w:t>Measurement (2022)</w:t>
      </w:r>
    </w:p>
    <w:p w14:paraId="011E726C" w14:textId="55093369" w:rsidR="00DB216D" w:rsidRPr="007959B5" w:rsidRDefault="00BF75DA" w:rsidP="00D70B5C">
      <w:pPr>
        <w:pStyle w:val="BodyText"/>
      </w:pPr>
      <w:r>
        <w:t xml:space="preserve">(see </w:t>
      </w:r>
      <w:r w:rsidR="00916C31">
        <w:t xml:space="preserve">Attachment A to </w:t>
      </w:r>
      <w:r>
        <w:t>these Guidelines)</w:t>
      </w:r>
      <w:r w:rsidR="007D6E64">
        <w:t xml:space="preserve"> </w:t>
      </w:r>
      <w:r w:rsidR="00DB216D" w:rsidRPr="007959B5">
        <w:t xml:space="preserve">In such cases, </w:t>
      </w:r>
      <w:r w:rsidR="00DB216D" w:rsidRPr="007959B5">
        <w:rPr>
          <w:b/>
          <w:bCs/>
        </w:rPr>
        <w:t>if the two exceptions do not apply</w:t>
      </w:r>
      <w:r w:rsidR="00DB216D" w:rsidRPr="007959B5">
        <w:t>, the current public sector community use of the non-financial asset is regarded as being the asset’s ‘highest and best use’</w:t>
      </w:r>
      <w:r w:rsidR="00DB216D" w:rsidRPr="007959B5">
        <w:rPr>
          <w:color w:val="000000"/>
        </w:rPr>
        <w:t xml:space="preserve"> (AASB 13 Fair Value Measurement 2022: 8, par. 27).</w:t>
      </w:r>
      <w:r w:rsidR="00DB216D" w:rsidRPr="007959B5">
        <w:t xml:space="preserve"> This means the nature of restrictions on the use of the asset (being transferable or not transferable) does not affect the fair value measurement of the asset. </w:t>
      </w:r>
    </w:p>
    <w:tbl>
      <w:tblPr>
        <w:tblStyle w:val="TableGrid"/>
        <w:tblW w:w="9639" w:type="dxa"/>
        <w:tblLook w:val="04A0" w:firstRow="1" w:lastRow="0" w:firstColumn="1" w:lastColumn="0" w:noHBand="0" w:noVBand="1"/>
      </w:tblPr>
      <w:tblGrid>
        <w:gridCol w:w="4820"/>
        <w:gridCol w:w="4819"/>
      </w:tblGrid>
      <w:tr w:rsidR="00DB216D" w:rsidRPr="007959B5" w14:paraId="6D7A4F8D" w14:textId="77777777" w:rsidTr="004B7282">
        <w:tc>
          <w:tcPr>
            <w:tcW w:w="3214" w:type="dxa"/>
            <w:tcBorders>
              <w:bottom w:val="single" w:sz="4" w:space="0" w:color="auto"/>
            </w:tcBorders>
            <w:shd w:val="clear" w:color="auto" w:fill="F2F2F2" w:themeFill="background1" w:themeFillShade="F2"/>
          </w:tcPr>
          <w:p w14:paraId="081845AC" w14:textId="4C4FCBFC" w:rsidR="00DB216D" w:rsidRPr="00A3415A" w:rsidRDefault="00DB216D" w:rsidP="00A3415A">
            <w:pPr>
              <w:pStyle w:val="TableContent"/>
              <w:rPr>
                <w:b/>
                <w:sz w:val="24"/>
              </w:rPr>
            </w:pPr>
            <w:r w:rsidRPr="00A3415A">
              <w:rPr>
                <w:b/>
                <w:sz w:val="24"/>
              </w:rPr>
              <w:t xml:space="preserve">Nature of </w:t>
            </w:r>
            <w:r w:rsidR="00231DDA">
              <w:rPr>
                <w:b/>
                <w:sz w:val="24"/>
              </w:rPr>
              <w:t>r</w:t>
            </w:r>
            <w:r w:rsidRPr="00A3415A">
              <w:rPr>
                <w:b/>
                <w:sz w:val="24"/>
              </w:rPr>
              <w:t>estriction</w:t>
            </w:r>
          </w:p>
        </w:tc>
        <w:tc>
          <w:tcPr>
            <w:tcW w:w="3213" w:type="dxa"/>
            <w:tcBorders>
              <w:bottom w:val="single" w:sz="4" w:space="0" w:color="auto"/>
            </w:tcBorders>
            <w:shd w:val="clear" w:color="auto" w:fill="F2F2F2" w:themeFill="background1" w:themeFillShade="F2"/>
          </w:tcPr>
          <w:p w14:paraId="26357FF3" w14:textId="77777777" w:rsidR="00DB216D" w:rsidRPr="00A3415A" w:rsidRDefault="00DB216D" w:rsidP="00A3415A">
            <w:pPr>
              <w:pStyle w:val="TableContent"/>
              <w:rPr>
                <w:b/>
                <w:sz w:val="24"/>
              </w:rPr>
            </w:pPr>
            <w:r w:rsidRPr="00A3415A">
              <w:rPr>
                <w:b/>
                <w:sz w:val="24"/>
              </w:rPr>
              <w:t>Application</w:t>
            </w:r>
          </w:p>
        </w:tc>
      </w:tr>
      <w:tr w:rsidR="00DB216D" w:rsidRPr="007959B5" w14:paraId="329B975A" w14:textId="77777777" w:rsidTr="004B7282">
        <w:tc>
          <w:tcPr>
            <w:tcW w:w="3214" w:type="dxa"/>
            <w:tcBorders>
              <w:bottom w:val="single" w:sz="4" w:space="0" w:color="auto"/>
            </w:tcBorders>
          </w:tcPr>
          <w:p w14:paraId="084AB43F" w14:textId="77777777" w:rsidR="00DB216D" w:rsidRPr="00A3415A" w:rsidRDefault="00DB216D" w:rsidP="00A3415A">
            <w:pPr>
              <w:pStyle w:val="TableContent"/>
              <w:rPr>
                <w:sz w:val="24"/>
              </w:rPr>
            </w:pPr>
            <w:r w:rsidRPr="00A3415A">
              <w:rPr>
                <w:sz w:val="24"/>
              </w:rPr>
              <w:t>Transferable restriction</w:t>
            </w:r>
          </w:p>
        </w:tc>
        <w:tc>
          <w:tcPr>
            <w:tcW w:w="3213" w:type="dxa"/>
            <w:vMerge w:val="restart"/>
          </w:tcPr>
          <w:p w14:paraId="34F192DA" w14:textId="77777777" w:rsidR="00DB216D" w:rsidRPr="007959B5" w:rsidRDefault="00DB216D" w:rsidP="00A3415A">
            <w:pPr>
              <w:pStyle w:val="TableContent"/>
              <w:rPr>
                <w:sz w:val="24"/>
              </w:rPr>
            </w:pPr>
            <w:r w:rsidRPr="00A3415A">
              <w:rPr>
                <w:sz w:val="24"/>
              </w:rPr>
              <w:t>If the asset is used in accordance with the restrictions the nature of the restrictions is irrelevant.</w:t>
            </w:r>
          </w:p>
        </w:tc>
      </w:tr>
      <w:tr w:rsidR="00DB216D" w14:paraId="1977D549" w14:textId="77777777" w:rsidTr="004B7282">
        <w:tc>
          <w:tcPr>
            <w:tcW w:w="3214" w:type="dxa"/>
          </w:tcPr>
          <w:p w14:paraId="160A2F97" w14:textId="77777777" w:rsidR="00DB216D" w:rsidRPr="00A3415A" w:rsidRDefault="00DB216D" w:rsidP="00A3415A">
            <w:pPr>
              <w:pStyle w:val="TableContent"/>
              <w:rPr>
                <w:sz w:val="24"/>
              </w:rPr>
            </w:pPr>
            <w:r w:rsidRPr="00A3415A">
              <w:rPr>
                <w:sz w:val="24"/>
              </w:rPr>
              <w:t xml:space="preserve">Non-transferable restrictions </w:t>
            </w:r>
          </w:p>
        </w:tc>
        <w:tc>
          <w:tcPr>
            <w:tcW w:w="3213" w:type="dxa"/>
            <w:vMerge/>
          </w:tcPr>
          <w:p w14:paraId="1FD069CE" w14:textId="77777777" w:rsidR="00DB216D" w:rsidRDefault="00DB216D"/>
        </w:tc>
      </w:tr>
    </w:tbl>
    <w:p w14:paraId="253E1602" w14:textId="77777777" w:rsidR="00DB216D" w:rsidRDefault="00DB216D" w:rsidP="00DB216D">
      <w:pPr>
        <w:spacing w:after="160" w:line="278" w:lineRule="auto"/>
        <w:rPr>
          <w:rFonts w:ascii="Arial Rounded MT Bold" w:eastAsiaTheme="majorEastAsia" w:hAnsi="Arial Rounded MT Bold" w:cstheme="majorBidi"/>
          <w:sz w:val="30"/>
          <w:szCs w:val="30"/>
        </w:rPr>
      </w:pPr>
      <w:r>
        <w:br w:type="page"/>
      </w:r>
    </w:p>
    <w:p w14:paraId="59DEFEF3" w14:textId="77777777" w:rsidR="00DB216D" w:rsidRPr="007959B5" w:rsidRDefault="00DB216D" w:rsidP="00DB216D">
      <w:pPr>
        <w:pStyle w:val="Heading2"/>
        <w:rPr>
          <w:b w:val="0"/>
          <w:bCs w:val="0"/>
        </w:rPr>
      </w:pPr>
      <w:bookmarkStart w:id="129" w:name="_Toc207722761"/>
      <w:bookmarkStart w:id="130" w:name="_Toc223445094"/>
      <w:r w:rsidRPr="007959B5">
        <w:lastRenderedPageBreak/>
        <w:t>Land</w:t>
      </w:r>
      <w:bookmarkEnd w:id="129"/>
      <w:bookmarkEnd w:id="130"/>
    </w:p>
    <w:p w14:paraId="5AE7A145" w14:textId="197BF3F2" w:rsidR="00DB216D" w:rsidRPr="007959B5" w:rsidRDefault="00DB216D" w:rsidP="00DB2A60">
      <w:pPr>
        <w:pStyle w:val="Heading4"/>
      </w:pPr>
      <w:r w:rsidRPr="007959B5">
        <w:t>Generally accepted valuation approach</w:t>
      </w:r>
    </w:p>
    <w:p w14:paraId="3A712CD8" w14:textId="2644CA59" w:rsidR="00DB216D" w:rsidRPr="007959B5" w:rsidRDefault="001C5409" w:rsidP="00D70B5C">
      <w:pPr>
        <w:pStyle w:val="BodyText"/>
        <w:rPr>
          <w:b/>
        </w:rPr>
      </w:pPr>
      <w:r>
        <w:t xml:space="preserve">It </w:t>
      </w:r>
      <w:r w:rsidR="00DB216D" w:rsidRPr="007959B5">
        <w:t>is not the intention of the Guidelines to prescribe whether to use the market approach, cost approach or the income approach to value land. Local governments should use discretion in choosing and consistently applying a valuation technique. However, AASB 13 Fair Value Measurement (2022)</w:t>
      </w:r>
      <w:r w:rsidR="00D12D3B">
        <w:t xml:space="preserve"> </w:t>
      </w:r>
      <w:r w:rsidR="00DB216D" w:rsidRPr="007959B5">
        <w:t xml:space="preserve">provides </w:t>
      </w:r>
      <w:r w:rsidR="00DB216D" w:rsidRPr="007959B5">
        <w:rPr>
          <w:color w:val="000000"/>
        </w:rPr>
        <w:t xml:space="preserve">guidance </w:t>
      </w:r>
      <w:r w:rsidR="00DB216D" w:rsidRPr="007959B5">
        <w:t xml:space="preserve">as to the preferred valuation approach used in practice to value land: </w:t>
      </w:r>
    </w:p>
    <w:tbl>
      <w:tblPr>
        <w:tblStyle w:val="TableGrid"/>
        <w:tblW w:w="9639" w:type="dxa"/>
        <w:shd w:val="clear" w:color="auto" w:fill="F2F2F2" w:themeFill="background1" w:themeFillShade="F2"/>
        <w:tblLook w:val="04A0" w:firstRow="1" w:lastRow="0" w:firstColumn="1" w:lastColumn="0" w:noHBand="0" w:noVBand="1"/>
      </w:tblPr>
      <w:tblGrid>
        <w:gridCol w:w="9639"/>
      </w:tblGrid>
      <w:tr w:rsidR="00DB216D" w:rsidRPr="007959B5" w14:paraId="746A152A" w14:textId="77777777" w:rsidTr="005F02B6">
        <w:trPr>
          <w:cantSplit/>
        </w:trPr>
        <w:tc>
          <w:tcPr>
            <w:tcW w:w="0" w:type="auto"/>
            <w:tcBorders>
              <w:bottom w:val="single" w:sz="4" w:space="0" w:color="auto"/>
            </w:tcBorders>
            <w:shd w:val="clear" w:color="auto" w:fill="F2F2F2" w:themeFill="background2" w:themeFillShade="F2"/>
          </w:tcPr>
          <w:p w14:paraId="22D22F37" w14:textId="77777777" w:rsidR="00DB216D" w:rsidRPr="00D003AF" w:rsidRDefault="28E3A23B" w:rsidP="04E1CD47">
            <w:pPr>
              <w:pStyle w:val="TableContent"/>
              <w:rPr>
                <w:b/>
                <w:bCs/>
                <w:sz w:val="24"/>
              </w:rPr>
            </w:pPr>
            <w:r w:rsidRPr="04E1CD47">
              <w:rPr>
                <w:b/>
                <w:bCs/>
                <w:sz w:val="24"/>
              </w:rPr>
              <w:t>(AASB 2022: 49)</w:t>
            </w:r>
          </w:p>
        </w:tc>
      </w:tr>
      <w:tr w:rsidR="00DB216D" w:rsidRPr="007959B5" w14:paraId="77A676F8" w14:textId="77777777" w:rsidTr="04E1CD47">
        <w:tc>
          <w:tcPr>
            <w:tcW w:w="0" w:type="auto"/>
            <w:tcBorders>
              <w:bottom w:val="single" w:sz="4" w:space="0" w:color="auto"/>
            </w:tcBorders>
          </w:tcPr>
          <w:p w14:paraId="24BAD157" w14:textId="77777777" w:rsidR="00DB216D" w:rsidRPr="001B2850" w:rsidRDefault="00DB216D" w:rsidP="001B2850">
            <w:pPr>
              <w:pStyle w:val="TableContent"/>
              <w:rPr>
                <w:sz w:val="24"/>
              </w:rPr>
            </w:pPr>
            <w:r w:rsidRPr="001B2850">
              <w:rPr>
                <w:i/>
                <w:sz w:val="24"/>
              </w:rPr>
              <w:t>‘</w:t>
            </w:r>
            <w:r w:rsidRPr="001B2850">
              <w:rPr>
                <w:sz w:val="24"/>
              </w:rPr>
              <w:t>Basis for Conclusions on AASB 2022-10’ (BC numbering)</w:t>
            </w:r>
          </w:p>
          <w:p w14:paraId="2DFDAB6E" w14:textId="77777777" w:rsidR="00DB216D" w:rsidRPr="007959B5" w:rsidRDefault="00DB216D" w:rsidP="001B2850">
            <w:pPr>
              <w:pStyle w:val="TableContent"/>
              <w:rPr>
                <w:i/>
                <w:iCs/>
                <w:sz w:val="24"/>
              </w:rPr>
            </w:pPr>
            <w:r w:rsidRPr="001B2850">
              <w:rPr>
                <w:sz w:val="24"/>
              </w:rPr>
              <w:t>‘</w:t>
            </w:r>
            <w:r w:rsidRPr="007959B5">
              <w:rPr>
                <w:i/>
                <w:iCs/>
                <w:sz w:val="24"/>
              </w:rPr>
              <w:t>This Basis for Conclusions accompanies, but is not part of, AASB 13.</w:t>
            </w:r>
            <w:r w:rsidRPr="007959B5">
              <w:rPr>
                <w:sz w:val="24"/>
              </w:rPr>
              <w:t>’</w:t>
            </w:r>
          </w:p>
        </w:tc>
      </w:tr>
      <w:tr w:rsidR="00DB216D" w:rsidRPr="007959B5" w14:paraId="4FAE99BC" w14:textId="77777777" w:rsidTr="04E1CD47">
        <w:tc>
          <w:tcPr>
            <w:tcW w:w="0" w:type="auto"/>
            <w:shd w:val="clear" w:color="auto" w:fill="F2F2F2" w:themeFill="background2" w:themeFillShade="F2"/>
          </w:tcPr>
          <w:p w14:paraId="482F0A65" w14:textId="77777777" w:rsidR="00DB216D" w:rsidRPr="00D003AF" w:rsidRDefault="00DB216D" w:rsidP="001B2850">
            <w:pPr>
              <w:pStyle w:val="TableContent"/>
              <w:rPr>
                <w:b/>
                <w:sz w:val="24"/>
              </w:rPr>
            </w:pPr>
            <w:r w:rsidRPr="00D003AF">
              <w:rPr>
                <w:b/>
                <w:sz w:val="24"/>
              </w:rPr>
              <w:t>(AASB 2022: 85)</w:t>
            </w:r>
          </w:p>
        </w:tc>
      </w:tr>
      <w:tr w:rsidR="00DB216D" w:rsidRPr="007959B5" w14:paraId="1C797BFD" w14:textId="77777777" w:rsidTr="04E1CD47">
        <w:tc>
          <w:tcPr>
            <w:tcW w:w="0" w:type="auto"/>
            <w:tcBorders>
              <w:bottom w:val="single" w:sz="4" w:space="0" w:color="auto"/>
            </w:tcBorders>
          </w:tcPr>
          <w:p w14:paraId="784CA15A" w14:textId="77777777" w:rsidR="00DB216D" w:rsidRPr="007959B5" w:rsidRDefault="00DB216D" w:rsidP="0011063A">
            <w:pPr>
              <w:pStyle w:val="TableContent"/>
              <w:ind w:left="907" w:hanging="907"/>
              <w:rPr>
                <w:sz w:val="24"/>
              </w:rPr>
            </w:pPr>
            <w:r w:rsidRPr="001B2850">
              <w:rPr>
                <w:i/>
                <w:sz w:val="24"/>
              </w:rPr>
              <w:t>‘</w:t>
            </w:r>
            <w:r w:rsidRPr="007959B5">
              <w:rPr>
                <w:sz w:val="24"/>
              </w:rPr>
              <w:t xml:space="preserve">BC241 After conducting wide-ranging outreach, including outreach on ITC 45, the Board noted feedback that there is not significant inconsistency in how the fair value of restricted land and improvements on restricted land not held primarily for their ability to generate net cash inflows are being measured. In this regard: </w:t>
            </w:r>
          </w:p>
          <w:p w14:paraId="2ED6F4A7" w14:textId="77777777" w:rsidR="00DB216D" w:rsidRPr="001B2850" w:rsidRDefault="00DB216D" w:rsidP="006A6629">
            <w:pPr>
              <w:pStyle w:val="TableContent"/>
              <w:ind w:left="1304" w:hanging="397"/>
              <w:rPr>
                <w:sz w:val="24"/>
              </w:rPr>
            </w:pPr>
            <w:r w:rsidRPr="001B2850">
              <w:rPr>
                <w:sz w:val="24"/>
              </w:rPr>
              <w:t xml:space="preserve">(a) most stakeholders commented that the market approach is used to measure the fair value of land, including land subject to public-sector-specific legal restrictions; whereas improvements on such restricted land are generally considered specialised assets, for which the cost approach is generally applied in measuring their fair value; but </w:t>
            </w:r>
          </w:p>
          <w:p w14:paraId="0774875C" w14:textId="77777777" w:rsidR="00DB216D" w:rsidRPr="001B2850" w:rsidRDefault="00DB216D" w:rsidP="006A6629">
            <w:pPr>
              <w:pStyle w:val="TableContent"/>
              <w:ind w:left="1304" w:hanging="397"/>
              <w:rPr>
                <w:i/>
                <w:sz w:val="24"/>
              </w:rPr>
            </w:pPr>
            <w:r w:rsidRPr="001B2850">
              <w:rPr>
                <w:sz w:val="24"/>
              </w:rPr>
              <w:t>(b) a minority of stakeholders commented that, when a parcel of land of a not-for-profit public sector entity not held primarily for its ability to generate net cash inflows is subject to public-sector specific legal restrictions, but an equivalent parcel of land with the same public-sector-specific legal restrictions is not obtainable in the marketplace at the measurement date for a price supported by observable market evidence, the fair value of such land should be measured using the cost approach.</w:t>
            </w:r>
            <w:r w:rsidRPr="007959B5">
              <w:rPr>
                <w:i/>
                <w:iCs/>
                <w:sz w:val="24"/>
              </w:rPr>
              <w:t>’</w:t>
            </w:r>
          </w:p>
        </w:tc>
      </w:tr>
      <w:tr w:rsidR="001C69E1" w14:paraId="6AFC3ACC" w14:textId="77777777" w:rsidTr="00EC27E6">
        <w:tblPrEx>
          <w:shd w:val="clear" w:color="auto" w:fill="auto"/>
        </w:tblPrEx>
        <w:trPr>
          <w:cantSplit/>
        </w:trPr>
        <w:tc>
          <w:tcPr>
            <w:tcW w:w="9639" w:type="dxa"/>
            <w:shd w:val="clear" w:color="auto" w:fill="F2F2F2" w:themeFill="background1" w:themeFillShade="F2"/>
          </w:tcPr>
          <w:p w14:paraId="76B3CE3F" w14:textId="332D0538" w:rsidR="001C69E1" w:rsidRPr="009B6AAC" w:rsidRDefault="00B51B04" w:rsidP="009B6AAC">
            <w:pPr>
              <w:pStyle w:val="TableContent"/>
              <w:rPr>
                <w:b/>
                <w:sz w:val="24"/>
              </w:rPr>
            </w:pPr>
            <w:r w:rsidRPr="009B6AAC">
              <w:rPr>
                <w:b/>
                <w:sz w:val="24"/>
              </w:rPr>
              <w:t>(AASB 2022: 86-87)</w:t>
            </w:r>
          </w:p>
        </w:tc>
      </w:tr>
      <w:tr w:rsidR="00B51B04" w14:paraId="1E96BE57" w14:textId="77777777" w:rsidTr="00EC27E6">
        <w:tblPrEx>
          <w:shd w:val="clear" w:color="auto" w:fill="auto"/>
        </w:tblPrEx>
        <w:tc>
          <w:tcPr>
            <w:tcW w:w="9639" w:type="dxa"/>
          </w:tcPr>
          <w:p w14:paraId="24424D28" w14:textId="4D62A13E" w:rsidR="00B51B04" w:rsidRPr="009B6AAC" w:rsidRDefault="00B51B04" w:rsidP="005F02B6">
            <w:pPr>
              <w:pStyle w:val="TableContent"/>
              <w:ind w:left="851" w:hanging="851"/>
              <w:rPr>
                <w:sz w:val="24"/>
              </w:rPr>
            </w:pPr>
            <w:r w:rsidRPr="001B2850">
              <w:rPr>
                <w:sz w:val="24"/>
              </w:rPr>
              <w:t xml:space="preserve">‘BC251 Despite the debate regarding fair value measurement of land subject to public-sector-specific legal restrictions, feedback from most stakeholders in targeted outreach and most feedback on ITC 45 indicated that, in practice, the fair value of each type or class of assets affected by this issue is being measured using a largely consistent approach – that is: </w:t>
            </w:r>
          </w:p>
        </w:tc>
      </w:tr>
    </w:tbl>
    <w:p w14:paraId="7A674635" w14:textId="77777777" w:rsidR="00EC27E6" w:rsidRDefault="00EC27E6">
      <w:pPr>
        <w:spacing w:after="0" w:line="240" w:lineRule="auto"/>
        <w:rPr>
          <w:b/>
        </w:rPr>
      </w:pPr>
      <w:r>
        <w:rPr>
          <w:b/>
        </w:rPr>
        <w:br w:type="page"/>
      </w:r>
    </w:p>
    <w:tbl>
      <w:tblPr>
        <w:tblStyle w:val="TableGrid"/>
        <w:tblW w:w="0" w:type="auto"/>
        <w:tblLook w:val="04A0" w:firstRow="1" w:lastRow="0" w:firstColumn="1" w:lastColumn="0" w:noHBand="0" w:noVBand="1"/>
      </w:tblPr>
      <w:tblGrid>
        <w:gridCol w:w="9575"/>
        <w:gridCol w:w="32"/>
      </w:tblGrid>
      <w:tr w:rsidR="00B253DC" w14:paraId="16E97431" w14:textId="77777777" w:rsidTr="005F02B6">
        <w:trPr>
          <w:gridAfter w:val="1"/>
          <w:wAfter w:w="32" w:type="dxa"/>
        </w:trPr>
        <w:tc>
          <w:tcPr>
            <w:tcW w:w="9607" w:type="dxa"/>
            <w:shd w:val="clear" w:color="auto" w:fill="F2F2F2" w:themeFill="background1" w:themeFillShade="F2"/>
          </w:tcPr>
          <w:p w14:paraId="71925C3D" w14:textId="1127DC41" w:rsidR="00B253DC" w:rsidRDefault="005D369C" w:rsidP="005D369C">
            <w:pPr>
              <w:pStyle w:val="TableContent"/>
            </w:pPr>
            <w:r w:rsidRPr="009B6AAC">
              <w:rPr>
                <w:b/>
                <w:sz w:val="24"/>
              </w:rPr>
              <w:lastRenderedPageBreak/>
              <w:t>(AASB 2022: 86-87)</w:t>
            </w:r>
          </w:p>
        </w:tc>
      </w:tr>
      <w:tr w:rsidR="00C70139" w14:paraId="2A087038" w14:textId="77777777" w:rsidTr="00B253DC">
        <w:trPr>
          <w:gridAfter w:val="1"/>
          <w:wAfter w:w="32" w:type="dxa"/>
        </w:trPr>
        <w:tc>
          <w:tcPr>
            <w:tcW w:w="9607" w:type="dxa"/>
          </w:tcPr>
          <w:p w14:paraId="1DA2CAE2" w14:textId="77777777" w:rsidR="00C70139" w:rsidRPr="001B2850" w:rsidRDefault="00C70139" w:rsidP="005D369C">
            <w:pPr>
              <w:pStyle w:val="TableContent"/>
              <w:ind w:left="1248" w:hanging="397"/>
              <w:rPr>
                <w:sz w:val="24"/>
              </w:rPr>
            </w:pPr>
            <w:r w:rsidRPr="001B2850">
              <w:rPr>
                <w:sz w:val="24"/>
              </w:rPr>
              <w:t xml:space="preserve">(a) for land subject to public-sector-specific legal restrictions, the market approach is used (although, as noted in paragraph BC253 below, at a more detailed level, different methods are being used to calculate the adjustments to reflect restrictions); and </w:t>
            </w:r>
          </w:p>
          <w:p w14:paraId="1C5CAA92" w14:textId="094DFDB2" w:rsidR="00C70139" w:rsidRDefault="00C70139" w:rsidP="005D369C">
            <w:pPr>
              <w:pStyle w:val="TableContent"/>
              <w:ind w:left="1248" w:hanging="397"/>
            </w:pPr>
            <w:r w:rsidRPr="001B2850">
              <w:rPr>
                <w:sz w:val="24"/>
              </w:rPr>
              <w:t>(b) for improvements on such restricted land, the cost approach is generally used, and an adjustment is not deducted to reflect the effect of public-sector-specific legal restrictions because the existence of a public-sector-specific legal restriction does not affect the price that the entity would need to incur to replace the asset at the measurement date.’</w:t>
            </w:r>
          </w:p>
        </w:tc>
      </w:tr>
      <w:tr w:rsidR="00DB216D" w:rsidRPr="00617147" w14:paraId="6E1638F8" w14:textId="77777777" w:rsidTr="005F02B6">
        <w:tc>
          <w:tcPr>
            <w:tcW w:w="9607" w:type="dxa"/>
            <w:gridSpan w:val="2"/>
            <w:shd w:val="clear" w:color="auto" w:fill="F2F2F2" w:themeFill="background1" w:themeFillShade="F2"/>
          </w:tcPr>
          <w:p w14:paraId="7B4A57C6" w14:textId="77777777" w:rsidR="00DB216D" w:rsidRPr="007D567B" w:rsidRDefault="00DB216D" w:rsidP="00F72E39">
            <w:pPr>
              <w:pStyle w:val="TableContent"/>
              <w:rPr>
                <w:b/>
                <w:sz w:val="24"/>
              </w:rPr>
            </w:pPr>
            <w:r w:rsidRPr="007D567B">
              <w:rPr>
                <w:b/>
                <w:sz w:val="24"/>
              </w:rPr>
              <w:t>Interpretation (AASB 2022: 86-87)</w:t>
            </w:r>
          </w:p>
        </w:tc>
      </w:tr>
      <w:tr w:rsidR="00DB216D" w14:paraId="0A3E130E" w14:textId="77777777" w:rsidTr="005F02B6">
        <w:tc>
          <w:tcPr>
            <w:tcW w:w="9607" w:type="dxa"/>
            <w:gridSpan w:val="2"/>
          </w:tcPr>
          <w:p w14:paraId="65946D9D" w14:textId="3CCBFB87" w:rsidR="00DB216D" w:rsidRPr="00F72E39" w:rsidRDefault="00DB216D" w:rsidP="00F72E39">
            <w:pPr>
              <w:pStyle w:val="TableContent"/>
              <w:rPr>
                <w:sz w:val="24"/>
              </w:rPr>
            </w:pPr>
            <w:r w:rsidRPr="001B2850">
              <w:rPr>
                <w:sz w:val="24"/>
              </w:rPr>
              <w:t xml:space="preserve">Valuing land using the market approach is the most generally accepted accounting practice in Australia. Particularly, based on </w:t>
            </w:r>
            <w:r w:rsidRPr="00617147">
              <w:rPr>
                <w:sz w:val="24"/>
              </w:rPr>
              <w:t>AASB 13 Fair Value Measurement (2022)</w:t>
            </w:r>
            <w:r w:rsidR="00231DDA">
              <w:rPr>
                <w:sz w:val="24"/>
              </w:rPr>
              <w:t xml:space="preserve">, </w:t>
            </w:r>
            <w:r w:rsidRPr="001B2850">
              <w:rPr>
                <w:sz w:val="24"/>
              </w:rPr>
              <w:t xml:space="preserve">the market approach is used for land subject to public sector specific legal </w:t>
            </w:r>
            <w:proofErr w:type="gramStart"/>
            <w:r w:rsidRPr="001B2850">
              <w:rPr>
                <w:sz w:val="24"/>
              </w:rPr>
              <w:t>restrictions’</w:t>
            </w:r>
            <w:proofErr w:type="gramEnd"/>
            <w:r w:rsidRPr="001B2850">
              <w:rPr>
                <w:sz w:val="24"/>
              </w:rPr>
              <w:t xml:space="preserve">. However, it remains the </w:t>
            </w:r>
            <w:r w:rsidRPr="00617147">
              <w:rPr>
                <w:sz w:val="24"/>
              </w:rPr>
              <w:t>exercise of a discretionary power provided in AASB 13 Fair Value Measurement (2022)</w:t>
            </w:r>
            <w:r w:rsidR="00883E4E">
              <w:rPr>
                <w:sz w:val="24"/>
              </w:rPr>
              <w:t>.</w:t>
            </w:r>
          </w:p>
        </w:tc>
      </w:tr>
    </w:tbl>
    <w:p w14:paraId="0A6DAC99" w14:textId="77777777" w:rsidR="00DB216D" w:rsidRPr="00617147" w:rsidRDefault="00DB216D" w:rsidP="00DB2A60">
      <w:pPr>
        <w:pStyle w:val="Heading4"/>
      </w:pPr>
      <w:r w:rsidRPr="00617147">
        <w:t>Summary</w:t>
      </w:r>
    </w:p>
    <w:p w14:paraId="2C831903" w14:textId="77777777" w:rsidR="00DB216D" w:rsidRPr="00617147" w:rsidRDefault="00DB216D" w:rsidP="00D70B5C">
      <w:pPr>
        <w:pStyle w:val="BodyText"/>
        <w:rPr>
          <w:bCs/>
        </w:rPr>
      </w:pPr>
      <w:r w:rsidRPr="00617147">
        <w:t xml:space="preserve">The Local Government – Code of Accounting Practice and Financial Reporting 2024/25 (NSW Government – Office of Local Government (2025)) states regarding ‘significant unobservable inputs used in deriving the various Level 3 asset class fair </w:t>
      </w:r>
      <w:proofErr w:type="gramStart"/>
      <w:r w:rsidRPr="00617147">
        <w:t>values’</w:t>
      </w:r>
      <w:proofErr w:type="gramEnd"/>
      <w:r w:rsidRPr="00617147">
        <w:t>:</w:t>
      </w:r>
    </w:p>
    <w:tbl>
      <w:tblPr>
        <w:tblStyle w:val="TableGrid"/>
        <w:tblW w:w="9639" w:type="dxa"/>
        <w:tblLook w:val="04A0" w:firstRow="1" w:lastRow="0" w:firstColumn="1" w:lastColumn="0" w:noHBand="0" w:noVBand="1"/>
      </w:tblPr>
      <w:tblGrid>
        <w:gridCol w:w="2595"/>
        <w:gridCol w:w="3522"/>
        <w:gridCol w:w="3522"/>
      </w:tblGrid>
      <w:tr w:rsidR="00DB216D" w:rsidRPr="00617147" w14:paraId="6382A304" w14:textId="77777777" w:rsidTr="004B7282">
        <w:trPr>
          <w:cantSplit/>
          <w:tblHeader/>
        </w:trPr>
        <w:tc>
          <w:tcPr>
            <w:tcW w:w="2595" w:type="dxa"/>
            <w:tcBorders>
              <w:bottom w:val="single" w:sz="4" w:space="0" w:color="auto"/>
            </w:tcBorders>
            <w:shd w:val="clear" w:color="auto" w:fill="F2F2F2" w:themeFill="background1" w:themeFillShade="F2"/>
          </w:tcPr>
          <w:p w14:paraId="3C63611B" w14:textId="77777777" w:rsidR="00DB216D" w:rsidRPr="00273174" w:rsidRDefault="00DB216D" w:rsidP="00ED3CDD">
            <w:pPr>
              <w:pStyle w:val="TableContent"/>
              <w:rPr>
                <w:b/>
                <w:sz w:val="24"/>
              </w:rPr>
            </w:pPr>
            <w:r w:rsidRPr="00273174">
              <w:rPr>
                <w:b/>
                <w:sz w:val="24"/>
              </w:rPr>
              <w:t>Land</w:t>
            </w:r>
          </w:p>
        </w:tc>
        <w:tc>
          <w:tcPr>
            <w:tcW w:w="3522" w:type="dxa"/>
            <w:tcBorders>
              <w:bottom w:val="single" w:sz="4" w:space="0" w:color="auto"/>
            </w:tcBorders>
            <w:shd w:val="clear" w:color="auto" w:fill="F2F2F2" w:themeFill="background1" w:themeFillShade="F2"/>
          </w:tcPr>
          <w:p w14:paraId="4B911A8E" w14:textId="60F1AC4B" w:rsidR="00DB216D" w:rsidRPr="00273174" w:rsidRDefault="00DB216D" w:rsidP="00ED3CDD">
            <w:pPr>
              <w:pStyle w:val="TableContent"/>
              <w:rPr>
                <w:b/>
                <w:sz w:val="24"/>
              </w:rPr>
            </w:pPr>
            <w:r w:rsidRPr="00273174">
              <w:rPr>
                <w:b/>
                <w:sz w:val="24"/>
              </w:rPr>
              <w:t xml:space="preserve">Valuation </w:t>
            </w:r>
            <w:r w:rsidR="00E974AA">
              <w:rPr>
                <w:b/>
                <w:sz w:val="24"/>
              </w:rPr>
              <w:t>t</w:t>
            </w:r>
            <w:r w:rsidRPr="00273174">
              <w:rPr>
                <w:b/>
                <w:sz w:val="24"/>
              </w:rPr>
              <w:t>echnique</w:t>
            </w:r>
          </w:p>
        </w:tc>
        <w:tc>
          <w:tcPr>
            <w:tcW w:w="3522" w:type="dxa"/>
            <w:tcBorders>
              <w:bottom w:val="single" w:sz="4" w:space="0" w:color="auto"/>
            </w:tcBorders>
            <w:shd w:val="clear" w:color="auto" w:fill="F2F2F2" w:themeFill="background1" w:themeFillShade="F2"/>
          </w:tcPr>
          <w:p w14:paraId="18B499F2" w14:textId="326B93C3" w:rsidR="00DB216D" w:rsidRPr="00273174" w:rsidRDefault="00DB216D" w:rsidP="00ED3CDD">
            <w:pPr>
              <w:pStyle w:val="TableContent"/>
              <w:rPr>
                <w:b/>
                <w:sz w:val="24"/>
              </w:rPr>
            </w:pPr>
            <w:r w:rsidRPr="00273174">
              <w:rPr>
                <w:b/>
                <w:sz w:val="24"/>
              </w:rPr>
              <w:t xml:space="preserve">Unobservable </w:t>
            </w:r>
            <w:r w:rsidR="00E974AA">
              <w:rPr>
                <w:b/>
                <w:sz w:val="24"/>
              </w:rPr>
              <w:t>i</w:t>
            </w:r>
            <w:r w:rsidRPr="00273174">
              <w:rPr>
                <w:b/>
                <w:sz w:val="24"/>
              </w:rPr>
              <w:t>nputs</w:t>
            </w:r>
          </w:p>
        </w:tc>
      </w:tr>
      <w:tr w:rsidR="00DB216D" w:rsidRPr="00617147" w14:paraId="22A7865F" w14:textId="77777777" w:rsidTr="004B7282">
        <w:trPr>
          <w:cantSplit/>
          <w:tblHeader/>
        </w:trPr>
        <w:tc>
          <w:tcPr>
            <w:tcW w:w="9639" w:type="dxa"/>
            <w:gridSpan w:val="3"/>
            <w:tcBorders>
              <w:bottom w:val="single" w:sz="4" w:space="0" w:color="auto"/>
            </w:tcBorders>
            <w:shd w:val="clear" w:color="auto" w:fill="F2F2F2" w:themeFill="background1" w:themeFillShade="F2"/>
          </w:tcPr>
          <w:p w14:paraId="25B4C2F2" w14:textId="77777777" w:rsidR="00DB216D" w:rsidRPr="00273174" w:rsidRDefault="00DB216D" w:rsidP="00ED3CDD">
            <w:pPr>
              <w:pStyle w:val="TableContent"/>
              <w:rPr>
                <w:b/>
                <w:sz w:val="24"/>
              </w:rPr>
            </w:pPr>
            <w:r w:rsidRPr="00273174">
              <w:rPr>
                <w:b/>
                <w:sz w:val="24"/>
              </w:rPr>
              <w:t>NSW Government – Office of Local Government (2025)</w:t>
            </w:r>
          </w:p>
        </w:tc>
      </w:tr>
      <w:tr w:rsidR="00DB216D" w:rsidRPr="00617147" w14:paraId="51F48642" w14:textId="77777777" w:rsidTr="004B7282">
        <w:tc>
          <w:tcPr>
            <w:tcW w:w="2595" w:type="dxa"/>
          </w:tcPr>
          <w:p w14:paraId="54A339C6" w14:textId="787D2C0D" w:rsidR="00DB216D" w:rsidRPr="007244E8" w:rsidRDefault="00DB216D" w:rsidP="00ED3CDD">
            <w:pPr>
              <w:pStyle w:val="TableContent"/>
              <w:rPr>
                <w:rFonts w:eastAsia="Calibri"/>
                <w:sz w:val="24"/>
              </w:rPr>
            </w:pPr>
            <w:r w:rsidRPr="007244E8">
              <w:rPr>
                <w:rFonts w:eastAsia="Calibri"/>
                <w:sz w:val="24"/>
              </w:rPr>
              <w:t>‘Operational land’</w:t>
            </w:r>
          </w:p>
        </w:tc>
        <w:tc>
          <w:tcPr>
            <w:tcW w:w="3522" w:type="dxa"/>
          </w:tcPr>
          <w:p w14:paraId="14EC4B55" w14:textId="77777777" w:rsidR="00DB216D" w:rsidRPr="007244E8" w:rsidRDefault="00DB216D" w:rsidP="00ED3CDD">
            <w:pPr>
              <w:pStyle w:val="TableContent"/>
              <w:rPr>
                <w:sz w:val="24"/>
              </w:rPr>
            </w:pPr>
            <w:r w:rsidRPr="007244E8">
              <w:rPr>
                <w:sz w:val="24"/>
              </w:rPr>
              <w:t>‘Market approach’</w:t>
            </w:r>
          </w:p>
        </w:tc>
        <w:tc>
          <w:tcPr>
            <w:tcW w:w="3522" w:type="dxa"/>
          </w:tcPr>
          <w:p w14:paraId="0F768C64" w14:textId="750FEFE5" w:rsidR="00DB216D" w:rsidRPr="007244E8" w:rsidRDefault="00DB216D" w:rsidP="00ED3CDD">
            <w:pPr>
              <w:pStyle w:val="TableContent"/>
              <w:rPr>
                <w:sz w:val="24"/>
              </w:rPr>
            </w:pPr>
            <w:r w:rsidRPr="007244E8">
              <w:rPr>
                <w:sz w:val="24"/>
              </w:rPr>
              <w:t>‘Price per square metre’</w:t>
            </w:r>
          </w:p>
        </w:tc>
      </w:tr>
      <w:tr w:rsidR="00DB216D" w:rsidRPr="00617147" w14:paraId="337C1293" w14:textId="77777777" w:rsidTr="004B7282">
        <w:tc>
          <w:tcPr>
            <w:tcW w:w="2595" w:type="dxa"/>
          </w:tcPr>
          <w:p w14:paraId="2CCF7914" w14:textId="77777777" w:rsidR="00DB216D" w:rsidRPr="007244E8" w:rsidRDefault="00DB216D" w:rsidP="00ED3CDD">
            <w:pPr>
              <w:pStyle w:val="TableContent"/>
              <w:rPr>
                <w:sz w:val="24"/>
              </w:rPr>
            </w:pPr>
            <w:r w:rsidRPr="007244E8">
              <w:rPr>
                <w:sz w:val="24"/>
              </w:rPr>
              <w:t>‘Community land’</w:t>
            </w:r>
          </w:p>
        </w:tc>
        <w:tc>
          <w:tcPr>
            <w:tcW w:w="3522" w:type="dxa"/>
          </w:tcPr>
          <w:p w14:paraId="2E64CBB5" w14:textId="77777777" w:rsidR="00DB216D" w:rsidRPr="007244E8" w:rsidRDefault="00DB216D" w:rsidP="00ED3CDD">
            <w:pPr>
              <w:pStyle w:val="TableContent"/>
              <w:rPr>
                <w:sz w:val="24"/>
              </w:rPr>
            </w:pPr>
            <w:r w:rsidRPr="007244E8">
              <w:rPr>
                <w:sz w:val="24"/>
              </w:rPr>
              <w:t>‘Market approach’</w:t>
            </w:r>
          </w:p>
        </w:tc>
        <w:tc>
          <w:tcPr>
            <w:tcW w:w="3522" w:type="dxa"/>
          </w:tcPr>
          <w:p w14:paraId="6BE7B79E" w14:textId="77777777" w:rsidR="00DB216D" w:rsidRPr="007244E8" w:rsidRDefault="00DB216D" w:rsidP="00ED3CDD">
            <w:pPr>
              <w:pStyle w:val="TableContent"/>
              <w:rPr>
                <w:sz w:val="24"/>
              </w:rPr>
            </w:pPr>
            <w:r w:rsidRPr="007244E8">
              <w:rPr>
                <w:sz w:val="24"/>
              </w:rPr>
              <w:t>‘Land value, land area, level of restriction’</w:t>
            </w:r>
          </w:p>
        </w:tc>
      </w:tr>
      <w:tr w:rsidR="00DB216D" w:rsidRPr="00617147" w14:paraId="53DC6424" w14:textId="77777777" w:rsidTr="004B7282">
        <w:tc>
          <w:tcPr>
            <w:tcW w:w="2595" w:type="dxa"/>
          </w:tcPr>
          <w:p w14:paraId="39E153B7" w14:textId="77777777" w:rsidR="00DB216D" w:rsidRPr="007244E8" w:rsidRDefault="00DB216D" w:rsidP="00ED3CDD">
            <w:pPr>
              <w:pStyle w:val="TableContent"/>
              <w:rPr>
                <w:sz w:val="24"/>
              </w:rPr>
            </w:pPr>
            <w:r w:rsidRPr="007244E8">
              <w:rPr>
                <w:sz w:val="24"/>
              </w:rPr>
              <w:t>‘Land under roads’</w:t>
            </w:r>
          </w:p>
        </w:tc>
        <w:tc>
          <w:tcPr>
            <w:tcW w:w="3522" w:type="dxa"/>
          </w:tcPr>
          <w:p w14:paraId="145563CE" w14:textId="77777777" w:rsidR="00DB216D" w:rsidRPr="007244E8" w:rsidRDefault="00DB216D" w:rsidP="00ED3CDD">
            <w:pPr>
              <w:pStyle w:val="TableContent"/>
              <w:rPr>
                <w:sz w:val="24"/>
                <w:lang w:val="en-US"/>
              </w:rPr>
            </w:pPr>
            <w:r w:rsidRPr="007244E8">
              <w:rPr>
                <w:sz w:val="24"/>
                <w:lang w:val="en-US"/>
              </w:rPr>
              <w:t>‘Market-based direct comparison’</w:t>
            </w:r>
          </w:p>
        </w:tc>
        <w:tc>
          <w:tcPr>
            <w:tcW w:w="3522" w:type="dxa"/>
          </w:tcPr>
          <w:p w14:paraId="2AE2A4E3" w14:textId="77777777" w:rsidR="00DB216D" w:rsidRPr="007244E8" w:rsidRDefault="00DB216D" w:rsidP="00ED3CDD">
            <w:pPr>
              <w:pStyle w:val="TableContent"/>
              <w:rPr>
                <w:sz w:val="24"/>
              </w:rPr>
            </w:pPr>
            <w:r w:rsidRPr="007244E8">
              <w:rPr>
                <w:sz w:val="24"/>
              </w:rPr>
              <w:t>‘Extent and impact of use, market cost of land per square metre, restrictions. The market value of land varies significantly depending on the location of the land and current market conditions.’</w:t>
            </w:r>
          </w:p>
        </w:tc>
      </w:tr>
    </w:tbl>
    <w:p w14:paraId="7F3DC140" w14:textId="77777777" w:rsidR="004837A2" w:rsidRDefault="004837A2">
      <w:pPr>
        <w:spacing w:after="0" w:line="240" w:lineRule="auto"/>
        <w:rPr>
          <w:rFonts w:cs="Arial"/>
          <w:b/>
          <w:bCs/>
          <w:color w:val="38115E"/>
          <w:sz w:val="30"/>
          <w:lang w:val="en-GB"/>
        </w:rPr>
      </w:pPr>
      <w:bookmarkStart w:id="131" w:name="_Toc207722762"/>
      <w:r>
        <w:br w:type="page"/>
      </w:r>
    </w:p>
    <w:p w14:paraId="48FAA473" w14:textId="55823525" w:rsidR="00DB216D" w:rsidRPr="00617147" w:rsidRDefault="00DB216D" w:rsidP="00DB216D">
      <w:pPr>
        <w:pStyle w:val="Heading2"/>
        <w:rPr>
          <w:b w:val="0"/>
          <w:bCs w:val="0"/>
        </w:rPr>
      </w:pPr>
      <w:bookmarkStart w:id="132" w:name="_Toc223445095"/>
      <w:r w:rsidRPr="00617147">
        <w:lastRenderedPageBreak/>
        <w:t>Buildings</w:t>
      </w:r>
      <w:bookmarkEnd w:id="131"/>
      <w:bookmarkEnd w:id="132"/>
    </w:p>
    <w:p w14:paraId="5283B4C8" w14:textId="77777777" w:rsidR="00DB216D" w:rsidRPr="00617147" w:rsidRDefault="00DB216D" w:rsidP="00D70B5C">
      <w:pPr>
        <w:pStyle w:val="BodyText"/>
        <w:rPr>
          <w:bCs/>
        </w:rPr>
      </w:pPr>
      <w:r w:rsidRPr="00617147">
        <w:t xml:space="preserve">The Local Government – Code of Accounting Practice and Financial Reporting 2024/25 (NSW Government – Office of Local Government (2025)) states regarding ‘significant unobservable inputs used in deriving the various Level 3 asset class fair </w:t>
      </w:r>
      <w:proofErr w:type="gramStart"/>
      <w:r w:rsidRPr="00617147">
        <w:t>values’</w:t>
      </w:r>
      <w:proofErr w:type="gramEnd"/>
      <w:r w:rsidRPr="00617147">
        <w:t>:</w:t>
      </w:r>
    </w:p>
    <w:tbl>
      <w:tblPr>
        <w:tblStyle w:val="TableGrid"/>
        <w:tblW w:w="9639" w:type="dxa"/>
        <w:tblLook w:val="04A0" w:firstRow="1" w:lastRow="0" w:firstColumn="1" w:lastColumn="0" w:noHBand="0" w:noVBand="1"/>
      </w:tblPr>
      <w:tblGrid>
        <w:gridCol w:w="2595"/>
        <w:gridCol w:w="3522"/>
        <w:gridCol w:w="3522"/>
      </w:tblGrid>
      <w:tr w:rsidR="00DB216D" w:rsidRPr="00617147" w14:paraId="256DB4AC" w14:textId="77777777" w:rsidTr="004B7282">
        <w:tc>
          <w:tcPr>
            <w:tcW w:w="2595" w:type="dxa"/>
            <w:shd w:val="clear" w:color="auto" w:fill="F2F2F2" w:themeFill="background1" w:themeFillShade="F2"/>
          </w:tcPr>
          <w:p w14:paraId="21BB30CE" w14:textId="77777777" w:rsidR="00DB216D" w:rsidRPr="00992730" w:rsidRDefault="00DB216D" w:rsidP="00DF58C7">
            <w:pPr>
              <w:pStyle w:val="TableContent"/>
              <w:rPr>
                <w:b/>
                <w:sz w:val="24"/>
              </w:rPr>
            </w:pPr>
            <w:r w:rsidRPr="00992730">
              <w:rPr>
                <w:b/>
                <w:sz w:val="24"/>
              </w:rPr>
              <w:t>Buildings</w:t>
            </w:r>
          </w:p>
        </w:tc>
        <w:tc>
          <w:tcPr>
            <w:tcW w:w="3522" w:type="dxa"/>
            <w:shd w:val="clear" w:color="auto" w:fill="F2F2F2" w:themeFill="background1" w:themeFillShade="F2"/>
          </w:tcPr>
          <w:p w14:paraId="254C01A4" w14:textId="77777777" w:rsidR="00DB216D" w:rsidRPr="00992730" w:rsidRDefault="00DB216D" w:rsidP="00DF58C7">
            <w:pPr>
              <w:pStyle w:val="TableContent"/>
              <w:rPr>
                <w:b/>
                <w:sz w:val="24"/>
              </w:rPr>
            </w:pPr>
            <w:r w:rsidRPr="00992730">
              <w:rPr>
                <w:b/>
                <w:sz w:val="24"/>
              </w:rPr>
              <w:t>Valuation Technique</w:t>
            </w:r>
          </w:p>
        </w:tc>
        <w:tc>
          <w:tcPr>
            <w:tcW w:w="3522" w:type="dxa"/>
            <w:shd w:val="clear" w:color="auto" w:fill="F2F2F2" w:themeFill="background1" w:themeFillShade="F2"/>
          </w:tcPr>
          <w:p w14:paraId="6FE7A9E5" w14:textId="77777777" w:rsidR="00DB216D" w:rsidRPr="00992730" w:rsidRDefault="00DB216D" w:rsidP="00DF58C7">
            <w:pPr>
              <w:pStyle w:val="TableContent"/>
              <w:rPr>
                <w:b/>
                <w:sz w:val="24"/>
              </w:rPr>
            </w:pPr>
            <w:r w:rsidRPr="00992730">
              <w:rPr>
                <w:b/>
                <w:sz w:val="24"/>
              </w:rPr>
              <w:t>Unobservable Inputs</w:t>
            </w:r>
          </w:p>
        </w:tc>
      </w:tr>
      <w:tr w:rsidR="00DB216D" w:rsidRPr="00617147" w14:paraId="5EA8CFB0" w14:textId="77777777" w:rsidTr="004B7282">
        <w:tc>
          <w:tcPr>
            <w:tcW w:w="9639" w:type="dxa"/>
            <w:gridSpan w:val="3"/>
            <w:shd w:val="clear" w:color="auto" w:fill="F2F2F2" w:themeFill="background1" w:themeFillShade="F2"/>
          </w:tcPr>
          <w:p w14:paraId="7CB8F556" w14:textId="77777777" w:rsidR="00DB216D" w:rsidRPr="00992730" w:rsidRDefault="00DB216D" w:rsidP="00DF58C7">
            <w:pPr>
              <w:pStyle w:val="TableContent"/>
              <w:rPr>
                <w:b/>
                <w:sz w:val="24"/>
              </w:rPr>
            </w:pPr>
            <w:r w:rsidRPr="00992730">
              <w:rPr>
                <w:b/>
                <w:sz w:val="24"/>
              </w:rPr>
              <w:t>NSW Government – Office of Local Government (2025)</w:t>
            </w:r>
          </w:p>
        </w:tc>
      </w:tr>
      <w:tr w:rsidR="00DB216D" w:rsidRPr="00617147" w14:paraId="2DF044F7" w14:textId="77777777" w:rsidTr="004B7282">
        <w:tc>
          <w:tcPr>
            <w:tcW w:w="2595" w:type="dxa"/>
          </w:tcPr>
          <w:p w14:paraId="0D347F10" w14:textId="77777777" w:rsidR="00DB216D" w:rsidRPr="00DF58C7" w:rsidRDefault="00DB216D" w:rsidP="00DF58C7">
            <w:pPr>
              <w:pStyle w:val="TableContent"/>
              <w:rPr>
                <w:rFonts w:eastAsia="Calibri"/>
                <w:sz w:val="24"/>
              </w:rPr>
            </w:pPr>
            <w:r w:rsidRPr="00DF58C7">
              <w:rPr>
                <w:rFonts w:eastAsia="Calibri"/>
                <w:sz w:val="24"/>
              </w:rPr>
              <w:t>‘Buildings (including swimming pools and other recreational buildings)’</w:t>
            </w:r>
          </w:p>
        </w:tc>
        <w:tc>
          <w:tcPr>
            <w:tcW w:w="3522" w:type="dxa"/>
          </w:tcPr>
          <w:p w14:paraId="31FB4069" w14:textId="77777777" w:rsidR="00DB216D" w:rsidRPr="00DF58C7" w:rsidRDefault="00DB216D" w:rsidP="00DF58C7">
            <w:pPr>
              <w:pStyle w:val="TableContent"/>
              <w:rPr>
                <w:sz w:val="24"/>
              </w:rPr>
            </w:pPr>
            <w:r w:rsidRPr="00DF58C7">
              <w:rPr>
                <w:sz w:val="24"/>
              </w:rPr>
              <w:t>‘Cost approach’</w:t>
            </w:r>
          </w:p>
        </w:tc>
        <w:tc>
          <w:tcPr>
            <w:tcW w:w="3522" w:type="dxa"/>
          </w:tcPr>
          <w:p w14:paraId="0EE2CD72" w14:textId="77777777" w:rsidR="00DB216D" w:rsidRPr="00DF58C7" w:rsidRDefault="00DB216D" w:rsidP="00DF58C7">
            <w:pPr>
              <w:pStyle w:val="TableContent"/>
              <w:rPr>
                <w:sz w:val="24"/>
              </w:rPr>
            </w:pPr>
            <w:r w:rsidRPr="00DF58C7">
              <w:rPr>
                <w:sz w:val="24"/>
              </w:rPr>
              <w:t>‘Current replacement cost of modern equivalent asset using componentisation, asset condition, remaining lives, residual value’</w:t>
            </w:r>
          </w:p>
        </w:tc>
      </w:tr>
    </w:tbl>
    <w:p w14:paraId="75927432" w14:textId="77777777" w:rsidR="00DB216D" w:rsidRPr="00617147" w:rsidRDefault="00DB216D" w:rsidP="00D70B5C">
      <w:pPr>
        <w:pStyle w:val="BodyText"/>
      </w:pPr>
      <w:r w:rsidRPr="00617147">
        <w:t xml:space="preserve">Buildings should be componentised into the different elements that are managed separately from the other elements. </w:t>
      </w:r>
    </w:p>
    <w:p w14:paraId="0E809269" w14:textId="77777777" w:rsidR="00DB216D" w:rsidRPr="00617147" w:rsidRDefault="00DB216D" w:rsidP="00DB216D">
      <w:pPr>
        <w:pStyle w:val="Heading2"/>
        <w:rPr>
          <w:b w:val="0"/>
          <w:bCs w:val="0"/>
        </w:rPr>
      </w:pPr>
      <w:bookmarkStart w:id="133" w:name="_Toc207722763"/>
      <w:bookmarkStart w:id="134" w:name="_Toc223445096"/>
      <w:r w:rsidRPr="00617147">
        <w:t>Infrastructure</w:t>
      </w:r>
      <w:bookmarkEnd w:id="133"/>
      <w:bookmarkEnd w:id="134"/>
    </w:p>
    <w:p w14:paraId="757D7D83" w14:textId="77777777" w:rsidR="00DB216D" w:rsidRPr="00617147" w:rsidRDefault="00DB216D" w:rsidP="00DB216D">
      <w:pPr>
        <w:rPr>
          <w:rFonts w:cs="Arial"/>
          <w:bCs/>
        </w:rPr>
      </w:pPr>
      <w:r w:rsidRPr="00992730">
        <w:rPr>
          <w:rStyle w:val="BodyTextChar"/>
        </w:rPr>
        <w:t xml:space="preserve">The Local Government – Code of Accounting Practice and Financial Reporting 2024/25 (NSW Government – Office of Local Government (2025)) states regarding ‘significant unobservable inputs used in deriving the various Level 3 asset class fair </w:t>
      </w:r>
      <w:proofErr w:type="gramStart"/>
      <w:r w:rsidRPr="00992730">
        <w:rPr>
          <w:rStyle w:val="BodyTextChar"/>
        </w:rPr>
        <w:t>values’</w:t>
      </w:r>
      <w:proofErr w:type="gramEnd"/>
      <w:r w:rsidRPr="00617147">
        <w:rPr>
          <w:rFonts w:cs="Arial"/>
        </w:rPr>
        <w:t>:</w:t>
      </w:r>
    </w:p>
    <w:tbl>
      <w:tblPr>
        <w:tblStyle w:val="TableGrid"/>
        <w:tblW w:w="9639" w:type="dxa"/>
        <w:tblLook w:val="04A0" w:firstRow="1" w:lastRow="0" w:firstColumn="1" w:lastColumn="0" w:noHBand="0" w:noVBand="1"/>
      </w:tblPr>
      <w:tblGrid>
        <w:gridCol w:w="2595"/>
        <w:gridCol w:w="3522"/>
        <w:gridCol w:w="3522"/>
      </w:tblGrid>
      <w:tr w:rsidR="00DB216D" w:rsidRPr="00617147" w14:paraId="284C25A1" w14:textId="77777777" w:rsidTr="004B7282">
        <w:trPr>
          <w:cantSplit/>
          <w:tblHeader/>
        </w:trPr>
        <w:tc>
          <w:tcPr>
            <w:tcW w:w="2595" w:type="dxa"/>
            <w:shd w:val="clear" w:color="auto" w:fill="F2F2F2" w:themeFill="background1" w:themeFillShade="F2"/>
          </w:tcPr>
          <w:p w14:paraId="6A4513B5" w14:textId="77777777" w:rsidR="00DB216D" w:rsidRPr="00992730" w:rsidRDefault="00DB216D" w:rsidP="00992730">
            <w:pPr>
              <w:pStyle w:val="TableContent"/>
              <w:rPr>
                <w:b/>
                <w:sz w:val="24"/>
              </w:rPr>
            </w:pPr>
            <w:r w:rsidRPr="00992730">
              <w:rPr>
                <w:b/>
                <w:sz w:val="24"/>
              </w:rPr>
              <w:t>Infrastructure</w:t>
            </w:r>
          </w:p>
        </w:tc>
        <w:tc>
          <w:tcPr>
            <w:tcW w:w="3522" w:type="dxa"/>
            <w:shd w:val="clear" w:color="auto" w:fill="F2F2F2" w:themeFill="background1" w:themeFillShade="F2"/>
          </w:tcPr>
          <w:p w14:paraId="7711F02D" w14:textId="77777777" w:rsidR="00DB216D" w:rsidRPr="00992730" w:rsidRDefault="00DB216D" w:rsidP="00992730">
            <w:pPr>
              <w:pStyle w:val="TableContent"/>
              <w:rPr>
                <w:b/>
                <w:sz w:val="24"/>
              </w:rPr>
            </w:pPr>
            <w:r w:rsidRPr="00992730">
              <w:rPr>
                <w:b/>
                <w:sz w:val="24"/>
              </w:rPr>
              <w:t>Valuation Technique</w:t>
            </w:r>
          </w:p>
        </w:tc>
        <w:tc>
          <w:tcPr>
            <w:tcW w:w="3522" w:type="dxa"/>
            <w:shd w:val="clear" w:color="auto" w:fill="F2F2F2" w:themeFill="background1" w:themeFillShade="F2"/>
          </w:tcPr>
          <w:p w14:paraId="0637DDFF" w14:textId="77777777" w:rsidR="00DB216D" w:rsidRPr="00992730" w:rsidRDefault="00DB216D" w:rsidP="00992730">
            <w:pPr>
              <w:pStyle w:val="TableContent"/>
              <w:rPr>
                <w:b/>
                <w:sz w:val="24"/>
              </w:rPr>
            </w:pPr>
            <w:r w:rsidRPr="00992730">
              <w:rPr>
                <w:b/>
                <w:sz w:val="24"/>
              </w:rPr>
              <w:t>Unobservable Inputs</w:t>
            </w:r>
          </w:p>
        </w:tc>
      </w:tr>
      <w:tr w:rsidR="00DB216D" w:rsidRPr="00617147" w14:paraId="6585A352" w14:textId="77777777" w:rsidTr="004B7282">
        <w:tc>
          <w:tcPr>
            <w:tcW w:w="9639" w:type="dxa"/>
            <w:gridSpan w:val="3"/>
            <w:shd w:val="clear" w:color="auto" w:fill="F2F2F2" w:themeFill="background1" w:themeFillShade="F2"/>
          </w:tcPr>
          <w:p w14:paraId="0C4C487D" w14:textId="77777777" w:rsidR="00DB216D" w:rsidRPr="00992730" w:rsidRDefault="00DB216D" w:rsidP="00992730">
            <w:pPr>
              <w:pStyle w:val="TableContent"/>
              <w:rPr>
                <w:b/>
                <w:sz w:val="24"/>
              </w:rPr>
            </w:pPr>
            <w:r w:rsidRPr="00992730">
              <w:rPr>
                <w:b/>
                <w:sz w:val="24"/>
              </w:rPr>
              <w:t>NSW Government – Office of Local Government (2025)</w:t>
            </w:r>
          </w:p>
        </w:tc>
      </w:tr>
      <w:tr w:rsidR="00DB216D" w:rsidRPr="00617147" w14:paraId="24457A47" w14:textId="77777777" w:rsidTr="004B7282">
        <w:tc>
          <w:tcPr>
            <w:tcW w:w="2595" w:type="dxa"/>
          </w:tcPr>
          <w:p w14:paraId="52D77EAB" w14:textId="77777777" w:rsidR="00DB216D" w:rsidRPr="00992730" w:rsidRDefault="00DB216D" w:rsidP="00992730">
            <w:pPr>
              <w:pStyle w:val="TableContent"/>
              <w:rPr>
                <w:rFonts w:eastAsia="Calibri"/>
                <w:sz w:val="24"/>
              </w:rPr>
            </w:pPr>
            <w:r w:rsidRPr="00992730">
              <w:rPr>
                <w:rFonts w:eastAsia="Calibri"/>
                <w:sz w:val="24"/>
              </w:rPr>
              <w:t>‘Roads (including bridges, footpaths, bulk earthworks) and other similar assets’</w:t>
            </w:r>
          </w:p>
        </w:tc>
        <w:tc>
          <w:tcPr>
            <w:tcW w:w="3522" w:type="dxa"/>
          </w:tcPr>
          <w:p w14:paraId="302345F5" w14:textId="77777777" w:rsidR="00DB216D" w:rsidRPr="00992730" w:rsidRDefault="00DB216D" w:rsidP="00992730">
            <w:pPr>
              <w:pStyle w:val="TableContent"/>
              <w:rPr>
                <w:sz w:val="24"/>
              </w:rPr>
            </w:pPr>
            <w:r w:rsidRPr="00992730">
              <w:rPr>
                <w:sz w:val="24"/>
              </w:rPr>
              <w:t>‘Cost approach’</w:t>
            </w:r>
          </w:p>
        </w:tc>
        <w:tc>
          <w:tcPr>
            <w:tcW w:w="3522" w:type="dxa"/>
          </w:tcPr>
          <w:p w14:paraId="543F87B1" w14:textId="77777777" w:rsidR="00DB216D" w:rsidRPr="00992730" w:rsidRDefault="00DB216D" w:rsidP="00992730">
            <w:pPr>
              <w:pStyle w:val="TableContent"/>
              <w:rPr>
                <w:sz w:val="24"/>
              </w:rPr>
            </w:pPr>
            <w:r w:rsidRPr="00992730">
              <w:rPr>
                <w:sz w:val="24"/>
              </w:rPr>
              <w:t>‘Asset condition, remaining lives using componentisation’</w:t>
            </w:r>
          </w:p>
        </w:tc>
      </w:tr>
      <w:tr w:rsidR="00DB216D" w:rsidRPr="00617147" w14:paraId="3C8633A0" w14:textId="77777777" w:rsidTr="004B7282">
        <w:tc>
          <w:tcPr>
            <w:tcW w:w="2595" w:type="dxa"/>
          </w:tcPr>
          <w:p w14:paraId="1870BBA1" w14:textId="77777777" w:rsidR="00DB216D" w:rsidRPr="00992730" w:rsidRDefault="00DB216D" w:rsidP="00992730">
            <w:pPr>
              <w:pStyle w:val="TableContent"/>
              <w:rPr>
                <w:rFonts w:eastAsia="Calibri"/>
                <w:sz w:val="24"/>
              </w:rPr>
            </w:pPr>
            <w:r w:rsidRPr="00992730">
              <w:rPr>
                <w:rFonts w:eastAsia="Calibri"/>
                <w:sz w:val="24"/>
              </w:rPr>
              <w:t>‘Stormwater drainage’</w:t>
            </w:r>
          </w:p>
        </w:tc>
        <w:tc>
          <w:tcPr>
            <w:tcW w:w="3522" w:type="dxa"/>
          </w:tcPr>
          <w:p w14:paraId="37DACE0E" w14:textId="77777777" w:rsidR="00DB216D" w:rsidRPr="00992730" w:rsidRDefault="00DB216D" w:rsidP="00992730">
            <w:pPr>
              <w:pStyle w:val="TableContent"/>
              <w:rPr>
                <w:sz w:val="24"/>
              </w:rPr>
            </w:pPr>
            <w:r w:rsidRPr="00992730">
              <w:rPr>
                <w:sz w:val="24"/>
              </w:rPr>
              <w:t>‘Cost approach’</w:t>
            </w:r>
          </w:p>
        </w:tc>
        <w:tc>
          <w:tcPr>
            <w:tcW w:w="3522" w:type="dxa"/>
          </w:tcPr>
          <w:p w14:paraId="601FBC43" w14:textId="77777777" w:rsidR="00DB216D" w:rsidRPr="00992730" w:rsidRDefault="00DB216D" w:rsidP="00992730">
            <w:pPr>
              <w:pStyle w:val="TableContent"/>
              <w:rPr>
                <w:sz w:val="24"/>
              </w:rPr>
            </w:pPr>
            <w:r w:rsidRPr="00992730">
              <w:rPr>
                <w:sz w:val="24"/>
              </w:rPr>
              <w:t>‘Asst condition, remaining lives’</w:t>
            </w:r>
          </w:p>
        </w:tc>
      </w:tr>
      <w:tr w:rsidR="00DB216D" w:rsidRPr="00617147" w14:paraId="24EAD93A" w14:textId="77777777" w:rsidTr="004B7282">
        <w:tc>
          <w:tcPr>
            <w:tcW w:w="2595" w:type="dxa"/>
          </w:tcPr>
          <w:p w14:paraId="03776070" w14:textId="77777777" w:rsidR="00DB216D" w:rsidRPr="00992730" w:rsidRDefault="00DB216D" w:rsidP="00992730">
            <w:pPr>
              <w:pStyle w:val="TableContent"/>
              <w:rPr>
                <w:rFonts w:eastAsia="Calibri"/>
                <w:sz w:val="24"/>
              </w:rPr>
            </w:pPr>
            <w:r w:rsidRPr="00992730">
              <w:rPr>
                <w:rFonts w:eastAsia="Calibri"/>
                <w:sz w:val="24"/>
              </w:rPr>
              <w:t>‘Water supply and sewerage network infrastructure’</w:t>
            </w:r>
          </w:p>
        </w:tc>
        <w:tc>
          <w:tcPr>
            <w:tcW w:w="3522" w:type="dxa"/>
          </w:tcPr>
          <w:p w14:paraId="15BB5DF7" w14:textId="77777777" w:rsidR="00DB216D" w:rsidRPr="00992730" w:rsidRDefault="00DB216D" w:rsidP="00992730">
            <w:pPr>
              <w:pStyle w:val="TableContent"/>
              <w:rPr>
                <w:sz w:val="24"/>
              </w:rPr>
            </w:pPr>
            <w:r w:rsidRPr="00992730">
              <w:rPr>
                <w:sz w:val="24"/>
              </w:rPr>
              <w:t>‘Cost approach’</w:t>
            </w:r>
          </w:p>
        </w:tc>
        <w:tc>
          <w:tcPr>
            <w:tcW w:w="3522" w:type="dxa"/>
          </w:tcPr>
          <w:p w14:paraId="501085D3" w14:textId="77777777" w:rsidR="00DB216D" w:rsidRPr="00992730" w:rsidRDefault="00DB216D" w:rsidP="00992730">
            <w:pPr>
              <w:pStyle w:val="TableContent"/>
              <w:rPr>
                <w:sz w:val="24"/>
              </w:rPr>
            </w:pPr>
            <w:r w:rsidRPr="00992730">
              <w:rPr>
                <w:sz w:val="24"/>
              </w:rPr>
              <w:t>‘Asset condition, remaining lives using componentisation’</w:t>
            </w:r>
          </w:p>
        </w:tc>
      </w:tr>
      <w:tr w:rsidR="00DB216D" w:rsidRPr="00617147" w14:paraId="69C52C0D" w14:textId="77777777" w:rsidTr="004B7282">
        <w:tc>
          <w:tcPr>
            <w:tcW w:w="2595" w:type="dxa"/>
            <w:tcBorders>
              <w:bottom w:val="single" w:sz="4" w:space="0" w:color="auto"/>
            </w:tcBorders>
          </w:tcPr>
          <w:p w14:paraId="609C5D49" w14:textId="77777777" w:rsidR="00DB216D" w:rsidRPr="00992730" w:rsidRDefault="00DB216D" w:rsidP="00992730">
            <w:pPr>
              <w:pStyle w:val="TableContent"/>
              <w:rPr>
                <w:rFonts w:eastAsia="Calibri"/>
                <w:sz w:val="24"/>
              </w:rPr>
            </w:pPr>
            <w:r w:rsidRPr="00992730">
              <w:rPr>
                <w:rFonts w:eastAsia="Calibri"/>
                <w:sz w:val="24"/>
              </w:rPr>
              <w:t>‘Other infrastructure’</w:t>
            </w:r>
          </w:p>
        </w:tc>
        <w:tc>
          <w:tcPr>
            <w:tcW w:w="3522" w:type="dxa"/>
            <w:tcBorders>
              <w:bottom w:val="single" w:sz="4" w:space="0" w:color="auto"/>
            </w:tcBorders>
          </w:tcPr>
          <w:p w14:paraId="69B3A3D7" w14:textId="77777777" w:rsidR="00DB216D" w:rsidRPr="00992730" w:rsidRDefault="00DB216D" w:rsidP="00992730">
            <w:pPr>
              <w:pStyle w:val="TableContent"/>
              <w:rPr>
                <w:sz w:val="24"/>
              </w:rPr>
            </w:pPr>
            <w:r w:rsidRPr="00992730">
              <w:rPr>
                <w:sz w:val="24"/>
              </w:rPr>
              <w:t>‘Cost approach’</w:t>
            </w:r>
          </w:p>
        </w:tc>
        <w:tc>
          <w:tcPr>
            <w:tcW w:w="3522" w:type="dxa"/>
            <w:tcBorders>
              <w:bottom w:val="single" w:sz="4" w:space="0" w:color="auto"/>
            </w:tcBorders>
          </w:tcPr>
          <w:p w14:paraId="2BA165A5" w14:textId="77777777" w:rsidR="00DB216D" w:rsidRPr="00992730" w:rsidRDefault="00DB216D" w:rsidP="00992730">
            <w:pPr>
              <w:pStyle w:val="TableContent"/>
              <w:rPr>
                <w:sz w:val="24"/>
              </w:rPr>
            </w:pPr>
            <w:r w:rsidRPr="00992730">
              <w:rPr>
                <w:sz w:val="24"/>
              </w:rPr>
              <w:t>‘Asset condition and remaining lives using componentisation’</w:t>
            </w:r>
          </w:p>
        </w:tc>
      </w:tr>
      <w:tr w:rsidR="00DB216D" w:rsidRPr="00617147" w14:paraId="3B218CCE" w14:textId="77777777" w:rsidTr="004B7282">
        <w:tc>
          <w:tcPr>
            <w:tcW w:w="2595" w:type="dxa"/>
          </w:tcPr>
          <w:p w14:paraId="553C7098" w14:textId="77777777" w:rsidR="00DB216D" w:rsidRPr="00992730" w:rsidRDefault="00DB216D" w:rsidP="00992730">
            <w:pPr>
              <w:pStyle w:val="TableContent"/>
              <w:rPr>
                <w:rFonts w:eastAsia="Calibri"/>
                <w:sz w:val="24"/>
              </w:rPr>
            </w:pPr>
            <w:r w:rsidRPr="00992730">
              <w:rPr>
                <w:rFonts w:eastAsia="Calibri"/>
                <w:sz w:val="24"/>
              </w:rPr>
              <w:t>‘Tips and quarry assets’</w:t>
            </w:r>
          </w:p>
        </w:tc>
        <w:tc>
          <w:tcPr>
            <w:tcW w:w="3522" w:type="dxa"/>
          </w:tcPr>
          <w:p w14:paraId="0AB84E37" w14:textId="77777777" w:rsidR="00DB216D" w:rsidRPr="00992730" w:rsidRDefault="00DB216D" w:rsidP="00992730">
            <w:pPr>
              <w:pStyle w:val="TableContent"/>
              <w:rPr>
                <w:sz w:val="24"/>
              </w:rPr>
            </w:pPr>
            <w:r w:rsidRPr="00992730">
              <w:rPr>
                <w:sz w:val="24"/>
              </w:rPr>
              <w:t>‘Cost approach’</w:t>
            </w:r>
          </w:p>
        </w:tc>
        <w:tc>
          <w:tcPr>
            <w:tcW w:w="3522" w:type="dxa"/>
          </w:tcPr>
          <w:p w14:paraId="5B9D4309" w14:textId="77777777" w:rsidR="00DB216D" w:rsidRPr="00992730" w:rsidRDefault="00DB216D" w:rsidP="00992730">
            <w:pPr>
              <w:pStyle w:val="TableContent"/>
              <w:rPr>
                <w:sz w:val="24"/>
              </w:rPr>
            </w:pPr>
            <w:r w:rsidRPr="00992730">
              <w:rPr>
                <w:sz w:val="24"/>
              </w:rPr>
              <w:t>‘Environmental legislation, timing of expected cash outflows, asset condition’</w:t>
            </w:r>
          </w:p>
        </w:tc>
      </w:tr>
    </w:tbl>
    <w:p w14:paraId="1123A131" w14:textId="77777777" w:rsidR="00DB216D" w:rsidRPr="009F56C0" w:rsidRDefault="28E3A23B" w:rsidP="00DA4F4D">
      <w:pPr>
        <w:pStyle w:val="Heading4"/>
      </w:pPr>
      <w:r>
        <w:lastRenderedPageBreak/>
        <w:t>Transport infrastructure</w:t>
      </w:r>
    </w:p>
    <w:p w14:paraId="1EEB8CED" w14:textId="64106380" w:rsidR="00DB216D" w:rsidRPr="009F56C0" w:rsidRDefault="28E3A23B" w:rsidP="00D70B5C">
      <w:pPr>
        <w:pStyle w:val="BodyText"/>
      </w:pPr>
      <w:r>
        <w:t>As with buildings, the asset should be componentised into the different elements that are managed separately from the other elements. It is recommended that sealed roads be componentised into</w:t>
      </w:r>
      <w:r w:rsidR="4DC839A5">
        <w:t>:</w:t>
      </w:r>
      <w:r>
        <w:t xml:space="preserve"> </w:t>
      </w:r>
    </w:p>
    <w:p w14:paraId="4D8A1572" w14:textId="77777777" w:rsidR="00DB216D" w:rsidRPr="009F56C0" w:rsidRDefault="00DB216D">
      <w:pPr>
        <w:pStyle w:val="BodyText"/>
        <w:numPr>
          <w:ilvl w:val="0"/>
          <w:numId w:val="108"/>
        </w:numPr>
      </w:pPr>
      <w:r w:rsidRPr="009F56C0">
        <w:t>surface</w:t>
      </w:r>
    </w:p>
    <w:p w14:paraId="45659CD7" w14:textId="63C60029" w:rsidR="00DB216D" w:rsidRPr="009F56C0" w:rsidRDefault="28E3A23B">
      <w:pPr>
        <w:pStyle w:val="BodyText"/>
        <w:numPr>
          <w:ilvl w:val="0"/>
          <w:numId w:val="108"/>
        </w:numPr>
      </w:pPr>
      <w:r>
        <w:t>pavement</w:t>
      </w:r>
    </w:p>
    <w:p w14:paraId="663EC98E" w14:textId="77777777" w:rsidR="00DB216D" w:rsidRPr="009F56C0" w:rsidRDefault="00DB216D">
      <w:pPr>
        <w:pStyle w:val="BodyText"/>
        <w:numPr>
          <w:ilvl w:val="0"/>
          <w:numId w:val="108"/>
        </w:numPr>
      </w:pPr>
      <w:r w:rsidRPr="009F56C0">
        <w:t>formation.</w:t>
      </w:r>
    </w:p>
    <w:p w14:paraId="11C74A8B" w14:textId="54C5C3F4" w:rsidR="00DB216D" w:rsidRPr="009F56C0" w:rsidRDefault="28E3A23B" w:rsidP="00D70B5C">
      <w:pPr>
        <w:pStyle w:val="BodyText"/>
      </w:pPr>
      <w:r>
        <w:t>Unsealed roads should be componentised into</w:t>
      </w:r>
      <w:r w:rsidR="37182D04">
        <w:t>:</w:t>
      </w:r>
      <w:r>
        <w:t xml:space="preserve"> </w:t>
      </w:r>
    </w:p>
    <w:p w14:paraId="258376F0" w14:textId="3E011CDB" w:rsidR="00DB216D" w:rsidRPr="009F56C0" w:rsidRDefault="28E3A23B">
      <w:pPr>
        <w:pStyle w:val="BodyText"/>
        <w:numPr>
          <w:ilvl w:val="0"/>
          <w:numId w:val="109"/>
        </w:numPr>
      </w:pPr>
      <w:r>
        <w:t>pavement</w:t>
      </w:r>
    </w:p>
    <w:p w14:paraId="3F7690C1" w14:textId="77777777" w:rsidR="00DB216D" w:rsidRPr="009F56C0" w:rsidRDefault="00DB216D">
      <w:pPr>
        <w:pStyle w:val="BodyText"/>
        <w:numPr>
          <w:ilvl w:val="0"/>
          <w:numId w:val="109"/>
        </w:numPr>
      </w:pPr>
      <w:r w:rsidRPr="009F56C0">
        <w:t>formation.</w:t>
      </w:r>
    </w:p>
    <w:p w14:paraId="429C2576" w14:textId="1E1F1701" w:rsidR="00DB216D" w:rsidRPr="009F56C0" w:rsidRDefault="00DB216D" w:rsidP="00D70B5C">
      <w:pPr>
        <w:pStyle w:val="BodyText"/>
      </w:pPr>
      <w:r w:rsidRPr="009F56C0">
        <w:t>If desired, bridges can be assessed at the whole</w:t>
      </w:r>
      <w:r w:rsidR="00231DDA">
        <w:t>-</w:t>
      </w:r>
      <w:r w:rsidRPr="009F56C0">
        <w:t>of</w:t>
      </w:r>
      <w:r w:rsidR="00231DDA">
        <w:t>-</w:t>
      </w:r>
      <w:r w:rsidRPr="009F56C0">
        <w:t>asset level or where relevant, for asset management purposes, componentised</w:t>
      </w:r>
      <w:r w:rsidR="00231DDA">
        <w:t>.</w:t>
      </w:r>
    </w:p>
    <w:p w14:paraId="7B56088A" w14:textId="77777777" w:rsidR="00DB216D" w:rsidRPr="009F56C0" w:rsidRDefault="00DB216D" w:rsidP="00D70B5C">
      <w:pPr>
        <w:pStyle w:val="BodyText"/>
      </w:pPr>
      <w:r w:rsidRPr="009F56C0">
        <w:t>The other transport infrastructure, except where relevant for asset management purposes, should be assessed at the whole of asset level.</w:t>
      </w:r>
    </w:p>
    <w:p w14:paraId="2E928CD2" w14:textId="77777777" w:rsidR="00DB216D" w:rsidRPr="009F56C0" w:rsidRDefault="00DB216D" w:rsidP="00DB216D">
      <w:pPr>
        <w:pStyle w:val="Heading2"/>
        <w:rPr>
          <w:b w:val="0"/>
          <w:bCs w:val="0"/>
        </w:rPr>
      </w:pPr>
      <w:bookmarkStart w:id="135" w:name="_Toc207722764"/>
      <w:bookmarkStart w:id="136" w:name="_Toc223445097"/>
      <w:r w:rsidRPr="009F56C0">
        <w:t>Plant and equipment</w:t>
      </w:r>
      <w:bookmarkEnd w:id="135"/>
      <w:bookmarkEnd w:id="136"/>
    </w:p>
    <w:p w14:paraId="47312357" w14:textId="4BBCCFFB" w:rsidR="00DB216D" w:rsidRPr="009F56C0" w:rsidRDefault="28E3A23B" w:rsidP="00D70B5C">
      <w:pPr>
        <w:pStyle w:val="BodyText"/>
      </w:pPr>
      <w:r>
        <w:t>The Local Government – Code of Accounting Practice and Financial Reporting 2024/25 (NSW Government – Office of Local Government (2025)) states regarding ‘significant unobservable inputs used in deriving the various Level 3 asset class fair values</w:t>
      </w:r>
      <w:r w:rsidR="20FDDEF6">
        <w:t>:</w:t>
      </w:r>
      <w:r>
        <w:t>’</w:t>
      </w:r>
    </w:p>
    <w:tbl>
      <w:tblPr>
        <w:tblStyle w:val="TableGrid"/>
        <w:tblW w:w="9639" w:type="dxa"/>
        <w:tblLook w:val="04A0" w:firstRow="1" w:lastRow="0" w:firstColumn="1" w:lastColumn="0" w:noHBand="0" w:noVBand="1"/>
      </w:tblPr>
      <w:tblGrid>
        <w:gridCol w:w="2595"/>
        <w:gridCol w:w="3522"/>
        <w:gridCol w:w="3522"/>
      </w:tblGrid>
      <w:tr w:rsidR="00DB216D" w:rsidRPr="0026604F" w14:paraId="3B311981" w14:textId="77777777" w:rsidTr="04E1CD47">
        <w:tc>
          <w:tcPr>
            <w:tcW w:w="2595" w:type="dxa"/>
            <w:shd w:val="clear" w:color="auto" w:fill="F2F2F2" w:themeFill="background2" w:themeFillShade="F2"/>
          </w:tcPr>
          <w:p w14:paraId="43258C48" w14:textId="77777777" w:rsidR="00DB216D" w:rsidRPr="00CB172C" w:rsidRDefault="00DB216D" w:rsidP="00306C8B">
            <w:pPr>
              <w:pStyle w:val="TableContent"/>
              <w:rPr>
                <w:b/>
                <w:sz w:val="24"/>
              </w:rPr>
            </w:pPr>
            <w:r w:rsidRPr="00CB172C">
              <w:rPr>
                <w:b/>
                <w:sz w:val="24"/>
              </w:rPr>
              <w:t>Plant and Equipment</w:t>
            </w:r>
          </w:p>
        </w:tc>
        <w:tc>
          <w:tcPr>
            <w:tcW w:w="3522" w:type="dxa"/>
            <w:shd w:val="clear" w:color="auto" w:fill="F2F2F2" w:themeFill="background2" w:themeFillShade="F2"/>
          </w:tcPr>
          <w:p w14:paraId="12839188" w14:textId="77777777" w:rsidR="00DB216D" w:rsidRPr="00CB172C" w:rsidRDefault="00DB216D" w:rsidP="00306C8B">
            <w:pPr>
              <w:pStyle w:val="TableContent"/>
              <w:rPr>
                <w:b/>
                <w:sz w:val="24"/>
              </w:rPr>
            </w:pPr>
            <w:r w:rsidRPr="00CB172C">
              <w:rPr>
                <w:b/>
                <w:sz w:val="24"/>
              </w:rPr>
              <w:t>Valuation Technique</w:t>
            </w:r>
          </w:p>
        </w:tc>
        <w:tc>
          <w:tcPr>
            <w:tcW w:w="3522" w:type="dxa"/>
            <w:shd w:val="clear" w:color="auto" w:fill="F2F2F2" w:themeFill="background2" w:themeFillShade="F2"/>
          </w:tcPr>
          <w:p w14:paraId="5C72CD0B" w14:textId="77777777" w:rsidR="00DB216D" w:rsidRPr="00CB172C" w:rsidRDefault="00DB216D" w:rsidP="00306C8B">
            <w:pPr>
              <w:pStyle w:val="TableContent"/>
              <w:rPr>
                <w:b/>
                <w:sz w:val="24"/>
              </w:rPr>
            </w:pPr>
            <w:r w:rsidRPr="00CB172C">
              <w:rPr>
                <w:b/>
                <w:sz w:val="24"/>
              </w:rPr>
              <w:t>Unobservable Inputs</w:t>
            </w:r>
          </w:p>
        </w:tc>
      </w:tr>
      <w:tr w:rsidR="00DB216D" w14:paraId="1C94433B" w14:textId="77777777" w:rsidTr="04E1CD47">
        <w:tc>
          <w:tcPr>
            <w:tcW w:w="9639" w:type="dxa"/>
            <w:gridSpan w:val="3"/>
            <w:shd w:val="clear" w:color="auto" w:fill="F2F2F2" w:themeFill="background2" w:themeFillShade="F2"/>
          </w:tcPr>
          <w:p w14:paraId="65AC4307" w14:textId="77777777" w:rsidR="00DB216D" w:rsidRPr="00CB172C" w:rsidRDefault="00DB216D" w:rsidP="00306C8B">
            <w:pPr>
              <w:pStyle w:val="TableContent"/>
              <w:rPr>
                <w:b/>
                <w:sz w:val="24"/>
              </w:rPr>
            </w:pPr>
            <w:r w:rsidRPr="00CB172C">
              <w:rPr>
                <w:b/>
                <w:sz w:val="24"/>
              </w:rPr>
              <w:t>NSW Government – Office of Local Government (2025)</w:t>
            </w:r>
          </w:p>
        </w:tc>
      </w:tr>
      <w:tr w:rsidR="00DB216D" w:rsidRPr="004C759B" w14:paraId="2C51585C" w14:textId="77777777" w:rsidTr="04E1CD47">
        <w:tc>
          <w:tcPr>
            <w:tcW w:w="2595" w:type="dxa"/>
          </w:tcPr>
          <w:p w14:paraId="7EE3E02F" w14:textId="77777777" w:rsidR="00DB216D" w:rsidRPr="00CB172C" w:rsidRDefault="28E3A23B" w:rsidP="04E1CD47">
            <w:pPr>
              <w:pStyle w:val="TableContent"/>
              <w:rPr>
                <w:rFonts w:eastAsia="Calibri"/>
                <w:sz w:val="24"/>
              </w:rPr>
            </w:pPr>
            <w:r w:rsidRPr="04E1CD47">
              <w:rPr>
                <w:rFonts w:eastAsia="Calibri"/>
                <w:sz w:val="24"/>
              </w:rPr>
              <w:t>‘Plant, equipment, furniture, fittings and office equipment’</w:t>
            </w:r>
          </w:p>
        </w:tc>
        <w:tc>
          <w:tcPr>
            <w:tcW w:w="3522" w:type="dxa"/>
          </w:tcPr>
          <w:p w14:paraId="071C5C4B" w14:textId="77777777" w:rsidR="00DB216D" w:rsidRPr="00CB172C" w:rsidRDefault="00DB216D" w:rsidP="00306C8B">
            <w:pPr>
              <w:pStyle w:val="TableContent"/>
              <w:rPr>
                <w:sz w:val="24"/>
              </w:rPr>
            </w:pPr>
            <w:r w:rsidRPr="00CB172C">
              <w:rPr>
                <w:sz w:val="24"/>
              </w:rPr>
              <w:t>‘Cost approach’</w:t>
            </w:r>
          </w:p>
        </w:tc>
        <w:tc>
          <w:tcPr>
            <w:tcW w:w="3522" w:type="dxa"/>
          </w:tcPr>
          <w:p w14:paraId="660D6E67" w14:textId="77777777" w:rsidR="00DB216D" w:rsidRPr="00CB172C" w:rsidRDefault="28E3A23B" w:rsidP="04E1CD47">
            <w:pPr>
              <w:pStyle w:val="TableContent"/>
              <w:rPr>
                <w:sz w:val="24"/>
              </w:rPr>
            </w:pPr>
            <w:r w:rsidRPr="04E1CD47">
              <w:rPr>
                <w:sz w:val="24"/>
              </w:rPr>
              <w:t>‘Current replacement cost of modern equivalent asset, asset condition, useful life and residual value’</w:t>
            </w:r>
          </w:p>
        </w:tc>
      </w:tr>
    </w:tbl>
    <w:p w14:paraId="47B78D53" w14:textId="77777777" w:rsidR="00DB216D" w:rsidRDefault="00DB216D" w:rsidP="00DB216D">
      <w:pPr>
        <w:rPr>
          <w:rFonts w:ascii="Arial Rounded MT Bold" w:eastAsiaTheme="majorEastAsia" w:hAnsi="Arial Rounded MT Bold" w:cstheme="majorBidi"/>
          <w:sz w:val="30"/>
          <w:szCs w:val="30"/>
        </w:rPr>
      </w:pPr>
      <w:bookmarkStart w:id="137" w:name="_Toc170118997"/>
      <w:r>
        <w:br w:type="page"/>
      </w:r>
    </w:p>
    <w:p w14:paraId="67B58310" w14:textId="77777777" w:rsidR="00DB216D" w:rsidRPr="009F56C0" w:rsidRDefault="00DB216D" w:rsidP="00DB216D">
      <w:pPr>
        <w:pStyle w:val="Heading2"/>
        <w:rPr>
          <w:b w:val="0"/>
          <w:bCs w:val="0"/>
        </w:rPr>
      </w:pPr>
      <w:bookmarkStart w:id="138" w:name="_Toc170118998"/>
      <w:bookmarkStart w:id="139" w:name="_Toc207722765"/>
      <w:bookmarkStart w:id="140" w:name="_Toc223445098"/>
      <w:bookmarkEnd w:id="137"/>
      <w:r w:rsidRPr="009F56C0">
        <w:lastRenderedPageBreak/>
        <w:t>Landfills</w:t>
      </w:r>
      <w:bookmarkEnd w:id="138"/>
      <w:bookmarkEnd w:id="139"/>
      <w:bookmarkEnd w:id="140"/>
    </w:p>
    <w:p w14:paraId="10EEE927" w14:textId="77777777" w:rsidR="00E761EA" w:rsidRDefault="00E761EA" w:rsidP="00DB216D">
      <w:pPr>
        <w:pStyle w:val="Heading4"/>
        <w:spacing w:before="120"/>
      </w:pPr>
    </w:p>
    <w:p w14:paraId="382EE3D1" w14:textId="4A4F4EF5" w:rsidR="00E761EA" w:rsidRDefault="00E6011C" w:rsidP="00EB57E0">
      <w:pPr>
        <w:pStyle w:val="BlockText"/>
      </w:pPr>
      <w:r w:rsidRPr="009F56C0">
        <w:t>This section is applicable to WA.</w:t>
      </w:r>
    </w:p>
    <w:p w14:paraId="0DB58AC4" w14:textId="2583A288" w:rsidR="00DB216D" w:rsidRPr="009F56C0" w:rsidRDefault="00DB216D" w:rsidP="00AC4C29">
      <w:pPr>
        <w:pStyle w:val="Heading4"/>
      </w:pPr>
      <w:r w:rsidRPr="009F56C0">
        <w:t>‘</w:t>
      </w:r>
      <w:r w:rsidRPr="00BA38EA">
        <w:t xml:space="preserve">Key </w:t>
      </w:r>
      <w:r w:rsidR="00E974AA">
        <w:t>i</w:t>
      </w:r>
      <w:r w:rsidRPr="00BA38EA">
        <w:t>ssues</w:t>
      </w:r>
      <w:r w:rsidRPr="009F56C0">
        <w:t xml:space="preserve"> </w:t>
      </w:r>
    </w:p>
    <w:p w14:paraId="08994970" w14:textId="491EF5C8" w:rsidR="00DB216D" w:rsidRPr="009F56C0" w:rsidRDefault="00DB216D" w:rsidP="00D70B5C">
      <w:pPr>
        <w:pStyle w:val="BodyText"/>
      </w:pPr>
      <w:r w:rsidRPr="009F56C0">
        <w:t>Accounting for landfills give</w:t>
      </w:r>
      <w:r w:rsidR="00231DDA">
        <w:t>s</w:t>
      </w:r>
      <w:r w:rsidRPr="009F56C0">
        <w:t xml:space="preserve"> rise to three specific accounting issues, namely: </w:t>
      </w:r>
    </w:p>
    <w:p w14:paraId="7BA3050E" w14:textId="41CE6D41" w:rsidR="00DB216D" w:rsidRPr="009F56C0" w:rsidRDefault="00637817">
      <w:pPr>
        <w:pStyle w:val="BodyText"/>
        <w:numPr>
          <w:ilvl w:val="0"/>
          <w:numId w:val="110"/>
        </w:numPr>
      </w:pPr>
      <w:r>
        <w:t>a</w:t>
      </w:r>
      <w:r w:rsidRPr="009F56C0">
        <w:t xml:space="preserve">ccounting </w:t>
      </w:r>
      <w:r w:rsidR="00DB216D" w:rsidRPr="009F56C0">
        <w:t xml:space="preserve">for site </w:t>
      </w:r>
      <w:proofErr w:type="gramStart"/>
      <w:r w:rsidR="00DB216D" w:rsidRPr="009F56C0">
        <w:t>improvements;</w:t>
      </w:r>
      <w:proofErr w:type="gramEnd"/>
      <w:r w:rsidR="00DB216D" w:rsidRPr="009F56C0">
        <w:t xml:space="preserve"> </w:t>
      </w:r>
    </w:p>
    <w:p w14:paraId="3805F335" w14:textId="63462F80" w:rsidR="00DB216D" w:rsidRPr="009F56C0" w:rsidRDefault="00CC18DA">
      <w:pPr>
        <w:pStyle w:val="BodyText"/>
        <w:numPr>
          <w:ilvl w:val="0"/>
          <w:numId w:val="110"/>
        </w:numPr>
      </w:pPr>
      <w:r>
        <w:t>a</w:t>
      </w:r>
      <w:r w:rsidR="00DB216D" w:rsidRPr="009F56C0">
        <w:t xml:space="preserve">ccounting for rehabilitation costs; and </w:t>
      </w:r>
    </w:p>
    <w:p w14:paraId="574FFB50" w14:textId="21723B6C" w:rsidR="00DB216D" w:rsidRPr="009F56C0" w:rsidRDefault="00CC18DA">
      <w:pPr>
        <w:pStyle w:val="BodyText"/>
        <w:numPr>
          <w:ilvl w:val="0"/>
          <w:numId w:val="110"/>
        </w:numPr>
      </w:pPr>
      <w:r>
        <w:t>a</w:t>
      </w:r>
      <w:r w:rsidR="00DB216D" w:rsidRPr="009F56C0">
        <w:t xml:space="preserve">ccounting for landfill airspace (intangible asset). </w:t>
      </w:r>
    </w:p>
    <w:p w14:paraId="32691BB5" w14:textId="77777777" w:rsidR="00DB216D" w:rsidRPr="009F56C0" w:rsidRDefault="00DB216D" w:rsidP="00D70B5C">
      <w:pPr>
        <w:pStyle w:val="BodyText"/>
      </w:pPr>
      <w:r w:rsidRPr="009F56C0">
        <w:t xml:space="preserve">While each of these issues are related, from an accounting perspective they each need to be considered </w:t>
      </w:r>
      <w:proofErr w:type="gramStart"/>
      <w:r w:rsidRPr="009F56C0">
        <w:t>separately.‘</w:t>
      </w:r>
      <w:proofErr w:type="gramEnd"/>
      <w:r w:rsidRPr="009F56C0">
        <w:t xml:space="preserve"> </w:t>
      </w:r>
    </w:p>
    <w:p w14:paraId="0558BAF6" w14:textId="66E77F30" w:rsidR="00DB216D" w:rsidRPr="009F56C0" w:rsidRDefault="00DB216D" w:rsidP="00D70B5C">
      <w:pPr>
        <w:pStyle w:val="BodyText"/>
      </w:pPr>
      <w:r w:rsidRPr="009F56C0">
        <w:t>(</w:t>
      </w:r>
      <w:r w:rsidR="005E0417" w:rsidRPr="005E0417">
        <w:t>Local Government Victoria in the Department of Environment, Land, Water and Planning</w:t>
      </w:r>
      <w:r w:rsidR="005E0417">
        <w:t xml:space="preserve"> </w:t>
      </w:r>
      <w:r w:rsidRPr="009F56C0">
        <w:t>2017:2)</w:t>
      </w:r>
    </w:p>
    <w:p w14:paraId="3809186E" w14:textId="45FF06C9" w:rsidR="00DB216D" w:rsidRPr="00F33F44" w:rsidRDefault="00DB216D" w:rsidP="00AC4C29">
      <w:pPr>
        <w:pStyle w:val="Heading4"/>
      </w:pPr>
      <w:r w:rsidRPr="009F56C0">
        <w:t>‘</w:t>
      </w:r>
      <w:r w:rsidRPr="00C66FA7">
        <w:t xml:space="preserve">Professional </w:t>
      </w:r>
      <w:r w:rsidR="00E974AA">
        <w:t>g</w:t>
      </w:r>
      <w:r w:rsidRPr="00C66FA7">
        <w:t>uidance</w:t>
      </w:r>
      <w:r w:rsidRPr="00F33F44">
        <w:t xml:space="preserve"> </w:t>
      </w:r>
    </w:p>
    <w:p w14:paraId="4FFAFC1E" w14:textId="77777777" w:rsidR="00DB216D" w:rsidRPr="009F56C0" w:rsidRDefault="00DB216D" w:rsidP="00D70B5C">
      <w:pPr>
        <w:pStyle w:val="BodyText"/>
      </w:pPr>
      <w:r w:rsidRPr="009F56C0">
        <w:t xml:space="preserve">The following accounting standards and interpretations have been issued, providing detailed guidance and direction on the accounting issues associated with landfills: </w:t>
      </w:r>
    </w:p>
    <w:p w14:paraId="6AA6E1AA" w14:textId="61F8989A" w:rsidR="00DB216D" w:rsidRPr="009F56C0" w:rsidRDefault="00DB216D">
      <w:pPr>
        <w:pStyle w:val="BodyText"/>
        <w:numPr>
          <w:ilvl w:val="0"/>
          <w:numId w:val="111"/>
        </w:numPr>
      </w:pPr>
      <w:r w:rsidRPr="009F56C0">
        <w:t>AASB 116 – Property, Plant and Equipment</w:t>
      </w:r>
    </w:p>
    <w:p w14:paraId="5865FC7E" w14:textId="2D22EFC6" w:rsidR="00F33F44" w:rsidRDefault="00DB216D">
      <w:pPr>
        <w:pStyle w:val="BodyText"/>
        <w:numPr>
          <w:ilvl w:val="0"/>
          <w:numId w:val="111"/>
        </w:numPr>
      </w:pPr>
      <w:r w:rsidRPr="009F56C0">
        <w:t>AASB 136 - Impairment of Assets</w:t>
      </w:r>
    </w:p>
    <w:p w14:paraId="7A79B8BF" w14:textId="527DEECB" w:rsidR="00DB216D" w:rsidRPr="009F56C0" w:rsidRDefault="00DB216D">
      <w:pPr>
        <w:pStyle w:val="BodyText"/>
        <w:numPr>
          <w:ilvl w:val="0"/>
          <w:numId w:val="111"/>
        </w:numPr>
      </w:pPr>
      <w:r w:rsidRPr="009F56C0">
        <w:t>AASB 137 - Provisions, Contingent Liabilities and Contingent Assets</w:t>
      </w:r>
    </w:p>
    <w:p w14:paraId="2AB182FB" w14:textId="0BE46F55" w:rsidR="00DB216D" w:rsidRPr="00AC4C29" w:rsidRDefault="00DB216D">
      <w:pPr>
        <w:pStyle w:val="BodyText"/>
        <w:numPr>
          <w:ilvl w:val="0"/>
          <w:numId w:val="111"/>
        </w:numPr>
      </w:pPr>
      <w:r w:rsidRPr="009F56C0">
        <w:t>AASB 138 - Intangible Assets</w:t>
      </w:r>
    </w:p>
    <w:p w14:paraId="76FA99F1" w14:textId="73945FC9" w:rsidR="00DB216D" w:rsidRPr="009F56C0" w:rsidRDefault="00DB216D">
      <w:pPr>
        <w:pStyle w:val="BodyText"/>
        <w:numPr>
          <w:ilvl w:val="0"/>
          <w:numId w:val="111"/>
        </w:numPr>
      </w:pPr>
      <w:r w:rsidRPr="009F56C0">
        <w:t>Interpretation 1 - Changes in Existing Decommissioning, Restoration and Similar Liabilities.’</w:t>
      </w:r>
    </w:p>
    <w:p w14:paraId="7E1C7E96" w14:textId="77777777" w:rsidR="005E0417" w:rsidRPr="009F56C0" w:rsidRDefault="005E0417" w:rsidP="00D70B5C">
      <w:pPr>
        <w:pStyle w:val="BodyText"/>
      </w:pPr>
      <w:r w:rsidRPr="009F56C0">
        <w:t>(</w:t>
      </w:r>
      <w:r w:rsidRPr="005E0417">
        <w:t>Local Government Victoria in the Department of Environment, Land, Water and Planning</w:t>
      </w:r>
      <w:r>
        <w:t xml:space="preserve"> </w:t>
      </w:r>
      <w:r w:rsidRPr="009F56C0">
        <w:t>2017:2)</w:t>
      </w:r>
    </w:p>
    <w:p w14:paraId="5A1D9269" w14:textId="77777777" w:rsidR="00DB216D" w:rsidRPr="00AC4C29" w:rsidRDefault="00DB216D" w:rsidP="00AC4C29">
      <w:pPr>
        <w:pStyle w:val="Heading4"/>
      </w:pPr>
      <w:r w:rsidRPr="005E7EBC">
        <w:t>‘</w:t>
      </w:r>
      <w:r w:rsidRPr="00AC4C29">
        <w:t>Accounting for site improvements</w:t>
      </w:r>
    </w:p>
    <w:p w14:paraId="3B86A202" w14:textId="1FF313FD" w:rsidR="00DB216D" w:rsidRPr="009F56C0" w:rsidRDefault="00DB216D" w:rsidP="00D70B5C">
      <w:pPr>
        <w:pStyle w:val="BodyText"/>
      </w:pPr>
      <w:r w:rsidRPr="009F56C0">
        <w:t>The establishment of a landfill facility will result in the acquisition/construction of a range of site improvements that are necessary for the appropriate functioning and control of the facility. Upon commencement of a landfill</w:t>
      </w:r>
      <w:r w:rsidR="00231DDA">
        <w:t>,</w:t>
      </w:r>
      <w:r w:rsidRPr="009F56C0">
        <w:t xml:space="preserve"> these assets are to be recognised in accordance with council’s asset recognition policy. Assets are to be depreciated over the life of the asset to council, or the life of the landfill site, whichever is shorter. </w:t>
      </w:r>
    </w:p>
    <w:p w14:paraId="3701F4BA" w14:textId="77777777" w:rsidR="00DB216D" w:rsidRPr="009F56C0" w:rsidRDefault="00DB216D" w:rsidP="00D70B5C">
      <w:pPr>
        <w:pStyle w:val="BodyText"/>
      </w:pPr>
      <w:r w:rsidRPr="009F56C0">
        <w:lastRenderedPageBreak/>
        <w:t xml:space="preserve">It is important to note that some site improvements, such as fencing, will potentially have a life that extends beyond the operational life of the site and into its rehabilitation phase, whereas others are unlikely to have a life that could exceed the operational life of the site. </w:t>
      </w:r>
    </w:p>
    <w:p w14:paraId="611660C8" w14:textId="77777777" w:rsidR="00DB216D" w:rsidRPr="009F56C0" w:rsidRDefault="00DB216D" w:rsidP="00D70B5C">
      <w:pPr>
        <w:pStyle w:val="BodyText"/>
      </w:pPr>
      <w:r w:rsidRPr="009F56C0">
        <w:t xml:space="preserve">Typically, site improvements capitalised as part of the establishment of a landfill will include: </w:t>
      </w:r>
    </w:p>
    <w:p w14:paraId="328BB0FF" w14:textId="63B41C84" w:rsidR="00DB216D" w:rsidRPr="009F56C0" w:rsidRDefault="6D6CE9D4">
      <w:pPr>
        <w:pStyle w:val="BodyText"/>
        <w:numPr>
          <w:ilvl w:val="0"/>
          <w:numId w:val="112"/>
        </w:numPr>
      </w:pPr>
      <w:r>
        <w:t>r</w:t>
      </w:r>
      <w:r w:rsidR="28E3A23B">
        <w:t>oadways</w:t>
      </w:r>
    </w:p>
    <w:p w14:paraId="34120665" w14:textId="0FB6E972" w:rsidR="00DB216D" w:rsidRPr="009F56C0" w:rsidRDefault="2F0798F7">
      <w:pPr>
        <w:pStyle w:val="BodyText"/>
        <w:numPr>
          <w:ilvl w:val="0"/>
          <w:numId w:val="112"/>
        </w:numPr>
      </w:pPr>
      <w:r>
        <w:t>d</w:t>
      </w:r>
      <w:r w:rsidR="28E3A23B">
        <w:t>rainage</w:t>
      </w:r>
    </w:p>
    <w:p w14:paraId="328C2FC7" w14:textId="772666B2" w:rsidR="00DB216D" w:rsidRPr="009F56C0" w:rsidRDefault="28E046F1">
      <w:pPr>
        <w:pStyle w:val="BodyText"/>
        <w:numPr>
          <w:ilvl w:val="0"/>
          <w:numId w:val="112"/>
        </w:numPr>
      </w:pPr>
      <w:r>
        <w:t>l</w:t>
      </w:r>
      <w:r w:rsidR="28E3A23B">
        <w:t xml:space="preserve">eachate ponds </w:t>
      </w:r>
    </w:p>
    <w:p w14:paraId="4711AC06" w14:textId="173EA1EB" w:rsidR="00DB216D" w:rsidRPr="009F56C0" w:rsidRDefault="0B47B0B4">
      <w:pPr>
        <w:pStyle w:val="BodyText"/>
        <w:numPr>
          <w:ilvl w:val="0"/>
          <w:numId w:val="112"/>
        </w:numPr>
      </w:pPr>
      <w:r>
        <w:t>f</w:t>
      </w:r>
      <w:r w:rsidR="28E3A23B">
        <w:t>encing</w:t>
      </w:r>
    </w:p>
    <w:p w14:paraId="0C014E01" w14:textId="0A4D3DA8" w:rsidR="00DB216D" w:rsidRPr="009F56C0" w:rsidRDefault="4FAB1DAC">
      <w:pPr>
        <w:pStyle w:val="BodyText"/>
        <w:numPr>
          <w:ilvl w:val="0"/>
          <w:numId w:val="112"/>
        </w:numPr>
      </w:pPr>
      <w:r>
        <w:t>s</w:t>
      </w:r>
      <w:r w:rsidR="28E3A23B">
        <w:t>ite huts/shedding</w:t>
      </w:r>
    </w:p>
    <w:p w14:paraId="291A3E74" w14:textId="223C0AE0" w:rsidR="00DB216D" w:rsidRPr="009F56C0" w:rsidRDefault="00D06509">
      <w:pPr>
        <w:pStyle w:val="BodyText"/>
        <w:numPr>
          <w:ilvl w:val="0"/>
          <w:numId w:val="112"/>
        </w:numPr>
      </w:pPr>
      <w:r>
        <w:t>weighbridge</w:t>
      </w:r>
      <w:r w:rsidR="28E3A23B">
        <w:t xml:space="preserve">. </w:t>
      </w:r>
    </w:p>
    <w:p w14:paraId="6EDAA38E" w14:textId="1DA9066A" w:rsidR="00DB216D" w:rsidRPr="009F56C0" w:rsidRDefault="00DB216D" w:rsidP="00D70B5C">
      <w:pPr>
        <w:pStyle w:val="BodyText"/>
      </w:pPr>
      <w:r w:rsidRPr="009F56C0">
        <w:t>Other improvements could also be included as part of this asset. Site improvements do not necessarily need to be accounted for as one asset. Where it makes sense and is more practical to do so</w:t>
      </w:r>
      <w:r w:rsidR="00231DDA">
        <w:t>,</w:t>
      </w:r>
      <w:r w:rsidRPr="009F56C0">
        <w:t xml:space="preserve"> the individual improvements can be accounted for within other (consistent) categories. However</w:t>
      </w:r>
      <w:r w:rsidR="00231DDA">
        <w:t>,</w:t>
      </w:r>
      <w:r w:rsidRPr="009F56C0">
        <w:t xml:space="preserve"> regardless of the approach taken</w:t>
      </w:r>
      <w:r w:rsidR="00231DDA">
        <w:t>,</w:t>
      </w:r>
      <w:r w:rsidRPr="009F56C0">
        <w:t xml:space="preserve"> the improvements should not be given a life greater than that of the overall landfill site.’ </w:t>
      </w:r>
    </w:p>
    <w:p w14:paraId="1736A4B8" w14:textId="761C6DA4" w:rsidR="00787E08" w:rsidRPr="009F56C0" w:rsidRDefault="00787E08" w:rsidP="00D70B5C">
      <w:pPr>
        <w:pStyle w:val="BodyText"/>
      </w:pPr>
      <w:r w:rsidRPr="009F56C0">
        <w:t>(</w:t>
      </w:r>
      <w:r w:rsidRPr="005E0417">
        <w:t>Local Government Victoria in the Department of Environment, Land, Water and Planning</w:t>
      </w:r>
      <w:r>
        <w:t xml:space="preserve"> </w:t>
      </w:r>
      <w:r w:rsidRPr="009F56C0">
        <w:t>2017:</w:t>
      </w:r>
      <w:r>
        <w:t>4</w:t>
      </w:r>
      <w:r w:rsidRPr="009F56C0">
        <w:t>)</w:t>
      </w:r>
    </w:p>
    <w:p w14:paraId="1E663A57" w14:textId="77777777" w:rsidR="00DB216D" w:rsidRPr="009F56C0" w:rsidRDefault="00DB216D" w:rsidP="00AC4C29">
      <w:pPr>
        <w:pStyle w:val="Heading4"/>
      </w:pPr>
      <w:r w:rsidRPr="009F56C0">
        <w:t>‘</w:t>
      </w:r>
      <w:r w:rsidRPr="0051798E">
        <w:t>Accounting for cell construction</w:t>
      </w:r>
    </w:p>
    <w:p w14:paraId="52D8EB2E" w14:textId="20E1A477" w:rsidR="00DB216D" w:rsidRPr="009F56C0" w:rsidRDefault="00DB216D" w:rsidP="00D70B5C">
      <w:pPr>
        <w:pStyle w:val="BodyText"/>
      </w:pPr>
      <w:r w:rsidRPr="009F56C0">
        <w:t>In addition to site improvements</w:t>
      </w:r>
      <w:r w:rsidR="00231DDA">
        <w:t>,</w:t>
      </w:r>
      <w:r w:rsidRPr="009F56C0">
        <w:t xml:space="preserve"> there will be cost incurred directly</w:t>
      </w:r>
      <w:r w:rsidR="00231DDA">
        <w:t xml:space="preserve"> relating</w:t>
      </w:r>
      <w:r w:rsidRPr="009F56C0">
        <w:t xml:space="preserve"> to the construction of individual landfill cells. Costs incurred in the construction of the landfill cells should be capitalised as a tangible asset. This asset should then be depreciated over the life of the cell. </w:t>
      </w:r>
    </w:p>
    <w:p w14:paraId="66C319CD" w14:textId="77777777" w:rsidR="00DB216D" w:rsidRPr="009F56C0" w:rsidRDefault="00DB216D" w:rsidP="00D70B5C">
      <w:pPr>
        <w:pStyle w:val="BodyText"/>
      </w:pPr>
      <w:r w:rsidRPr="009F56C0">
        <w:t xml:space="preserve">It is acknowledged that at times judgement will need to be exercised to determine if </w:t>
      </w:r>
      <w:proofErr w:type="gramStart"/>
      <w:r w:rsidRPr="009F56C0">
        <w:t>particular costs</w:t>
      </w:r>
      <w:proofErr w:type="gramEnd"/>
      <w:r w:rsidRPr="009F56C0">
        <w:t xml:space="preserve"> are to be included as part of the cell construction or broader land improvement categories.’ </w:t>
      </w:r>
    </w:p>
    <w:p w14:paraId="16CB878D" w14:textId="3BA72D61" w:rsidR="00F46B64" w:rsidRPr="009F56C0" w:rsidRDefault="00DB216D" w:rsidP="00D70B5C">
      <w:pPr>
        <w:pStyle w:val="BodyText"/>
      </w:pPr>
      <w:r w:rsidRPr="009F56C0">
        <w:t>(</w:t>
      </w:r>
      <w:r w:rsidR="00F46B64" w:rsidRPr="005E0417">
        <w:t>Local Government Victoria in the Department of Environment, Land, Water and Planning</w:t>
      </w:r>
      <w:r w:rsidR="00F46B64">
        <w:t xml:space="preserve"> </w:t>
      </w:r>
      <w:r w:rsidR="00F46B64" w:rsidRPr="009F56C0">
        <w:t>2017:</w:t>
      </w:r>
      <w:r w:rsidR="00F46B64">
        <w:t>4</w:t>
      </w:r>
      <w:r w:rsidR="00F46B64" w:rsidRPr="009F56C0">
        <w:t>)</w:t>
      </w:r>
    </w:p>
    <w:p w14:paraId="554A2B0C" w14:textId="77777777" w:rsidR="00DB216D" w:rsidRPr="006B085C" w:rsidRDefault="00DB216D" w:rsidP="00AC4C29">
      <w:pPr>
        <w:pStyle w:val="Heading4"/>
      </w:pPr>
      <w:r w:rsidRPr="009F56C0">
        <w:t>‘</w:t>
      </w:r>
      <w:r w:rsidRPr="006B085C">
        <w:t xml:space="preserve">Accounting for rehabilitation, monitoring and aftercare costs </w:t>
      </w:r>
    </w:p>
    <w:p w14:paraId="19624D38" w14:textId="77777777" w:rsidR="00DB216D" w:rsidRPr="009F56C0" w:rsidRDefault="00DB216D" w:rsidP="00D70B5C">
      <w:pPr>
        <w:pStyle w:val="BodyText"/>
      </w:pPr>
      <w:r w:rsidRPr="009F56C0">
        <w:t xml:space="preserve">Most landfills are subject to Environment Protection Authority (EPA) requirements that result in landfill operators being obligated to rehabilitate the site and continue to monitor and provide aftercare for up to 30 years after the closure of the site. The costs associated with post closure monitoring and after care are to be included in the calculation of the </w:t>
      </w:r>
      <w:r w:rsidRPr="009F56C0">
        <w:lastRenderedPageBreak/>
        <w:t xml:space="preserve">rehabilitation provision. These costs are to be included for the duration of any EPA requirements. </w:t>
      </w:r>
    </w:p>
    <w:p w14:paraId="6B39195C" w14:textId="77777777" w:rsidR="00DB216D" w:rsidRPr="009F56C0" w:rsidRDefault="00DB216D" w:rsidP="00D70B5C">
      <w:pPr>
        <w:pStyle w:val="BodyText"/>
      </w:pPr>
      <w:r w:rsidRPr="009F56C0">
        <w:t xml:space="preserve">Post closure costs cannot be offset or reduced </w:t>
      </w:r>
      <w:proofErr w:type="gramStart"/>
      <w:r w:rsidRPr="009F56C0">
        <w:t>on the basis of</w:t>
      </w:r>
      <w:proofErr w:type="gramEnd"/>
      <w:r w:rsidRPr="009F56C0">
        <w:t xml:space="preserve"> potential future revenue streams (such as from the sale of gas generated by the site). While future revenues may occur, offsetting these against current obligations would be effectively recognising the revenue prior to councils meeting the service delivery requirements of the contract.’ </w:t>
      </w:r>
    </w:p>
    <w:p w14:paraId="0DD65961" w14:textId="1784C55F" w:rsidR="00F46B64" w:rsidRPr="009F56C0" w:rsidRDefault="00F46B64" w:rsidP="00D70B5C">
      <w:pPr>
        <w:pStyle w:val="BodyText"/>
      </w:pPr>
      <w:r w:rsidRPr="009F56C0">
        <w:t>(</w:t>
      </w:r>
      <w:r w:rsidRPr="005E0417">
        <w:t>Local Government Victoria in the Department of Environment, Land, Water and Planning</w:t>
      </w:r>
      <w:r>
        <w:t xml:space="preserve"> </w:t>
      </w:r>
      <w:r w:rsidRPr="009F56C0">
        <w:t>2017:</w:t>
      </w:r>
      <w:r w:rsidR="00C06EAC">
        <w:t>5</w:t>
      </w:r>
      <w:r w:rsidRPr="009F56C0">
        <w:t>)</w:t>
      </w:r>
    </w:p>
    <w:p w14:paraId="6916F34A" w14:textId="79B303D4" w:rsidR="00DB216D" w:rsidRPr="001B34E0" w:rsidRDefault="00DB216D" w:rsidP="00AC4C29">
      <w:pPr>
        <w:pStyle w:val="Heading4"/>
      </w:pPr>
      <w:r w:rsidRPr="009F56C0">
        <w:t>‘Accounting for landfill airspace (intangible asset)</w:t>
      </w:r>
    </w:p>
    <w:p w14:paraId="308056D1" w14:textId="50883668" w:rsidR="00DB216D" w:rsidRPr="009F56C0" w:rsidRDefault="00DB216D" w:rsidP="00D70B5C">
      <w:pPr>
        <w:pStyle w:val="BodyText"/>
      </w:pPr>
      <w:r w:rsidRPr="009F56C0">
        <w:t>Initial recognition of airspace assets (intangible) and landfill rehabilitation provisions</w:t>
      </w:r>
      <w:r w:rsidR="00B8003E">
        <w:t>:</w:t>
      </w:r>
    </w:p>
    <w:p w14:paraId="468F7035" w14:textId="77777777" w:rsidR="00DB216D" w:rsidRPr="009F56C0" w:rsidRDefault="00DB216D" w:rsidP="00D70B5C">
      <w:pPr>
        <w:pStyle w:val="BodyText"/>
      </w:pPr>
      <w:r w:rsidRPr="009F56C0">
        <w:t xml:space="preserve">A rehabilitation provision shall be accounted for in accordance with AASB 137 Provisions, Contingent Liabilities and Contingent Assets (AASB 137). Initially the provision shall be recognised on the same basis as the intangible airspace asset. </w:t>
      </w:r>
    </w:p>
    <w:p w14:paraId="07D08AC2" w14:textId="77777777" w:rsidR="00DB216D" w:rsidRPr="009F56C0" w:rsidRDefault="00DB216D" w:rsidP="00D70B5C">
      <w:pPr>
        <w:pStyle w:val="BodyText"/>
      </w:pPr>
      <w:r w:rsidRPr="009F56C0">
        <w:t xml:space="preserve">An airspace asset is an intangible asset that is measured based on the net present value of the future cash flows required to meet the rehabilitation requirements detailed in the landfill licencing agreement. As such its initial recognition is consistent with that required for the related provision. </w:t>
      </w:r>
    </w:p>
    <w:p w14:paraId="6667DE5C" w14:textId="77777777" w:rsidR="00DB216D" w:rsidRPr="009F56C0" w:rsidRDefault="00DB216D" w:rsidP="00D70B5C">
      <w:pPr>
        <w:pStyle w:val="BodyText"/>
      </w:pPr>
      <w:r w:rsidRPr="009F56C0">
        <w:t xml:space="preserve">The process for the initial measurement of the landfill rehabilitation provision (and airspace asset) requires council to: </w:t>
      </w:r>
    </w:p>
    <w:p w14:paraId="39CA5DDE" w14:textId="6F4FF230" w:rsidR="00DB216D" w:rsidRPr="009F56C0" w:rsidRDefault="00B8003E">
      <w:pPr>
        <w:pStyle w:val="BodyText"/>
        <w:numPr>
          <w:ilvl w:val="0"/>
          <w:numId w:val="113"/>
        </w:numPr>
      </w:pPr>
      <w:r>
        <w:t>d</w:t>
      </w:r>
      <w:r w:rsidR="00DB216D" w:rsidRPr="009F56C0">
        <w:t>etermine a best estimate of the current cost to rehabilitate the landfill site based on the existing licence conditions, including post closure monitoring and aftercare costs</w:t>
      </w:r>
    </w:p>
    <w:p w14:paraId="347AB455" w14:textId="77777777" w:rsidR="00B8003E" w:rsidRDefault="00B8003E">
      <w:pPr>
        <w:pStyle w:val="BodyText"/>
        <w:numPr>
          <w:ilvl w:val="0"/>
          <w:numId w:val="113"/>
        </w:numPr>
      </w:pPr>
      <w:r>
        <w:t>i</w:t>
      </w:r>
      <w:r w:rsidR="00DB216D" w:rsidRPr="009F56C0">
        <w:t>ndex that amount out to its future value based on a reasonable estimate of likely cost increases</w:t>
      </w:r>
    </w:p>
    <w:p w14:paraId="7B5F4969" w14:textId="494716B0" w:rsidR="00DB216D" w:rsidRPr="009F56C0" w:rsidRDefault="00B8003E">
      <w:pPr>
        <w:pStyle w:val="BodyText"/>
        <w:numPr>
          <w:ilvl w:val="0"/>
          <w:numId w:val="113"/>
        </w:numPr>
      </w:pPr>
      <w:r>
        <w:t>d</w:t>
      </w:r>
      <w:r w:rsidR="00DB216D" w:rsidRPr="009F56C0">
        <w:t xml:space="preserve">iscount the future value back to its Net Present Value (NPV) by applying the </w:t>
      </w:r>
      <w:r w:rsidRPr="009F56C0">
        <w:t>long-term</w:t>
      </w:r>
      <w:r w:rsidR="00DB216D" w:rsidRPr="009F56C0">
        <w:t xml:space="preserve"> government bond rate applicable to the discount period</w:t>
      </w:r>
      <w:r>
        <w:t>.</w:t>
      </w:r>
    </w:p>
    <w:p w14:paraId="119029AC" w14:textId="473E342E" w:rsidR="00DB216D" w:rsidRPr="009F56C0" w:rsidRDefault="00DB216D" w:rsidP="00D70B5C">
      <w:pPr>
        <w:pStyle w:val="BodyText"/>
      </w:pPr>
      <w:r w:rsidRPr="009F56C0">
        <w:t xml:space="preserve">The amount determined through this calculation is the provision that will require recognition in the balance sheet as a liability. It is also most likely to represent the initial value of the airspace intangible asset. </w:t>
      </w:r>
    </w:p>
    <w:p w14:paraId="629B6DF2" w14:textId="38CE7869" w:rsidR="00DB216D" w:rsidRPr="009F56C0" w:rsidRDefault="00DB216D" w:rsidP="00D70B5C">
      <w:pPr>
        <w:pStyle w:val="BodyText"/>
      </w:pPr>
      <w:r w:rsidRPr="009F56C0">
        <w:t xml:space="preserve">The basis for recognising the airspace asset is within AASB 116 Property, Plant and Equipment (AASB 116). This standard, at paragraph 16, requires preparers of financial statements to incorporate, as part of the cost of an asset, the costs of site restoration. Nevertheless, it will only require such inclusion where council is obligated to make such restoration at the point of acquisition or </w:t>
      </w:r>
      <w:r w:rsidR="00B8003E" w:rsidRPr="009F56C0">
        <w:t>because of</w:t>
      </w:r>
      <w:r w:rsidRPr="009F56C0">
        <w:t xml:space="preserve"> the asset’s use. Within the local government context this is interpreted to be the point at which council is obligated to rehabilitate the site in accordance with EPA requirements</w:t>
      </w:r>
      <w:r w:rsidR="00B8003E">
        <w:t xml:space="preserve">. </w:t>
      </w:r>
      <w:proofErr w:type="gramStart"/>
      <w:r w:rsidR="00B8003E">
        <w:t>T</w:t>
      </w:r>
      <w:r w:rsidRPr="009F56C0">
        <w:t>ypically</w:t>
      </w:r>
      <w:proofErr w:type="gramEnd"/>
      <w:r w:rsidRPr="009F56C0">
        <w:t xml:space="preserve"> this would be at the </w:t>
      </w:r>
      <w:r w:rsidRPr="009F56C0">
        <w:lastRenderedPageBreak/>
        <w:t xml:space="preserve">commencement of operations or the construction of the cell. AASB 116 provides guidance on the recognition of the elements of an assets cost, including restoration costs. As an intangible asset, guidance on the accounting for the airspace asset is contained within AASB 138 Intangible Assets (AASB 138). </w:t>
      </w:r>
    </w:p>
    <w:p w14:paraId="7FD5BB2C" w14:textId="094FA11A" w:rsidR="00DB216D" w:rsidRPr="009F56C0" w:rsidRDefault="00DB216D" w:rsidP="00D70B5C">
      <w:pPr>
        <w:pStyle w:val="BodyText"/>
      </w:pPr>
      <w:r w:rsidRPr="009F56C0">
        <w:t>An intangible airspace asset is subject to impairment tests in accordance with the requirements of AASB 136 Impairment of Assets (AASB 136). If indicators of impairment exist</w:t>
      </w:r>
      <w:r w:rsidR="00B8003E">
        <w:t>,</w:t>
      </w:r>
      <w:r w:rsidRPr="009F56C0">
        <w:t xml:space="preserve"> an impairment test will be required. Given the significant impact that minor changes in variables can have on the valuation of an airspace asset</w:t>
      </w:r>
      <w:r w:rsidR="00B8003E">
        <w:t>,</w:t>
      </w:r>
      <w:r w:rsidRPr="009F56C0">
        <w:t xml:space="preserve"> it would be prudent to conduct an impairment test each year. An impairment test requires council to determine the future cash flows from the landfill (tipping fees) including notional amounts saved for council’s own use of the facility. The tipping fees are to be indexed out to a future value, based on expected fee growth, and then discounted back to their NPV using the </w:t>
      </w:r>
      <w:r w:rsidR="00B8003E" w:rsidRPr="009F56C0">
        <w:t>long-term</w:t>
      </w:r>
      <w:r w:rsidRPr="009F56C0">
        <w:t xml:space="preserve"> government bond rate.’ </w:t>
      </w:r>
    </w:p>
    <w:p w14:paraId="5CB7CF6E" w14:textId="7183CEFC" w:rsidR="00C06EAC" w:rsidRPr="009F56C0" w:rsidRDefault="00DB216D" w:rsidP="00D70B5C">
      <w:pPr>
        <w:pStyle w:val="BodyText"/>
      </w:pPr>
      <w:r w:rsidRPr="009F56C0">
        <w:t>(</w:t>
      </w:r>
      <w:r w:rsidR="00C06EAC" w:rsidRPr="005E0417">
        <w:t>Local Government Victoria in the Department of Environment, Land, Water and Planning</w:t>
      </w:r>
      <w:r w:rsidR="00C06EAC">
        <w:t xml:space="preserve"> </w:t>
      </w:r>
      <w:r w:rsidR="00C06EAC" w:rsidRPr="009F56C0">
        <w:t>2017:</w:t>
      </w:r>
      <w:r w:rsidR="00C06EAC">
        <w:t>5-6</w:t>
      </w:r>
      <w:r w:rsidR="00C06EAC" w:rsidRPr="009F56C0">
        <w:t>)</w:t>
      </w:r>
    </w:p>
    <w:p w14:paraId="05C6EF09" w14:textId="77777777" w:rsidR="00DB216D" w:rsidRPr="009F56C0" w:rsidRDefault="00DB216D" w:rsidP="00AC4C29">
      <w:pPr>
        <w:pStyle w:val="Heading4"/>
      </w:pPr>
      <w:r w:rsidRPr="009F56C0">
        <w:t>‘</w:t>
      </w:r>
      <w:r w:rsidRPr="007675E8">
        <w:t>Ongoing monitoring of rehabilitation provisions and airspace assets</w:t>
      </w:r>
    </w:p>
    <w:p w14:paraId="3BCCF134" w14:textId="77777777" w:rsidR="00DB216D" w:rsidRPr="009F56C0" w:rsidRDefault="00DB216D" w:rsidP="00D70B5C">
      <w:pPr>
        <w:pStyle w:val="BodyText"/>
      </w:pPr>
      <w:r w:rsidRPr="009F56C0">
        <w:t>Ongoing monitoring of rehabilitation provisions and airspace assets Both the rehabilitation provision and airspace asset will need to be recalculated annually to ensure that the provision is measured at the NPV of the best estimate of future cash outflows and that the airspace asset meets an impairment test.</w:t>
      </w:r>
    </w:p>
    <w:p w14:paraId="404E35ED" w14:textId="77777777" w:rsidR="00DB216D" w:rsidRPr="009F56C0" w:rsidRDefault="00DB216D" w:rsidP="00D70B5C">
      <w:pPr>
        <w:pStyle w:val="BodyText"/>
      </w:pPr>
      <w:r w:rsidRPr="009F56C0">
        <w:t>The accounting for changes in the rehabilitation provision (and related assets), subject to their initial recognition, is specifically dealt with in AASB Interpretation 1 Changes in Existing Decommissioning, Restoration and Similar Liabilities (Interpretation 1). Interpretation 1 distinguishes between changes that reflect the passage of time (also referred to as the unwinding of the discount) and other changes. The interpretation states that</w:t>
      </w:r>
    </w:p>
    <w:p w14:paraId="13779D5E" w14:textId="2A015083" w:rsidR="00DB216D" w:rsidRPr="009F56C0" w:rsidRDefault="00B8003E">
      <w:pPr>
        <w:pStyle w:val="BodyText"/>
        <w:numPr>
          <w:ilvl w:val="0"/>
          <w:numId w:val="114"/>
        </w:numPr>
      </w:pPr>
      <w:r>
        <w:t>t</w:t>
      </w:r>
      <w:r w:rsidR="00DB216D" w:rsidRPr="009F56C0">
        <w:t>he unwinding of the discount shall be recognised in the profit and loss as a finance cost as it is incurred</w:t>
      </w:r>
    </w:p>
    <w:p w14:paraId="4B222F40" w14:textId="77777777" w:rsidR="00B8003E" w:rsidRDefault="00B8003E">
      <w:pPr>
        <w:pStyle w:val="BodyText"/>
        <w:numPr>
          <w:ilvl w:val="0"/>
          <w:numId w:val="114"/>
        </w:numPr>
      </w:pPr>
      <w:r>
        <w:t>o</w:t>
      </w:r>
      <w:r w:rsidR="00DB216D" w:rsidRPr="009F56C0">
        <w:t xml:space="preserve">ther changes such as timing or amount of economic outflow or a change in the discount rate shall be accounted for as follows: </w:t>
      </w:r>
    </w:p>
    <w:p w14:paraId="1396C37B" w14:textId="213D1F61" w:rsidR="00B8003E" w:rsidRDefault="00B8003E">
      <w:pPr>
        <w:pStyle w:val="BodyText"/>
        <w:numPr>
          <w:ilvl w:val="1"/>
          <w:numId w:val="114"/>
        </w:numPr>
      </w:pPr>
      <w:r>
        <w:t>i</w:t>
      </w:r>
      <w:r w:rsidR="00DB216D" w:rsidRPr="009F56C0">
        <w:t>f the asset is measured at cost – changes in the provision shall be added to or deducted from the cost of the asset (airspace)</w:t>
      </w:r>
    </w:p>
    <w:p w14:paraId="263C4208" w14:textId="5CE31277" w:rsidR="00DB216D" w:rsidRPr="009F56C0" w:rsidRDefault="00B8003E">
      <w:pPr>
        <w:pStyle w:val="BodyText"/>
        <w:numPr>
          <w:ilvl w:val="1"/>
          <w:numId w:val="114"/>
        </w:numPr>
      </w:pPr>
      <w:r>
        <w:t>i</w:t>
      </w:r>
      <w:r w:rsidR="00DB216D" w:rsidRPr="009F56C0">
        <w:t xml:space="preserve">f the asset is measured using the revaluation model – changes in the provision shall alter the revaluation increase or decrease previously recognised. </w:t>
      </w:r>
    </w:p>
    <w:p w14:paraId="70BDF5E2" w14:textId="77777777" w:rsidR="00DB216D" w:rsidRPr="009F56C0" w:rsidRDefault="00DB216D" w:rsidP="00D70B5C">
      <w:pPr>
        <w:pStyle w:val="BodyText"/>
      </w:pPr>
      <w:r w:rsidRPr="009F56C0">
        <w:t xml:space="preserve">In simple terms the interpretation requires that changes, other than those reflecting the unwinding of the discount, should be recognised by making an equivalent adjustment to </w:t>
      </w:r>
      <w:r w:rsidRPr="009F56C0">
        <w:lastRenderedPageBreak/>
        <w:t>the airspace asset. This is always subject to the airspace asset not exceeding the NPV of the future cash flows associated with its ongoing operations.’</w:t>
      </w:r>
    </w:p>
    <w:p w14:paraId="2C16BFEE" w14:textId="17B6B797" w:rsidR="00C06EAC" w:rsidRPr="009F56C0" w:rsidRDefault="00C06EAC" w:rsidP="00D70B5C">
      <w:pPr>
        <w:pStyle w:val="BodyText"/>
      </w:pPr>
      <w:r w:rsidRPr="009F56C0">
        <w:t>(</w:t>
      </w:r>
      <w:r w:rsidRPr="005E0417">
        <w:t>Local Government Victoria in the Department of Environment, Land, Water and Planning</w:t>
      </w:r>
      <w:r>
        <w:t xml:space="preserve"> </w:t>
      </w:r>
      <w:r w:rsidRPr="009F56C0">
        <w:t>2017:</w:t>
      </w:r>
      <w:r>
        <w:t>6</w:t>
      </w:r>
      <w:r w:rsidRPr="009F56C0">
        <w:t>)</w:t>
      </w:r>
    </w:p>
    <w:p w14:paraId="7DA0CA83" w14:textId="4CE7EEA6" w:rsidR="00DB216D" w:rsidRPr="00E8351C" w:rsidRDefault="00DB216D" w:rsidP="00E8351C">
      <w:pPr>
        <w:pStyle w:val="Heading4"/>
      </w:pPr>
      <w:bookmarkStart w:id="141" w:name="_Toc204937179"/>
      <w:bookmarkStart w:id="142" w:name="_Toc205369880"/>
      <w:bookmarkStart w:id="143" w:name="_Toc207722766"/>
      <w:bookmarkStart w:id="144" w:name="_Toc209091461"/>
      <w:r w:rsidRPr="005F1267">
        <w:rPr>
          <w:rStyle w:val="BodyTextChar"/>
        </w:rPr>
        <w:t>‘</w:t>
      </w:r>
      <w:bookmarkEnd w:id="141"/>
      <w:bookmarkEnd w:id="142"/>
      <w:bookmarkEnd w:id="143"/>
      <w:bookmarkEnd w:id="144"/>
      <w:r w:rsidRPr="00E8351C">
        <w:t xml:space="preserve">Determination of </w:t>
      </w:r>
      <w:r w:rsidR="00B8003E">
        <w:t>f</w:t>
      </w:r>
      <w:r w:rsidRPr="00E8351C">
        <w:t xml:space="preserve">uture </w:t>
      </w:r>
      <w:r w:rsidR="00B8003E">
        <w:t>c</w:t>
      </w:r>
      <w:r w:rsidRPr="00E8351C">
        <w:t xml:space="preserve">osts </w:t>
      </w:r>
    </w:p>
    <w:p w14:paraId="1C85F795" w14:textId="126D5382" w:rsidR="00DB216D" w:rsidRPr="00CF3B1F" w:rsidRDefault="00DB216D" w:rsidP="00D70B5C">
      <w:pPr>
        <w:pStyle w:val="BodyText"/>
      </w:pPr>
      <w:r w:rsidRPr="00CF3B1F">
        <w:t>Given the potential for significant impacts on assets and liabilities</w:t>
      </w:r>
      <w:r w:rsidR="00B8003E">
        <w:t>,</w:t>
      </w:r>
      <w:r w:rsidRPr="00CF3B1F">
        <w:t xml:space="preserve"> the accurate and complete determination of future costs is critical to the integrity of the required calculations. Accordingly, it is expected that councils will utilise appropriate expertise from within (and at times external to) council to ensure the most accurate and complete estimates can be made. It is also expected that the accuracy and completeness of cost estimates will be an area of audit focus. As such councils will be required to document the basis for the determination of the costs to a reasonably high standard.’ </w:t>
      </w:r>
    </w:p>
    <w:p w14:paraId="0FDA75E7" w14:textId="773D7C62" w:rsidR="00180670" w:rsidRPr="009F56C0" w:rsidRDefault="00DB216D" w:rsidP="00D70B5C">
      <w:pPr>
        <w:pStyle w:val="BodyText"/>
      </w:pPr>
      <w:r w:rsidRPr="00CF3B1F">
        <w:t>(</w:t>
      </w:r>
      <w:r w:rsidR="00180670" w:rsidRPr="005E0417">
        <w:t>Local Government Victoria in the Department of Environment, Land, Water and Planning</w:t>
      </w:r>
      <w:r w:rsidR="00180670">
        <w:t xml:space="preserve"> </w:t>
      </w:r>
      <w:r w:rsidR="00180670" w:rsidRPr="009F56C0">
        <w:t>2017:</w:t>
      </w:r>
      <w:r w:rsidR="00180670">
        <w:t>3</w:t>
      </w:r>
      <w:r w:rsidR="00180670" w:rsidRPr="009F56C0">
        <w:t>)</w:t>
      </w:r>
    </w:p>
    <w:p w14:paraId="4079FA15" w14:textId="77777777" w:rsidR="00DB216D" w:rsidRPr="009F56C0" w:rsidRDefault="00DB216D" w:rsidP="00DB216D">
      <w:pPr>
        <w:rPr>
          <w:rFonts w:cs="Arial"/>
        </w:rPr>
      </w:pPr>
      <w:r w:rsidRPr="009F56C0">
        <w:rPr>
          <w:rFonts w:cs="Arial"/>
        </w:rPr>
        <w:br w:type="page"/>
      </w:r>
    </w:p>
    <w:p w14:paraId="227BD584" w14:textId="77777777" w:rsidR="00DB216D" w:rsidRDefault="00DB216D" w:rsidP="00DB216D">
      <w:pPr>
        <w:pStyle w:val="Heading2"/>
      </w:pPr>
      <w:bookmarkStart w:id="145" w:name="_Toc170119000"/>
      <w:bookmarkStart w:id="146" w:name="_Toc207722767"/>
      <w:bookmarkStart w:id="147" w:name="_Toc223445099"/>
      <w:r w:rsidRPr="00F66987">
        <w:lastRenderedPageBreak/>
        <w:t>Crossovers</w:t>
      </w:r>
      <w:bookmarkEnd w:id="145"/>
      <w:bookmarkEnd w:id="146"/>
      <w:bookmarkEnd w:id="147"/>
    </w:p>
    <w:p w14:paraId="5DFEFEE3" w14:textId="77777777" w:rsidR="00255E78" w:rsidRDefault="00255E78" w:rsidP="00D70B5C">
      <w:pPr>
        <w:pStyle w:val="BodyText"/>
      </w:pPr>
    </w:p>
    <w:p w14:paraId="02A600CD" w14:textId="6DFDD39B" w:rsidR="00255E78" w:rsidRDefault="000F4CCF" w:rsidP="00EB57E0">
      <w:pPr>
        <w:pStyle w:val="BlockText"/>
      </w:pPr>
      <w:r w:rsidRPr="0078490C">
        <w:t>This section is applicable to WA.</w:t>
      </w:r>
    </w:p>
    <w:p w14:paraId="363EFDE5" w14:textId="1ECA4DD5" w:rsidR="00DB216D" w:rsidRPr="009F56C0" w:rsidRDefault="00253D51" w:rsidP="00AC4C29">
      <w:pPr>
        <w:pStyle w:val="Heading4"/>
      </w:pPr>
      <w:r>
        <w:t>Definitions</w:t>
      </w:r>
    </w:p>
    <w:p w14:paraId="299F0798" w14:textId="77777777" w:rsidR="00DB216D" w:rsidRPr="009F56C0" w:rsidRDefault="00DB216D" w:rsidP="00D70B5C">
      <w:pPr>
        <w:pStyle w:val="BodyText"/>
      </w:pPr>
      <w:r w:rsidRPr="009F56C0">
        <w:t>Crossovers are constructed across street verges. Street verges can be defined as follows:</w:t>
      </w:r>
    </w:p>
    <w:tbl>
      <w:tblPr>
        <w:tblStyle w:val="TableGrid"/>
        <w:tblW w:w="9639" w:type="dxa"/>
        <w:tblLook w:val="04A0" w:firstRow="1" w:lastRow="0" w:firstColumn="1" w:lastColumn="0" w:noHBand="0" w:noVBand="1"/>
      </w:tblPr>
      <w:tblGrid>
        <w:gridCol w:w="9639"/>
      </w:tblGrid>
      <w:tr w:rsidR="00DB216D" w:rsidRPr="009F56C0" w14:paraId="0DD4854F" w14:textId="77777777" w:rsidTr="004B7282">
        <w:tc>
          <w:tcPr>
            <w:tcW w:w="9639" w:type="dxa"/>
            <w:shd w:val="clear" w:color="auto" w:fill="F2F2F2" w:themeFill="background1" w:themeFillShade="F2"/>
          </w:tcPr>
          <w:p w14:paraId="54F31E0C" w14:textId="77777777" w:rsidR="00DB216D" w:rsidRPr="00533CDA" w:rsidRDefault="00DB216D" w:rsidP="00533CDA">
            <w:pPr>
              <w:pStyle w:val="TableContent"/>
              <w:rPr>
                <w:b/>
                <w:bCs/>
                <w:sz w:val="24"/>
              </w:rPr>
            </w:pPr>
            <w:r w:rsidRPr="00533CDA">
              <w:rPr>
                <w:b/>
                <w:bCs/>
                <w:sz w:val="24"/>
              </w:rPr>
              <w:t>(City of Joondalup 2025: 3)</w:t>
            </w:r>
          </w:p>
        </w:tc>
      </w:tr>
      <w:tr w:rsidR="00DB216D" w:rsidRPr="009F56C0" w14:paraId="14F739FB" w14:textId="77777777" w:rsidTr="004B7282">
        <w:tc>
          <w:tcPr>
            <w:tcW w:w="9639" w:type="dxa"/>
            <w:tcBorders>
              <w:bottom w:val="single" w:sz="4" w:space="0" w:color="auto"/>
            </w:tcBorders>
          </w:tcPr>
          <w:p w14:paraId="2D0ADE19" w14:textId="77777777" w:rsidR="00DB216D" w:rsidRPr="00533CDA" w:rsidRDefault="00DB216D" w:rsidP="00533CDA">
            <w:pPr>
              <w:pStyle w:val="TableContent"/>
              <w:rPr>
                <w:color w:val="000000"/>
                <w:sz w:val="24"/>
              </w:rPr>
            </w:pPr>
            <w:r w:rsidRPr="00533CDA">
              <w:rPr>
                <w:color w:val="000000"/>
                <w:sz w:val="24"/>
              </w:rPr>
              <w:t xml:space="preserve">‘A street verge is the portion of a thoroughfare which lies between the boundary of a carriageway and the adjacent property line. Verges form part of the road reserve that is owned by the Crown and managed by the City of Joondalup (the </w:t>
            </w:r>
            <w:proofErr w:type="gramStart"/>
            <w:r w:rsidRPr="00533CDA">
              <w:rPr>
                <w:color w:val="000000"/>
                <w:sz w:val="24"/>
              </w:rPr>
              <w:t>City</w:t>
            </w:r>
            <w:proofErr w:type="gramEnd"/>
            <w:r w:rsidRPr="00533CDA">
              <w:rPr>
                <w:color w:val="000000"/>
                <w:sz w:val="24"/>
              </w:rPr>
              <w:t>). The verge provides a safe pedestrian space and vehicular access to properties. The verge also accommodates street lighting, footpaths, bus stops, storm water drainage and street trees along with public service utilities such as power supply, water, gas, sewerage and telecommunications cables.’</w:t>
            </w:r>
          </w:p>
        </w:tc>
      </w:tr>
      <w:tr w:rsidR="00DB216D" w:rsidRPr="009F56C0" w14:paraId="7555E362" w14:textId="77777777" w:rsidTr="004B7282">
        <w:tc>
          <w:tcPr>
            <w:tcW w:w="9639" w:type="dxa"/>
            <w:shd w:val="clear" w:color="auto" w:fill="F2F2F2" w:themeFill="background1" w:themeFillShade="F2"/>
          </w:tcPr>
          <w:p w14:paraId="6B77FDF0" w14:textId="77777777" w:rsidR="00DB216D" w:rsidRPr="00533CDA" w:rsidRDefault="00DB216D" w:rsidP="00533CDA">
            <w:pPr>
              <w:pStyle w:val="TableContent"/>
              <w:rPr>
                <w:b/>
                <w:bCs/>
                <w:sz w:val="24"/>
              </w:rPr>
            </w:pPr>
            <w:r w:rsidRPr="00533CDA">
              <w:rPr>
                <w:b/>
                <w:bCs/>
                <w:sz w:val="24"/>
              </w:rPr>
              <w:t>Interpretation (City of Joondalup 2025: 3)</w:t>
            </w:r>
          </w:p>
        </w:tc>
      </w:tr>
      <w:tr w:rsidR="00DB216D" w:rsidRPr="009F56C0" w14:paraId="768AFAF5" w14:textId="77777777" w:rsidTr="004B7282">
        <w:tc>
          <w:tcPr>
            <w:tcW w:w="9639" w:type="dxa"/>
          </w:tcPr>
          <w:p w14:paraId="7B0128E6" w14:textId="77777777" w:rsidR="00DB216D" w:rsidRPr="00533CDA" w:rsidRDefault="00DB216D" w:rsidP="00533CDA">
            <w:pPr>
              <w:pStyle w:val="TableContent"/>
              <w:rPr>
                <w:sz w:val="24"/>
              </w:rPr>
            </w:pPr>
            <w:r w:rsidRPr="00533CDA">
              <w:rPr>
                <w:sz w:val="24"/>
              </w:rPr>
              <w:t xml:space="preserve">In WA, road reserves are Crown land. </w:t>
            </w:r>
            <w:r w:rsidRPr="00533CDA">
              <w:rPr>
                <w:color w:val="000000"/>
                <w:sz w:val="24"/>
              </w:rPr>
              <w:t>Different jurisdictions may have different provisions regarding the ownership of street verges. Consequently, it is not the intention of the Guidelines to provide a legal opinion regarding ownership of a street verge.</w:t>
            </w:r>
          </w:p>
        </w:tc>
      </w:tr>
    </w:tbl>
    <w:p w14:paraId="4CCA8F80" w14:textId="77777777" w:rsidR="00DB216D" w:rsidRPr="009F56C0" w:rsidRDefault="00DB216D" w:rsidP="00D70B5C">
      <w:pPr>
        <w:pStyle w:val="BodyText"/>
      </w:pPr>
      <w:r w:rsidRPr="009F56C0">
        <w:t xml:space="preserve">Crossovers can be defined as follows: </w:t>
      </w:r>
    </w:p>
    <w:tbl>
      <w:tblPr>
        <w:tblStyle w:val="TableGrid"/>
        <w:tblW w:w="9639" w:type="dxa"/>
        <w:tblLook w:val="04A0" w:firstRow="1" w:lastRow="0" w:firstColumn="1" w:lastColumn="0" w:noHBand="0" w:noVBand="1"/>
      </w:tblPr>
      <w:tblGrid>
        <w:gridCol w:w="9639"/>
      </w:tblGrid>
      <w:tr w:rsidR="00DB216D" w:rsidRPr="0078490C" w14:paraId="3ECF072D" w14:textId="77777777" w:rsidTr="004B7282">
        <w:tc>
          <w:tcPr>
            <w:tcW w:w="9072" w:type="dxa"/>
            <w:shd w:val="clear" w:color="auto" w:fill="F2F2F2" w:themeFill="background1" w:themeFillShade="F2"/>
          </w:tcPr>
          <w:p w14:paraId="11EFFD24" w14:textId="77777777" w:rsidR="00DB216D" w:rsidRPr="00A32EED" w:rsidRDefault="00DB216D" w:rsidP="00A32EED">
            <w:pPr>
              <w:pStyle w:val="TableContent"/>
              <w:rPr>
                <w:b/>
                <w:sz w:val="24"/>
              </w:rPr>
            </w:pPr>
            <w:r w:rsidRPr="00A32EED">
              <w:rPr>
                <w:b/>
                <w:sz w:val="24"/>
              </w:rPr>
              <w:t>(City of Joondalup 2019: 4)</w:t>
            </w:r>
          </w:p>
        </w:tc>
      </w:tr>
      <w:tr w:rsidR="00DB216D" w:rsidRPr="009F56C0" w14:paraId="3815A12B" w14:textId="77777777" w:rsidTr="004B7282">
        <w:tc>
          <w:tcPr>
            <w:tcW w:w="9072" w:type="dxa"/>
            <w:tcBorders>
              <w:bottom w:val="single" w:sz="4" w:space="0" w:color="auto"/>
            </w:tcBorders>
          </w:tcPr>
          <w:p w14:paraId="27530C8F" w14:textId="77777777" w:rsidR="00DB216D" w:rsidRPr="00A32EED" w:rsidRDefault="00DB216D" w:rsidP="00A32EED">
            <w:pPr>
              <w:pStyle w:val="TableContent"/>
              <w:rPr>
                <w:sz w:val="24"/>
              </w:rPr>
            </w:pPr>
            <w:r w:rsidRPr="00A32EED">
              <w:rPr>
                <w:sz w:val="24"/>
              </w:rPr>
              <w:t>‘A crossover is the extension of a driveway from the edge of the property boundary to the edge of the road. Its primary function is to provide access for vehicles across the verge which forms part of the road reserve.’</w:t>
            </w:r>
          </w:p>
        </w:tc>
      </w:tr>
      <w:tr w:rsidR="00DB216D" w:rsidRPr="009F56C0" w14:paraId="6AD3CE4D" w14:textId="77777777" w:rsidTr="004B7282">
        <w:tc>
          <w:tcPr>
            <w:tcW w:w="9072" w:type="dxa"/>
            <w:shd w:val="clear" w:color="auto" w:fill="F2F2F2" w:themeFill="background1" w:themeFillShade="F2"/>
          </w:tcPr>
          <w:p w14:paraId="30D4B295" w14:textId="77777777" w:rsidR="00DB216D" w:rsidRPr="00A32EED" w:rsidRDefault="00DB216D" w:rsidP="00A32EED">
            <w:pPr>
              <w:pStyle w:val="TableContent"/>
              <w:rPr>
                <w:b/>
                <w:sz w:val="24"/>
              </w:rPr>
            </w:pPr>
            <w:r w:rsidRPr="00A32EED">
              <w:rPr>
                <w:b/>
                <w:sz w:val="24"/>
              </w:rPr>
              <w:t>Interpretation (City of Joondalup 2019: 4)</w:t>
            </w:r>
          </w:p>
        </w:tc>
      </w:tr>
      <w:tr w:rsidR="00DB216D" w:rsidRPr="009F56C0" w14:paraId="0527DAC7" w14:textId="77777777" w:rsidTr="004B7282">
        <w:tc>
          <w:tcPr>
            <w:tcW w:w="9072" w:type="dxa"/>
          </w:tcPr>
          <w:p w14:paraId="5A9E4773" w14:textId="77777777" w:rsidR="00DB216D" w:rsidRPr="00A32EED" w:rsidRDefault="00DB216D" w:rsidP="00A32EED">
            <w:pPr>
              <w:pStyle w:val="TableContent"/>
              <w:rPr>
                <w:sz w:val="24"/>
              </w:rPr>
            </w:pPr>
            <w:r w:rsidRPr="00A32EED">
              <w:rPr>
                <w:sz w:val="24"/>
              </w:rPr>
              <w:t xml:space="preserve">A crossover is separately identifiable from the street verge over which it is constructed. </w:t>
            </w:r>
          </w:p>
        </w:tc>
      </w:tr>
    </w:tbl>
    <w:p w14:paraId="0685B8AE" w14:textId="77777777" w:rsidR="00EE4EF4" w:rsidRDefault="00EE4EF4">
      <w:pPr>
        <w:spacing w:after="0" w:line="240" w:lineRule="auto"/>
        <w:rPr>
          <w:rFonts w:eastAsia="Times New Roman" w:cs="Arial"/>
          <w:b/>
          <w:bCs/>
          <w:lang w:val="en-GB"/>
        </w:rPr>
      </w:pPr>
      <w:r>
        <w:br w:type="page"/>
      </w:r>
    </w:p>
    <w:p w14:paraId="5C4E04A2" w14:textId="77777777" w:rsidR="005B01F2" w:rsidRDefault="007C1ADA" w:rsidP="00AC4C29">
      <w:pPr>
        <w:pStyle w:val="Heading4"/>
      </w:pPr>
      <w:r>
        <w:lastRenderedPageBreak/>
        <w:t xml:space="preserve">Asset </w:t>
      </w:r>
      <w:r w:rsidR="005B01F2">
        <w:t>status</w:t>
      </w:r>
    </w:p>
    <w:p w14:paraId="11E50DE5" w14:textId="77777777" w:rsidR="005B01F2" w:rsidRPr="009F56C0" w:rsidRDefault="005B01F2" w:rsidP="00D70B5C">
      <w:pPr>
        <w:pStyle w:val="BodyText"/>
      </w:pPr>
      <w:r w:rsidRPr="009F56C0">
        <w:t xml:space="preserve">The Framework for the Preparation and Presentation of Financial Statements (2020) states regarding assets: </w:t>
      </w:r>
    </w:p>
    <w:tbl>
      <w:tblPr>
        <w:tblStyle w:val="TableGrid"/>
        <w:tblW w:w="9639" w:type="dxa"/>
        <w:tblLook w:val="04A0" w:firstRow="1" w:lastRow="0" w:firstColumn="1" w:lastColumn="0" w:noHBand="0" w:noVBand="1"/>
      </w:tblPr>
      <w:tblGrid>
        <w:gridCol w:w="9639"/>
      </w:tblGrid>
      <w:tr w:rsidR="005B01F2" w:rsidRPr="0078490C" w14:paraId="51FAE701" w14:textId="77777777">
        <w:trPr>
          <w:tblHeader/>
        </w:trPr>
        <w:tc>
          <w:tcPr>
            <w:tcW w:w="9072" w:type="dxa"/>
            <w:shd w:val="clear" w:color="auto" w:fill="F2F2F2" w:themeFill="background1" w:themeFillShade="F2"/>
          </w:tcPr>
          <w:p w14:paraId="1B52C922" w14:textId="77777777" w:rsidR="005B01F2" w:rsidRPr="00450B37" w:rsidRDefault="005B01F2">
            <w:pPr>
              <w:pStyle w:val="TableContent"/>
              <w:rPr>
                <w:b/>
                <w:sz w:val="24"/>
              </w:rPr>
            </w:pPr>
            <w:r w:rsidRPr="00450B37">
              <w:rPr>
                <w:b/>
                <w:sz w:val="24"/>
              </w:rPr>
              <w:t>(AASB 2020: 8)</w:t>
            </w:r>
          </w:p>
        </w:tc>
      </w:tr>
      <w:tr w:rsidR="005B01F2" w:rsidRPr="009F56C0" w14:paraId="538576F6" w14:textId="77777777">
        <w:tc>
          <w:tcPr>
            <w:tcW w:w="9072" w:type="dxa"/>
            <w:tcBorders>
              <w:bottom w:val="single" w:sz="4" w:space="0" w:color="auto"/>
            </w:tcBorders>
          </w:tcPr>
          <w:p w14:paraId="217D0069" w14:textId="77777777" w:rsidR="005B01F2" w:rsidRPr="00450B37" w:rsidRDefault="005B01F2" w:rsidP="00111B7E">
            <w:pPr>
              <w:pStyle w:val="TableContent"/>
              <w:ind w:left="397" w:hanging="397"/>
              <w:rPr>
                <w:sz w:val="24"/>
              </w:rPr>
            </w:pPr>
            <w:r w:rsidRPr="00450B37">
              <w:rPr>
                <w:sz w:val="24"/>
              </w:rPr>
              <w:t>‘57 Many assets, for example, receivables and property, are associated with legal rights, including the right of ownership. In determining the existence of an asset, the right of ownership is not essential; thus, for example, property held on a lease is an asset if the entity controls the benefits which are expected to flow from the property. Although the capacity of an entity to control benefits is usually the result of legal rights, an item may nonetheless satisfy the definition of an asset even when there is no legal control. For example, knowhow obtained from a development activity may meet the definition of an asset when, by keeping that knowhow secret, an entity controls the benefits that are expected to flow from it.’</w:t>
            </w:r>
          </w:p>
        </w:tc>
      </w:tr>
      <w:tr w:rsidR="005B01F2" w:rsidRPr="0078490C" w14:paraId="06971D01" w14:textId="77777777">
        <w:tc>
          <w:tcPr>
            <w:tcW w:w="9072" w:type="dxa"/>
            <w:shd w:val="clear" w:color="auto" w:fill="F2F2F2" w:themeFill="background1" w:themeFillShade="F2"/>
          </w:tcPr>
          <w:p w14:paraId="4231ABC3" w14:textId="348E4D0A" w:rsidR="005B01F2" w:rsidRPr="00450B37" w:rsidRDefault="005B01F2">
            <w:pPr>
              <w:pStyle w:val="TableContent"/>
              <w:rPr>
                <w:b/>
                <w:sz w:val="24"/>
              </w:rPr>
            </w:pPr>
            <w:r w:rsidRPr="00450B37">
              <w:rPr>
                <w:b/>
                <w:sz w:val="24"/>
              </w:rPr>
              <w:t xml:space="preserve">Interpretation </w:t>
            </w:r>
            <w:r w:rsidR="00971B0A" w:rsidRPr="00450B37">
              <w:rPr>
                <w:b/>
                <w:sz w:val="24"/>
              </w:rPr>
              <w:t>(AASB 2020: 8)</w:t>
            </w:r>
          </w:p>
        </w:tc>
      </w:tr>
      <w:tr w:rsidR="005B01F2" w:rsidRPr="009F56C0" w14:paraId="5B665B45" w14:textId="77777777">
        <w:tc>
          <w:tcPr>
            <w:tcW w:w="9072" w:type="dxa"/>
          </w:tcPr>
          <w:p w14:paraId="6E405593" w14:textId="77777777" w:rsidR="005B01F2" w:rsidRPr="00450B37" w:rsidRDefault="005B01F2">
            <w:pPr>
              <w:pStyle w:val="TableContent"/>
              <w:rPr>
                <w:sz w:val="24"/>
              </w:rPr>
            </w:pPr>
            <w:r w:rsidRPr="00450B37">
              <w:rPr>
                <w:sz w:val="24"/>
              </w:rPr>
              <w:t>Holding an asset implies that a local government have control over it.</w:t>
            </w:r>
          </w:p>
          <w:p w14:paraId="351FDAAB" w14:textId="77777777" w:rsidR="005B01F2" w:rsidRPr="00450B37" w:rsidRDefault="005B01F2">
            <w:pPr>
              <w:pStyle w:val="TableContent"/>
              <w:rPr>
                <w:sz w:val="24"/>
              </w:rPr>
            </w:pPr>
            <w:r w:rsidRPr="00450B37">
              <w:rPr>
                <w:sz w:val="24"/>
              </w:rPr>
              <w:t xml:space="preserve">A local government’s control over a street verge is evident from the requirements it issues for crossovers constructed by residential property owners on street verges. Such requirements include specifications which include: </w:t>
            </w:r>
          </w:p>
          <w:p w14:paraId="2214AC1D" w14:textId="77777777" w:rsidR="005B01F2" w:rsidRPr="00450B37" w:rsidRDefault="005B01F2">
            <w:pPr>
              <w:pStyle w:val="TableContent"/>
              <w:numPr>
                <w:ilvl w:val="0"/>
                <w:numId w:val="116"/>
              </w:numPr>
              <w:rPr>
                <w:sz w:val="24"/>
              </w:rPr>
            </w:pPr>
            <w:r w:rsidRPr="00450B37">
              <w:rPr>
                <w:sz w:val="24"/>
              </w:rPr>
              <w:t xml:space="preserve">location of crossovers </w:t>
            </w:r>
          </w:p>
          <w:p w14:paraId="0E1B8DC9" w14:textId="77777777" w:rsidR="005B01F2" w:rsidRPr="00AC4C29" w:rsidRDefault="005B01F2">
            <w:pPr>
              <w:pStyle w:val="TableContent"/>
              <w:numPr>
                <w:ilvl w:val="0"/>
                <w:numId w:val="116"/>
              </w:numPr>
              <w:rPr>
                <w:sz w:val="24"/>
              </w:rPr>
            </w:pPr>
            <w:r w:rsidRPr="00AC4C29">
              <w:rPr>
                <w:sz w:val="24"/>
              </w:rPr>
              <w:t>dimensions of crossovers</w:t>
            </w:r>
          </w:p>
          <w:p w14:paraId="521B02CE" w14:textId="07295CE6" w:rsidR="005B01F2" w:rsidRPr="00AC4C29" w:rsidRDefault="005B01F2">
            <w:pPr>
              <w:pStyle w:val="TableContent"/>
              <w:numPr>
                <w:ilvl w:val="0"/>
                <w:numId w:val="116"/>
              </w:numPr>
              <w:rPr>
                <w:sz w:val="24"/>
              </w:rPr>
            </w:pPr>
            <w:r w:rsidRPr="00AC4C29">
              <w:rPr>
                <w:sz w:val="24"/>
              </w:rPr>
              <w:t>allowed construction materials</w:t>
            </w:r>
            <w:r w:rsidR="00B8003E">
              <w:rPr>
                <w:sz w:val="24"/>
              </w:rPr>
              <w:t>;</w:t>
            </w:r>
            <w:r w:rsidRPr="00AC4C29">
              <w:rPr>
                <w:sz w:val="24"/>
              </w:rPr>
              <w:t xml:space="preserve"> and</w:t>
            </w:r>
          </w:p>
          <w:p w14:paraId="714767CF" w14:textId="77777777" w:rsidR="005B01F2" w:rsidRPr="00450B37" w:rsidRDefault="005B01F2">
            <w:pPr>
              <w:pStyle w:val="TableContent"/>
              <w:numPr>
                <w:ilvl w:val="0"/>
                <w:numId w:val="116"/>
              </w:numPr>
              <w:rPr>
                <w:sz w:val="24"/>
              </w:rPr>
            </w:pPr>
            <w:r w:rsidRPr="00AC4C29">
              <w:rPr>
                <w:sz w:val="24"/>
              </w:rPr>
              <w:t>the treatment</w:t>
            </w:r>
            <w:r w:rsidRPr="00450B37">
              <w:rPr>
                <w:sz w:val="24"/>
              </w:rPr>
              <w:t xml:space="preserve"> of existing local government footpaths</w:t>
            </w:r>
          </w:p>
        </w:tc>
      </w:tr>
    </w:tbl>
    <w:p w14:paraId="60F52A42" w14:textId="1E63234D" w:rsidR="00EE4EF4" w:rsidRDefault="00854B19" w:rsidP="00AC4C29">
      <w:pPr>
        <w:pStyle w:val="Heading4"/>
      </w:pPr>
      <w:r>
        <w:t>I</w:t>
      </w:r>
      <w:r w:rsidR="00EE4EF4">
        <w:t>tem of property, plant and equipment</w:t>
      </w:r>
    </w:p>
    <w:p w14:paraId="6500A928" w14:textId="23E345B0" w:rsidR="00DB216D" w:rsidRPr="009F56C0" w:rsidRDefault="00DB216D" w:rsidP="00D70B5C">
      <w:pPr>
        <w:pStyle w:val="BodyText"/>
      </w:pPr>
      <w:r w:rsidRPr="009F56C0">
        <w:t>AASB 116 Property, Plant and Equipment</w:t>
      </w:r>
      <w:r w:rsidRPr="009F56C0">
        <w:rPr>
          <w:b/>
          <w:vertAlign w:val="superscript"/>
        </w:rPr>
        <w:t xml:space="preserve"> </w:t>
      </w:r>
      <w:r w:rsidRPr="009F56C0">
        <w:t xml:space="preserve">(2022) defines property, plant and equipment as follows: </w:t>
      </w:r>
    </w:p>
    <w:tbl>
      <w:tblPr>
        <w:tblStyle w:val="TableGrid"/>
        <w:tblW w:w="9639" w:type="dxa"/>
        <w:tblLook w:val="04A0" w:firstRow="1" w:lastRow="0" w:firstColumn="1" w:lastColumn="0" w:noHBand="0" w:noVBand="1"/>
      </w:tblPr>
      <w:tblGrid>
        <w:gridCol w:w="9639"/>
      </w:tblGrid>
      <w:tr w:rsidR="00DB216D" w:rsidRPr="0078490C" w14:paraId="20699EDF" w14:textId="77777777" w:rsidTr="004B7282">
        <w:trPr>
          <w:tblHeader/>
        </w:trPr>
        <w:tc>
          <w:tcPr>
            <w:tcW w:w="9639" w:type="dxa"/>
            <w:shd w:val="clear" w:color="auto" w:fill="F2F2F2" w:themeFill="background1" w:themeFillShade="F2"/>
          </w:tcPr>
          <w:p w14:paraId="65664B74" w14:textId="77777777" w:rsidR="00DB216D" w:rsidRPr="000E31C8" w:rsidRDefault="00DB216D" w:rsidP="00D1142E">
            <w:pPr>
              <w:pStyle w:val="TableContent"/>
              <w:rPr>
                <w:b/>
                <w:bCs/>
                <w:sz w:val="24"/>
              </w:rPr>
            </w:pPr>
            <w:r w:rsidRPr="000E31C8">
              <w:rPr>
                <w:b/>
                <w:bCs/>
                <w:sz w:val="24"/>
              </w:rPr>
              <w:t>(AASB 2022: 6)</w:t>
            </w:r>
          </w:p>
        </w:tc>
      </w:tr>
      <w:tr w:rsidR="00DB216D" w:rsidRPr="009F56C0" w14:paraId="1E445390" w14:textId="77777777" w:rsidTr="004B7282">
        <w:tc>
          <w:tcPr>
            <w:tcW w:w="9639" w:type="dxa"/>
            <w:tcBorders>
              <w:bottom w:val="single" w:sz="4" w:space="0" w:color="auto"/>
            </w:tcBorders>
          </w:tcPr>
          <w:p w14:paraId="0F00A2E9" w14:textId="5C62428D" w:rsidR="00DB216D" w:rsidRPr="00B8003E" w:rsidRDefault="00DB216D" w:rsidP="00D1142E">
            <w:pPr>
              <w:pStyle w:val="TableContent"/>
              <w:rPr>
                <w:sz w:val="24"/>
              </w:rPr>
            </w:pPr>
            <w:r w:rsidRPr="00B8003E">
              <w:rPr>
                <w:i/>
                <w:iCs/>
                <w:sz w:val="24"/>
              </w:rPr>
              <w:t>‘</w:t>
            </w:r>
            <w:r w:rsidRPr="00B8003E">
              <w:rPr>
                <w:sz w:val="24"/>
              </w:rPr>
              <w:t xml:space="preserve">6 The following terms are used in this Standard with the meanings specified: </w:t>
            </w:r>
          </w:p>
          <w:p w14:paraId="26768C94" w14:textId="77777777" w:rsidR="00DB216D" w:rsidRPr="00B8003E" w:rsidRDefault="00DB216D" w:rsidP="000E31C8">
            <w:pPr>
              <w:pStyle w:val="TableContent"/>
              <w:ind w:left="340"/>
              <w:rPr>
                <w:sz w:val="24"/>
              </w:rPr>
            </w:pPr>
            <w:r w:rsidRPr="00B8003E">
              <w:rPr>
                <w:i/>
                <w:iCs/>
                <w:sz w:val="24"/>
              </w:rPr>
              <w:t>Property, plant and equipment</w:t>
            </w:r>
            <w:r w:rsidRPr="00B8003E">
              <w:rPr>
                <w:sz w:val="24"/>
              </w:rPr>
              <w:t xml:space="preserve"> are tangible items that: </w:t>
            </w:r>
          </w:p>
          <w:p w14:paraId="2CFBCBA1" w14:textId="77777777" w:rsidR="00DB216D" w:rsidRPr="00B8003E" w:rsidRDefault="00DB216D" w:rsidP="00D1142E">
            <w:pPr>
              <w:pStyle w:val="TableContent"/>
              <w:ind w:left="680" w:hanging="340"/>
              <w:rPr>
                <w:sz w:val="24"/>
              </w:rPr>
            </w:pPr>
            <w:r w:rsidRPr="00B8003E">
              <w:rPr>
                <w:sz w:val="24"/>
              </w:rPr>
              <w:t xml:space="preserve">(a) are held for use in the production or supply of goods or services, for rental to others, or for administrative purposes; and </w:t>
            </w:r>
          </w:p>
          <w:p w14:paraId="52BFAC5D" w14:textId="77777777" w:rsidR="00DB216D" w:rsidRPr="00D1142E" w:rsidRDefault="00DB216D" w:rsidP="00D1142E">
            <w:pPr>
              <w:pStyle w:val="TableContent"/>
              <w:ind w:left="680" w:hanging="340"/>
              <w:rPr>
                <w:b/>
                <w:bCs/>
                <w:i/>
                <w:sz w:val="24"/>
              </w:rPr>
            </w:pPr>
            <w:r w:rsidRPr="00B8003E">
              <w:rPr>
                <w:sz w:val="24"/>
              </w:rPr>
              <w:t>(b) are expected to be used during more than one period.’</w:t>
            </w:r>
          </w:p>
        </w:tc>
      </w:tr>
    </w:tbl>
    <w:p w14:paraId="444947CB" w14:textId="77777777" w:rsidR="0043261C" w:rsidRDefault="0043261C" w:rsidP="00D1142E">
      <w:pPr>
        <w:pStyle w:val="TableContent"/>
        <w:rPr>
          <w:b/>
          <w:bCs/>
        </w:rPr>
        <w:sectPr w:rsidR="0043261C" w:rsidSect="00F57F84">
          <w:pgSz w:w="11920" w:h="16840"/>
          <w:pgMar w:top="1440" w:right="863" w:bottom="1440" w:left="1440" w:header="720" w:footer="282" w:gutter="0"/>
          <w:cols w:space="720"/>
        </w:sectPr>
      </w:pPr>
    </w:p>
    <w:tbl>
      <w:tblPr>
        <w:tblStyle w:val="TableGrid"/>
        <w:tblW w:w="9639" w:type="dxa"/>
        <w:tblLook w:val="04A0" w:firstRow="1" w:lastRow="0" w:firstColumn="1" w:lastColumn="0" w:noHBand="0" w:noVBand="1"/>
      </w:tblPr>
      <w:tblGrid>
        <w:gridCol w:w="9639"/>
      </w:tblGrid>
      <w:tr w:rsidR="00DB216D" w:rsidRPr="0078490C" w14:paraId="325F472A" w14:textId="77777777" w:rsidTr="004B7282">
        <w:tc>
          <w:tcPr>
            <w:tcW w:w="9639" w:type="dxa"/>
            <w:shd w:val="clear" w:color="auto" w:fill="F2F2F2" w:themeFill="background1" w:themeFillShade="F2"/>
          </w:tcPr>
          <w:p w14:paraId="3E4684BE" w14:textId="77777777" w:rsidR="00DB216D" w:rsidRPr="000E31C8" w:rsidRDefault="00DB216D" w:rsidP="00D1142E">
            <w:pPr>
              <w:pStyle w:val="TableContent"/>
              <w:rPr>
                <w:b/>
                <w:bCs/>
                <w:i/>
                <w:iCs/>
                <w:sz w:val="24"/>
              </w:rPr>
            </w:pPr>
            <w:r w:rsidRPr="000E31C8">
              <w:rPr>
                <w:b/>
                <w:bCs/>
                <w:sz w:val="24"/>
              </w:rPr>
              <w:lastRenderedPageBreak/>
              <w:t>Interpretation (AASB 2022: 6)</w:t>
            </w:r>
          </w:p>
        </w:tc>
      </w:tr>
      <w:tr w:rsidR="00DB216D" w:rsidRPr="009F56C0" w14:paraId="59D88472" w14:textId="77777777" w:rsidTr="004B7282">
        <w:tc>
          <w:tcPr>
            <w:tcW w:w="9639" w:type="dxa"/>
          </w:tcPr>
          <w:p w14:paraId="0C39DD71" w14:textId="77777777" w:rsidR="00DB216D" w:rsidRPr="00D1142E" w:rsidRDefault="00DB216D" w:rsidP="00D1142E">
            <w:pPr>
              <w:pStyle w:val="TableContent"/>
              <w:rPr>
                <w:sz w:val="24"/>
              </w:rPr>
            </w:pPr>
            <w:r w:rsidRPr="00D1142E">
              <w:rPr>
                <w:sz w:val="24"/>
              </w:rPr>
              <w:t>A crossover can be considered as an item of property, plant and equipment as:</w:t>
            </w:r>
          </w:p>
          <w:p w14:paraId="22F100F5" w14:textId="77777777" w:rsidR="00DB216D" w:rsidRPr="00D1142E" w:rsidRDefault="00DB216D">
            <w:pPr>
              <w:pStyle w:val="TableContent"/>
              <w:numPr>
                <w:ilvl w:val="0"/>
                <w:numId w:val="115"/>
              </w:numPr>
              <w:rPr>
                <w:sz w:val="24"/>
              </w:rPr>
            </w:pPr>
            <w:r w:rsidRPr="00D1142E">
              <w:rPr>
                <w:sz w:val="24"/>
              </w:rPr>
              <w:t>it is physical in nature</w:t>
            </w:r>
          </w:p>
          <w:p w14:paraId="12BE86BB" w14:textId="58DD9FA5" w:rsidR="00DB216D" w:rsidRPr="00D1142E" w:rsidRDefault="00DB216D">
            <w:pPr>
              <w:pStyle w:val="TableContent"/>
              <w:numPr>
                <w:ilvl w:val="0"/>
                <w:numId w:val="115"/>
              </w:numPr>
              <w:rPr>
                <w:sz w:val="24"/>
              </w:rPr>
            </w:pPr>
            <w:r w:rsidRPr="00D1142E">
              <w:rPr>
                <w:sz w:val="24"/>
              </w:rPr>
              <w:t>held by the local government for use in the supply of services</w:t>
            </w:r>
            <w:r w:rsidR="00B8003E">
              <w:rPr>
                <w:sz w:val="24"/>
              </w:rPr>
              <w:t>;</w:t>
            </w:r>
            <w:r w:rsidRPr="00D1142E">
              <w:rPr>
                <w:sz w:val="24"/>
              </w:rPr>
              <w:t xml:space="preserve"> and</w:t>
            </w:r>
          </w:p>
          <w:p w14:paraId="6CE2D4FD" w14:textId="77777777" w:rsidR="00780952" w:rsidRDefault="00DB216D">
            <w:pPr>
              <w:pStyle w:val="TableContent"/>
              <w:numPr>
                <w:ilvl w:val="0"/>
                <w:numId w:val="115"/>
              </w:numPr>
              <w:rPr>
                <w:sz w:val="24"/>
              </w:rPr>
            </w:pPr>
            <w:r w:rsidRPr="00D1142E">
              <w:rPr>
                <w:sz w:val="24"/>
              </w:rPr>
              <w:t>‘</w:t>
            </w:r>
            <w:proofErr w:type="gramStart"/>
            <w:r w:rsidRPr="00D1142E">
              <w:rPr>
                <w:sz w:val="24"/>
              </w:rPr>
              <w:t>expected</w:t>
            </w:r>
            <w:proofErr w:type="gramEnd"/>
            <w:r w:rsidRPr="00D1142E">
              <w:rPr>
                <w:sz w:val="24"/>
              </w:rPr>
              <w:t xml:space="preserve"> to be used during more than one period’. </w:t>
            </w:r>
          </w:p>
          <w:p w14:paraId="6069E73A" w14:textId="2D107EF2" w:rsidR="00DB216D" w:rsidRPr="00D1142E" w:rsidRDefault="00780952" w:rsidP="00D1142E">
            <w:pPr>
              <w:pStyle w:val="TableContent"/>
              <w:rPr>
                <w:sz w:val="24"/>
              </w:rPr>
            </w:pPr>
            <w:r w:rsidRPr="009F56C0">
              <w:rPr>
                <w:sz w:val="24"/>
              </w:rPr>
              <w:t>A crossover is ‘held’ by a local government. A local government is not required to own a crossover. It can be argued that local governments hold crossovers for use in the supply of a service being the right of community members to access a crossover (even if it is just to continue walking down a local government constructed footpath on a street verge).</w:t>
            </w:r>
          </w:p>
        </w:tc>
      </w:tr>
    </w:tbl>
    <w:p w14:paraId="41FBF744" w14:textId="5B23CD9E" w:rsidR="00DB216D" w:rsidRPr="009F56C0" w:rsidRDefault="00DB216D" w:rsidP="00AC4C29">
      <w:pPr>
        <w:pStyle w:val="Heading4"/>
      </w:pPr>
      <w:r w:rsidRPr="009F56C0">
        <w:t>Recognition</w:t>
      </w:r>
    </w:p>
    <w:p w14:paraId="7A49C264" w14:textId="77777777" w:rsidR="00DB216D" w:rsidRPr="009F56C0" w:rsidRDefault="00DB216D" w:rsidP="00D70B5C">
      <w:pPr>
        <w:pStyle w:val="BodyText"/>
      </w:pPr>
      <w:r w:rsidRPr="009F56C0">
        <w:t xml:space="preserve">AASB 116 Property, Plant and Equipment (2022) states regarding recognition of such items: </w:t>
      </w:r>
    </w:p>
    <w:tbl>
      <w:tblPr>
        <w:tblStyle w:val="TableGrid"/>
        <w:tblW w:w="9639" w:type="dxa"/>
        <w:tblLook w:val="04A0" w:firstRow="1" w:lastRow="0" w:firstColumn="1" w:lastColumn="0" w:noHBand="0" w:noVBand="1"/>
      </w:tblPr>
      <w:tblGrid>
        <w:gridCol w:w="9639"/>
      </w:tblGrid>
      <w:tr w:rsidR="00DB216D" w:rsidRPr="0078490C" w14:paraId="52BFE69A" w14:textId="77777777" w:rsidTr="004B7282">
        <w:trPr>
          <w:tblHeader/>
        </w:trPr>
        <w:tc>
          <w:tcPr>
            <w:tcW w:w="9639" w:type="dxa"/>
            <w:shd w:val="clear" w:color="auto" w:fill="F2F2F2" w:themeFill="background1" w:themeFillShade="F2"/>
          </w:tcPr>
          <w:p w14:paraId="7AB37C99" w14:textId="77777777" w:rsidR="00DB216D" w:rsidRPr="00406D39" w:rsidRDefault="00DB216D" w:rsidP="008B0248">
            <w:pPr>
              <w:pStyle w:val="TableContent"/>
              <w:rPr>
                <w:b/>
                <w:bCs/>
                <w:sz w:val="24"/>
              </w:rPr>
            </w:pPr>
            <w:r w:rsidRPr="00406D39">
              <w:rPr>
                <w:b/>
                <w:bCs/>
                <w:sz w:val="24"/>
              </w:rPr>
              <w:t>(AASB 2022: 6)</w:t>
            </w:r>
          </w:p>
        </w:tc>
      </w:tr>
      <w:tr w:rsidR="00DB216D" w:rsidRPr="009F56C0" w14:paraId="0D890C8E" w14:textId="77777777" w:rsidTr="004B7282">
        <w:tc>
          <w:tcPr>
            <w:tcW w:w="9639" w:type="dxa"/>
          </w:tcPr>
          <w:p w14:paraId="7793F58D" w14:textId="77777777" w:rsidR="00406D39" w:rsidRPr="00B8003E" w:rsidRDefault="00DB216D" w:rsidP="00C42FE6">
            <w:pPr>
              <w:pStyle w:val="TableContent"/>
              <w:ind w:left="284" w:hanging="284"/>
              <w:rPr>
                <w:sz w:val="24"/>
              </w:rPr>
            </w:pPr>
            <w:r w:rsidRPr="00B8003E">
              <w:rPr>
                <w:i/>
                <w:iCs/>
                <w:sz w:val="24"/>
              </w:rPr>
              <w:t>‘</w:t>
            </w:r>
            <w:r w:rsidRPr="00B8003E">
              <w:rPr>
                <w:sz w:val="24"/>
              </w:rPr>
              <w:t>7 The cost of an item of property, plant and equipment shall be recognised as an asset if, and only if: (</w:t>
            </w:r>
          </w:p>
          <w:p w14:paraId="6F9B36C1" w14:textId="77777777" w:rsidR="00406D39" w:rsidRPr="00B8003E" w:rsidRDefault="00DB216D" w:rsidP="00406D39">
            <w:pPr>
              <w:pStyle w:val="TableContent"/>
              <w:ind w:left="624" w:hanging="284"/>
              <w:rPr>
                <w:sz w:val="24"/>
              </w:rPr>
            </w:pPr>
            <w:r w:rsidRPr="00B8003E">
              <w:rPr>
                <w:sz w:val="24"/>
              </w:rPr>
              <w:t xml:space="preserve">a) it is probable that future economic benefits associated with the item will flow to the entity; and </w:t>
            </w:r>
          </w:p>
          <w:p w14:paraId="26FE86E0" w14:textId="02401611" w:rsidR="00DB216D" w:rsidRPr="00406D39" w:rsidRDefault="00DB216D" w:rsidP="00406D39">
            <w:pPr>
              <w:pStyle w:val="TableContent"/>
              <w:ind w:left="624" w:hanging="284"/>
              <w:rPr>
                <w:i/>
                <w:iCs/>
                <w:sz w:val="24"/>
              </w:rPr>
            </w:pPr>
            <w:r w:rsidRPr="00B8003E">
              <w:rPr>
                <w:sz w:val="24"/>
              </w:rPr>
              <w:t>(b) the cost of the item can be measured reliably.’</w:t>
            </w:r>
          </w:p>
        </w:tc>
      </w:tr>
    </w:tbl>
    <w:p w14:paraId="5DB35A82" w14:textId="77777777" w:rsidR="00DB216D" w:rsidRPr="009F56C0" w:rsidRDefault="00DB216D" w:rsidP="00D70B5C">
      <w:pPr>
        <w:pStyle w:val="BodyText"/>
      </w:pPr>
      <w:r w:rsidRPr="009F56C0">
        <w:t>The question must be asked: will ‘future economic benefits’ (AASB 2022:6) associated with crossovers (constructed by residential landowners) flow to a local government?</w:t>
      </w:r>
    </w:p>
    <w:p w14:paraId="44A40C89" w14:textId="77777777" w:rsidR="00DB216D" w:rsidRPr="009F56C0" w:rsidRDefault="00DB216D" w:rsidP="00D70B5C">
      <w:pPr>
        <w:pStyle w:val="BodyText"/>
      </w:pPr>
      <w:r w:rsidRPr="009F56C0">
        <w:t>The Framework for the Preparation and Presentation of Financial Statements (2020)</w:t>
      </w:r>
      <w:r w:rsidRPr="009F56C0">
        <w:rPr>
          <w:b/>
        </w:rPr>
        <w:t xml:space="preserve"> </w:t>
      </w:r>
      <w:r w:rsidRPr="009F56C0">
        <w:t xml:space="preserve">states regarding the ‘future economic benefits’ of assets: </w:t>
      </w:r>
    </w:p>
    <w:tbl>
      <w:tblPr>
        <w:tblStyle w:val="TableGrid"/>
        <w:tblW w:w="9639" w:type="dxa"/>
        <w:tblLook w:val="04A0" w:firstRow="1" w:lastRow="0" w:firstColumn="1" w:lastColumn="0" w:noHBand="0" w:noVBand="1"/>
      </w:tblPr>
      <w:tblGrid>
        <w:gridCol w:w="9639"/>
      </w:tblGrid>
      <w:tr w:rsidR="00DB216D" w:rsidRPr="00DF513B" w14:paraId="6098D83D" w14:textId="77777777" w:rsidTr="00111B7E">
        <w:tc>
          <w:tcPr>
            <w:tcW w:w="9639" w:type="dxa"/>
            <w:shd w:val="clear" w:color="auto" w:fill="F2F2F2" w:themeFill="background1" w:themeFillShade="F2"/>
          </w:tcPr>
          <w:p w14:paraId="6481BF68" w14:textId="77777777" w:rsidR="00DB216D" w:rsidRPr="00B97248" w:rsidRDefault="00DB216D" w:rsidP="0091300B">
            <w:pPr>
              <w:pStyle w:val="TableContent"/>
              <w:rPr>
                <w:b/>
                <w:bCs/>
                <w:sz w:val="24"/>
              </w:rPr>
            </w:pPr>
            <w:r w:rsidRPr="00B97248">
              <w:rPr>
                <w:b/>
                <w:bCs/>
                <w:sz w:val="24"/>
              </w:rPr>
              <w:t>(AASB 2020: 7)</w:t>
            </w:r>
          </w:p>
        </w:tc>
      </w:tr>
      <w:tr w:rsidR="00DB216D" w:rsidRPr="009F56C0" w14:paraId="0F935484" w14:textId="77777777" w:rsidTr="004B7282">
        <w:tc>
          <w:tcPr>
            <w:tcW w:w="9639" w:type="dxa"/>
          </w:tcPr>
          <w:p w14:paraId="62AC85BB" w14:textId="3B2580E4" w:rsidR="00DB216D" w:rsidRPr="00B97248" w:rsidRDefault="00DB216D" w:rsidP="00111B7E">
            <w:pPr>
              <w:pStyle w:val="TableContent"/>
              <w:ind w:left="1021" w:hanging="1021"/>
              <w:rPr>
                <w:sz w:val="24"/>
              </w:rPr>
            </w:pPr>
            <w:r w:rsidRPr="00B97248">
              <w:rPr>
                <w:sz w:val="24"/>
              </w:rPr>
              <w:t xml:space="preserve">‘Aus49.1 In respect of not-for-profit entities in the public or private sector, in pursuing their objectives, goods and services are provided that have the capacity to satisfy human wants and needs. Assets provide a means for entities to achieve their objectives. Future economic benefits or service potential is the essence of assets. Future economic benefits </w:t>
            </w:r>
            <w:proofErr w:type="gramStart"/>
            <w:r w:rsidRPr="00B97248">
              <w:rPr>
                <w:sz w:val="24"/>
              </w:rPr>
              <w:t>is</w:t>
            </w:r>
            <w:proofErr w:type="gramEnd"/>
            <w:r w:rsidRPr="00B97248">
              <w:rPr>
                <w:sz w:val="24"/>
              </w:rPr>
              <w:t xml:space="preserve"> synonymous with the notion of service </w:t>
            </w:r>
            <w:proofErr w:type="gramStart"/>
            <w:r w:rsidRPr="00B97248">
              <w:rPr>
                <w:sz w:val="24"/>
              </w:rPr>
              <w:t>potential, and</w:t>
            </w:r>
            <w:proofErr w:type="gramEnd"/>
            <w:r w:rsidRPr="00B97248">
              <w:rPr>
                <w:sz w:val="24"/>
              </w:rPr>
              <w:t xml:space="preserve"> is used in this Framework as a reference also to service potential. Future economic benefits can be described as the scarce capacity to provide benefits to the entities that use </w:t>
            </w:r>
            <w:proofErr w:type="gramStart"/>
            <w:r w:rsidRPr="00B97248">
              <w:rPr>
                <w:sz w:val="24"/>
              </w:rPr>
              <w:t>them, and</w:t>
            </w:r>
            <w:proofErr w:type="gramEnd"/>
            <w:r w:rsidRPr="00B97248">
              <w:rPr>
                <w:sz w:val="24"/>
              </w:rPr>
              <w:t xml:space="preserve"> is common to all assets irrespective of their physical or other form.’</w:t>
            </w:r>
          </w:p>
        </w:tc>
      </w:tr>
    </w:tbl>
    <w:p w14:paraId="1C97DB80" w14:textId="77777777" w:rsidR="00E632F4" w:rsidRDefault="00E632F4" w:rsidP="0091300B">
      <w:pPr>
        <w:pStyle w:val="TableContent"/>
        <w:rPr>
          <w:b/>
          <w:bCs/>
        </w:rPr>
        <w:sectPr w:rsidR="00E632F4" w:rsidSect="00F57F84">
          <w:pgSz w:w="11920" w:h="16840"/>
          <w:pgMar w:top="1440" w:right="863" w:bottom="1440" w:left="1440" w:header="720" w:footer="282" w:gutter="0"/>
          <w:cols w:space="720"/>
        </w:sectPr>
      </w:pPr>
    </w:p>
    <w:tbl>
      <w:tblPr>
        <w:tblStyle w:val="TableGrid"/>
        <w:tblW w:w="9607" w:type="dxa"/>
        <w:tblLook w:val="04A0" w:firstRow="1" w:lastRow="0" w:firstColumn="1" w:lastColumn="0" w:noHBand="0" w:noVBand="1"/>
      </w:tblPr>
      <w:tblGrid>
        <w:gridCol w:w="9607"/>
      </w:tblGrid>
      <w:tr w:rsidR="00DB216D" w:rsidRPr="00DF513B" w14:paraId="7655542E" w14:textId="77777777" w:rsidTr="00E632F4">
        <w:trPr>
          <w:trHeight w:val="64"/>
        </w:trPr>
        <w:tc>
          <w:tcPr>
            <w:tcW w:w="9607" w:type="dxa"/>
            <w:shd w:val="clear" w:color="auto" w:fill="F2F2F2" w:themeFill="background1" w:themeFillShade="F2"/>
          </w:tcPr>
          <w:p w14:paraId="221E0FEA" w14:textId="77777777" w:rsidR="00DB216D" w:rsidRPr="00B97248" w:rsidRDefault="00DB216D" w:rsidP="0091300B">
            <w:pPr>
              <w:pStyle w:val="TableContent"/>
              <w:rPr>
                <w:b/>
                <w:bCs/>
                <w:sz w:val="24"/>
              </w:rPr>
            </w:pPr>
            <w:r w:rsidRPr="00B97248">
              <w:rPr>
                <w:b/>
                <w:bCs/>
                <w:sz w:val="24"/>
              </w:rPr>
              <w:lastRenderedPageBreak/>
              <w:t>(AASB 2020: 8)</w:t>
            </w:r>
          </w:p>
        </w:tc>
      </w:tr>
      <w:tr w:rsidR="00DB216D" w:rsidRPr="009F56C0" w14:paraId="33930E8E" w14:textId="77777777" w:rsidTr="00E632F4">
        <w:tc>
          <w:tcPr>
            <w:tcW w:w="9607" w:type="dxa"/>
            <w:tcBorders>
              <w:bottom w:val="single" w:sz="4" w:space="0" w:color="auto"/>
            </w:tcBorders>
          </w:tcPr>
          <w:p w14:paraId="428B5030" w14:textId="4F239ACB" w:rsidR="00DB216D" w:rsidRPr="00B97248" w:rsidRDefault="00DB216D" w:rsidP="007F6EC8">
            <w:pPr>
              <w:pStyle w:val="TableContent"/>
              <w:ind w:left="1021" w:hanging="1021"/>
              <w:rPr>
                <w:sz w:val="24"/>
              </w:rPr>
            </w:pPr>
            <w:r w:rsidRPr="00B97248">
              <w:rPr>
                <w:sz w:val="24"/>
              </w:rPr>
              <w:t xml:space="preserve">‘Aus54.1 In respect of not-for-profit entities, whether in the public or private sector, the future economic benefits are also used to provide goods and services in accordance with the entities’ objectives. However, since the entities do not have the generation of profit as a principal objective, the provision of goods and services may not result in net cash inflows to the entities as the recipients of the goods and services may not transfer cash or other benefits to the entities in exchange. </w:t>
            </w:r>
          </w:p>
          <w:p w14:paraId="7590156E" w14:textId="14C62547" w:rsidR="00DB216D" w:rsidRPr="00B97248" w:rsidRDefault="00DB216D" w:rsidP="007F6EC8">
            <w:pPr>
              <w:pStyle w:val="TableContent"/>
              <w:ind w:left="1021" w:hanging="1021"/>
              <w:rPr>
                <w:sz w:val="24"/>
              </w:rPr>
            </w:pPr>
            <w:r w:rsidRPr="00B97248">
              <w:rPr>
                <w:sz w:val="24"/>
              </w:rPr>
              <w:t>Aus54.2 In respect of not-for-profit entities, the fact that they do not charge, or do not charge fully, their beneficiaries or customers for the goods and services they provide does not deprive those outputs of utility or value; nor does it preclude the entities from benefiting from the assets used to provide the goods and services. For example, assets such as monuments, museums, cathedrals and historical treasures provide needed or desired services to beneficiaries, typically at little or no direct cost to the beneficiaries. These assets benefit the entities by enabling them to meet their objectives of providing needed services to beneficiaries.’</w:t>
            </w:r>
          </w:p>
        </w:tc>
      </w:tr>
      <w:tr w:rsidR="00DB216D" w:rsidRPr="00DF513B" w14:paraId="0591CC2D" w14:textId="77777777" w:rsidTr="00E632F4">
        <w:tc>
          <w:tcPr>
            <w:tcW w:w="9607" w:type="dxa"/>
            <w:shd w:val="clear" w:color="auto" w:fill="F2F2F2" w:themeFill="background1" w:themeFillShade="F2"/>
          </w:tcPr>
          <w:p w14:paraId="2BA21F26" w14:textId="77777777" w:rsidR="00DB216D" w:rsidRPr="00DF513B" w:rsidRDefault="00DB216D">
            <w:pPr>
              <w:spacing w:before="60" w:after="60"/>
              <w:rPr>
                <w:rFonts w:cs="Arial"/>
                <w:sz w:val="24"/>
              </w:rPr>
            </w:pPr>
            <w:r w:rsidRPr="00DF513B">
              <w:rPr>
                <w:rFonts w:cs="Arial"/>
                <w:b/>
                <w:bCs/>
                <w:sz w:val="24"/>
              </w:rPr>
              <w:t>Interpretation (AASB 2020: 8)</w:t>
            </w:r>
          </w:p>
        </w:tc>
      </w:tr>
      <w:tr w:rsidR="00DB216D" w:rsidRPr="009F56C0" w14:paraId="09E6F709" w14:textId="77777777" w:rsidTr="00E632F4">
        <w:tc>
          <w:tcPr>
            <w:tcW w:w="9607" w:type="dxa"/>
          </w:tcPr>
          <w:p w14:paraId="455285E2" w14:textId="494270B5" w:rsidR="00DB216D" w:rsidRPr="009F56C0" w:rsidRDefault="00DB216D">
            <w:pPr>
              <w:spacing w:before="60" w:after="60"/>
              <w:rPr>
                <w:rFonts w:cs="Arial"/>
                <w:sz w:val="24"/>
              </w:rPr>
            </w:pPr>
            <w:r w:rsidRPr="009F56C0">
              <w:rPr>
                <w:rFonts w:cs="Arial"/>
                <w:sz w:val="24"/>
              </w:rPr>
              <w:t>Consequently, for local governments</w:t>
            </w:r>
            <w:r w:rsidR="00B8003E">
              <w:rPr>
                <w:rFonts w:cs="Arial"/>
                <w:sz w:val="24"/>
              </w:rPr>
              <w:t>,</w:t>
            </w:r>
            <w:r w:rsidRPr="009F56C0">
              <w:rPr>
                <w:rFonts w:cs="Arial"/>
                <w:sz w:val="24"/>
              </w:rPr>
              <w:t xml:space="preserve"> the term ‘future economic benefits’ is about using assets to achieve its objectives – not only about net cash inflows generated by assets utilised. </w:t>
            </w:r>
          </w:p>
        </w:tc>
      </w:tr>
    </w:tbl>
    <w:p w14:paraId="7C9FD621" w14:textId="77777777" w:rsidR="00DB216D" w:rsidRPr="009F56C0" w:rsidRDefault="00DB216D" w:rsidP="00D70B5C">
      <w:pPr>
        <w:pStyle w:val="BodyText"/>
      </w:pPr>
      <w:r w:rsidRPr="009F56C0">
        <w:t>The question must be asked: will crossovers help a local government to achieve its objectives? This question can be answered as follows:</w:t>
      </w:r>
    </w:p>
    <w:tbl>
      <w:tblPr>
        <w:tblStyle w:val="TableGrid"/>
        <w:tblW w:w="9639" w:type="dxa"/>
        <w:tblLook w:val="04A0" w:firstRow="1" w:lastRow="0" w:firstColumn="1" w:lastColumn="0" w:noHBand="0" w:noVBand="1"/>
      </w:tblPr>
      <w:tblGrid>
        <w:gridCol w:w="9639"/>
      </w:tblGrid>
      <w:tr w:rsidR="00DB216D" w:rsidRPr="009F56C0" w14:paraId="1D10D000" w14:textId="77777777" w:rsidTr="001935A8">
        <w:trPr>
          <w:tblHeader/>
        </w:trPr>
        <w:tc>
          <w:tcPr>
            <w:tcW w:w="9639" w:type="dxa"/>
            <w:tcBorders>
              <w:bottom w:val="single" w:sz="4" w:space="0" w:color="auto"/>
            </w:tcBorders>
            <w:shd w:val="clear" w:color="auto" w:fill="F2F2F2" w:themeFill="background1" w:themeFillShade="F2"/>
          </w:tcPr>
          <w:p w14:paraId="1AE6A33B" w14:textId="77777777" w:rsidR="00DB216D" w:rsidRPr="00E934FC" w:rsidRDefault="00DB216D" w:rsidP="00E934FC">
            <w:pPr>
              <w:pStyle w:val="TableContent"/>
              <w:rPr>
                <w:b/>
                <w:sz w:val="24"/>
              </w:rPr>
            </w:pPr>
            <w:r w:rsidRPr="00E934FC">
              <w:rPr>
                <w:b/>
                <w:sz w:val="24"/>
              </w:rPr>
              <w:t>(City of Joondalup 2019: 4)</w:t>
            </w:r>
          </w:p>
        </w:tc>
      </w:tr>
      <w:tr w:rsidR="00DB216D" w:rsidRPr="009F56C0" w14:paraId="6BD672F9" w14:textId="77777777" w:rsidTr="00E934FC">
        <w:tc>
          <w:tcPr>
            <w:tcW w:w="9639" w:type="dxa"/>
            <w:tcBorders>
              <w:bottom w:val="single" w:sz="4" w:space="0" w:color="auto"/>
            </w:tcBorders>
          </w:tcPr>
          <w:p w14:paraId="29084101" w14:textId="77777777" w:rsidR="00DB216D" w:rsidRPr="00E934FC" w:rsidRDefault="00DB216D" w:rsidP="00E934FC">
            <w:pPr>
              <w:pStyle w:val="TableContent"/>
              <w:rPr>
                <w:sz w:val="24"/>
              </w:rPr>
            </w:pPr>
            <w:r w:rsidRPr="00E934FC">
              <w:rPr>
                <w:sz w:val="24"/>
              </w:rPr>
              <w:t xml:space="preserve">‘These guidelines have been developed by the </w:t>
            </w:r>
            <w:proofErr w:type="gramStart"/>
            <w:r w:rsidRPr="00E934FC">
              <w:rPr>
                <w:sz w:val="24"/>
              </w:rPr>
              <w:t>City</w:t>
            </w:r>
            <w:proofErr w:type="gramEnd"/>
            <w:r w:rsidRPr="00E934FC">
              <w:rPr>
                <w:sz w:val="24"/>
              </w:rPr>
              <w:t xml:space="preserve"> to ensure that each crossover: </w:t>
            </w:r>
          </w:p>
          <w:p w14:paraId="3CB29543" w14:textId="2CE20A92" w:rsidR="00DB216D" w:rsidRPr="00E934FC" w:rsidRDefault="00E934FC">
            <w:pPr>
              <w:pStyle w:val="TableContent"/>
              <w:numPr>
                <w:ilvl w:val="0"/>
                <w:numId w:val="117"/>
              </w:numPr>
              <w:rPr>
                <w:sz w:val="24"/>
              </w:rPr>
            </w:pPr>
            <w:r w:rsidRPr="009F56C0">
              <w:rPr>
                <w:sz w:val="24"/>
              </w:rPr>
              <w:t>I</w:t>
            </w:r>
            <w:r w:rsidR="00DB216D" w:rsidRPr="00E934FC">
              <w:rPr>
                <w:sz w:val="24"/>
              </w:rPr>
              <w:t xml:space="preserve">s of a uniform </w:t>
            </w:r>
            <w:proofErr w:type="gramStart"/>
            <w:r w:rsidR="00DB216D" w:rsidRPr="00E934FC">
              <w:rPr>
                <w:sz w:val="24"/>
              </w:rPr>
              <w:t>standard;</w:t>
            </w:r>
            <w:proofErr w:type="gramEnd"/>
            <w:r w:rsidR="00DB216D" w:rsidRPr="00E934FC">
              <w:rPr>
                <w:sz w:val="24"/>
              </w:rPr>
              <w:t xml:space="preserve"> </w:t>
            </w:r>
          </w:p>
          <w:p w14:paraId="2A14F346" w14:textId="2FA65F0E" w:rsidR="00DB216D" w:rsidRPr="00E934FC" w:rsidRDefault="00DB216D">
            <w:pPr>
              <w:pStyle w:val="TableContent"/>
              <w:numPr>
                <w:ilvl w:val="0"/>
                <w:numId w:val="117"/>
              </w:numPr>
              <w:rPr>
                <w:sz w:val="24"/>
              </w:rPr>
            </w:pPr>
            <w:r w:rsidRPr="00E934FC">
              <w:rPr>
                <w:sz w:val="24"/>
              </w:rPr>
              <w:t xml:space="preserve">Ensures a safe entrance and exit to the </w:t>
            </w:r>
            <w:proofErr w:type="gramStart"/>
            <w:r w:rsidRPr="00E934FC">
              <w:rPr>
                <w:sz w:val="24"/>
              </w:rPr>
              <w:t>property;</w:t>
            </w:r>
            <w:proofErr w:type="gramEnd"/>
            <w:r w:rsidRPr="00E934FC">
              <w:rPr>
                <w:sz w:val="24"/>
              </w:rPr>
              <w:t xml:space="preserve"> </w:t>
            </w:r>
          </w:p>
          <w:p w14:paraId="34BDB820" w14:textId="0EAF2569" w:rsidR="00DB216D" w:rsidRPr="00E934FC" w:rsidRDefault="00DB216D">
            <w:pPr>
              <w:pStyle w:val="TableContent"/>
              <w:numPr>
                <w:ilvl w:val="0"/>
                <w:numId w:val="117"/>
              </w:numPr>
              <w:rPr>
                <w:sz w:val="24"/>
              </w:rPr>
            </w:pPr>
            <w:r w:rsidRPr="00E934FC">
              <w:rPr>
                <w:sz w:val="24"/>
              </w:rPr>
              <w:t xml:space="preserve">Reduces stormwater entering private </w:t>
            </w:r>
            <w:proofErr w:type="gramStart"/>
            <w:r w:rsidRPr="00E934FC">
              <w:rPr>
                <w:sz w:val="24"/>
              </w:rPr>
              <w:t>property;  Provides</w:t>
            </w:r>
            <w:proofErr w:type="gramEnd"/>
            <w:r w:rsidRPr="00E934FC">
              <w:rPr>
                <w:sz w:val="24"/>
              </w:rPr>
              <w:t xml:space="preserve"> a safe and even surface for </w:t>
            </w:r>
            <w:proofErr w:type="gramStart"/>
            <w:r w:rsidRPr="00E934FC">
              <w:rPr>
                <w:sz w:val="24"/>
              </w:rPr>
              <w:t>pedestrians;</w:t>
            </w:r>
            <w:proofErr w:type="gramEnd"/>
            <w:r w:rsidRPr="00E934FC">
              <w:rPr>
                <w:sz w:val="24"/>
              </w:rPr>
              <w:t xml:space="preserve"> </w:t>
            </w:r>
          </w:p>
          <w:p w14:paraId="6D4D6509" w14:textId="0BE93E51" w:rsidR="00DB216D" w:rsidRPr="00E934FC" w:rsidRDefault="00DB216D">
            <w:pPr>
              <w:pStyle w:val="TableContent"/>
              <w:numPr>
                <w:ilvl w:val="0"/>
                <w:numId w:val="117"/>
              </w:numPr>
              <w:rPr>
                <w:sz w:val="24"/>
              </w:rPr>
            </w:pPr>
            <w:r w:rsidRPr="00E934FC">
              <w:rPr>
                <w:sz w:val="24"/>
              </w:rPr>
              <w:t xml:space="preserve">Reduces any negative impact on other infrastructure in the road reserve or surrounding </w:t>
            </w:r>
            <w:proofErr w:type="gramStart"/>
            <w:r w:rsidRPr="00E934FC">
              <w:rPr>
                <w:sz w:val="24"/>
              </w:rPr>
              <w:t>area;</w:t>
            </w:r>
            <w:proofErr w:type="gramEnd"/>
            <w:r w:rsidRPr="00E934FC">
              <w:rPr>
                <w:sz w:val="24"/>
              </w:rPr>
              <w:t xml:space="preserve"> </w:t>
            </w:r>
          </w:p>
          <w:p w14:paraId="60244E23" w14:textId="73C9859A" w:rsidR="00DB216D" w:rsidRPr="00E934FC" w:rsidRDefault="00DB216D">
            <w:pPr>
              <w:pStyle w:val="TableContent"/>
              <w:numPr>
                <w:ilvl w:val="0"/>
                <w:numId w:val="117"/>
              </w:numPr>
              <w:rPr>
                <w:sz w:val="24"/>
              </w:rPr>
            </w:pPr>
            <w:r w:rsidRPr="00E934FC">
              <w:rPr>
                <w:sz w:val="24"/>
              </w:rPr>
              <w:t>Maintains and/or improves the streetscape.’</w:t>
            </w:r>
          </w:p>
        </w:tc>
      </w:tr>
    </w:tbl>
    <w:p w14:paraId="695355EA" w14:textId="77777777" w:rsidR="00B61B27" w:rsidRDefault="00B61B27" w:rsidP="00E934FC">
      <w:pPr>
        <w:pStyle w:val="TableContent"/>
        <w:rPr>
          <w:b/>
          <w:bCs/>
        </w:rPr>
        <w:sectPr w:rsidR="00B61B27" w:rsidSect="00F57F84">
          <w:pgSz w:w="11920" w:h="16840"/>
          <w:pgMar w:top="1440" w:right="863" w:bottom="1440" w:left="1440" w:header="720" w:footer="282" w:gutter="0"/>
          <w:cols w:space="720"/>
        </w:sectPr>
      </w:pPr>
    </w:p>
    <w:tbl>
      <w:tblPr>
        <w:tblStyle w:val="TableGrid"/>
        <w:tblW w:w="9607" w:type="dxa"/>
        <w:tblLook w:val="04A0" w:firstRow="1" w:lastRow="0" w:firstColumn="1" w:lastColumn="0" w:noHBand="0" w:noVBand="1"/>
      </w:tblPr>
      <w:tblGrid>
        <w:gridCol w:w="9607"/>
      </w:tblGrid>
      <w:tr w:rsidR="00DB216D" w14:paraId="015FB036" w14:textId="77777777" w:rsidTr="00B34EF2">
        <w:tc>
          <w:tcPr>
            <w:tcW w:w="9607" w:type="dxa"/>
            <w:shd w:val="clear" w:color="auto" w:fill="F2F2F2" w:themeFill="background1" w:themeFillShade="F2"/>
          </w:tcPr>
          <w:p w14:paraId="7CFC97FD" w14:textId="77777777" w:rsidR="00DB216D" w:rsidRPr="003A351C" w:rsidRDefault="00DB216D" w:rsidP="00E934FC">
            <w:pPr>
              <w:pStyle w:val="TableContent"/>
              <w:rPr>
                <w:b/>
                <w:bCs/>
                <w:sz w:val="24"/>
              </w:rPr>
            </w:pPr>
            <w:r w:rsidRPr="003A351C">
              <w:rPr>
                <w:b/>
                <w:bCs/>
                <w:sz w:val="24"/>
              </w:rPr>
              <w:lastRenderedPageBreak/>
              <w:t>Interpretation (City of Joondalup 2019: 4)</w:t>
            </w:r>
          </w:p>
        </w:tc>
      </w:tr>
      <w:tr w:rsidR="00DB216D" w14:paraId="11725227" w14:textId="77777777" w:rsidTr="00B34EF2">
        <w:tc>
          <w:tcPr>
            <w:tcW w:w="9607" w:type="dxa"/>
          </w:tcPr>
          <w:p w14:paraId="4EF7BF4A" w14:textId="77777777" w:rsidR="00DB216D" w:rsidRPr="00E934FC" w:rsidRDefault="00DB216D" w:rsidP="00E934FC">
            <w:pPr>
              <w:pStyle w:val="TableContent"/>
              <w:rPr>
                <w:sz w:val="24"/>
              </w:rPr>
            </w:pPr>
            <w:r w:rsidRPr="00E934FC">
              <w:rPr>
                <w:sz w:val="24"/>
              </w:rPr>
              <w:t>The City of Joondalup’s guidelines help ensure that crossovers are safe and create an attractive urban environment.</w:t>
            </w:r>
            <w:r w:rsidRPr="00E934FC">
              <w:rPr>
                <w:i/>
                <w:sz w:val="24"/>
              </w:rPr>
              <w:t xml:space="preserve"> </w:t>
            </w:r>
            <w:r w:rsidRPr="00E934FC">
              <w:rPr>
                <w:sz w:val="24"/>
              </w:rPr>
              <w:t>In other words, crossovers contribute to</w:t>
            </w:r>
            <w:r w:rsidRPr="00E934FC">
              <w:rPr>
                <w:i/>
                <w:sz w:val="24"/>
              </w:rPr>
              <w:t xml:space="preserve"> </w:t>
            </w:r>
            <w:r w:rsidRPr="00E934FC">
              <w:rPr>
                <w:sz w:val="24"/>
              </w:rPr>
              <w:t xml:space="preserve">community service which is a prime local government objective. </w:t>
            </w:r>
          </w:p>
        </w:tc>
      </w:tr>
    </w:tbl>
    <w:p w14:paraId="69C6600E" w14:textId="77777777" w:rsidR="00DB216D" w:rsidRPr="009F56C0" w:rsidRDefault="00DB216D" w:rsidP="00AC4C29">
      <w:pPr>
        <w:pStyle w:val="Heading4"/>
      </w:pPr>
      <w:r w:rsidRPr="009F56C0">
        <w:t>Fair value of resident constructed crossovers</w:t>
      </w:r>
    </w:p>
    <w:p w14:paraId="7A5FFAA2" w14:textId="77777777" w:rsidR="00DB216D" w:rsidRPr="009F56C0" w:rsidRDefault="00DB216D" w:rsidP="00D70B5C">
      <w:pPr>
        <w:pStyle w:val="BodyText"/>
      </w:pPr>
      <w:r w:rsidRPr="009F56C0">
        <w:t>AASB 116 Property, Plant and Equipment (2022)</w:t>
      </w:r>
      <w:r w:rsidRPr="009F56C0">
        <w:rPr>
          <w:color w:val="000000"/>
        </w:rPr>
        <w:t xml:space="preserve"> </w:t>
      </w:r>
      <w:r w:rsidRPr="009F56C0">
        <w:t>states regarding measuring an asset’s value at recognition:</w:t>
      </w:r>
    </w:p>
    <w:tbl>
      <w:tblPr>
        <w:tblStyle w:val="TableGrid"/>
        <w:tblW w:w="9639" w:type="dxa"/>
        <w:tblLook w:val="04A0" w:firstRow="1" w:lastRow="0" w:firstColumn="1" w:lastColumn="0" w:noHBand="0" w:noVBand="1"/>
      </w:tblPr>
      <w:tblGrid>
        <w:gridCol w:w="9639"/>
      </w:tblGrid>
      <w:tr w:rsidR="00DB216D" w:rsidRPr="009F56C0" w14:paraId="77645C01" w14:textId="77777777" w:rsidTr="00DC3BDF">
        <w:trPr>
          <w:tblHeader/>
        </w:trPr>
        <w:tc>
          <w:tcPr>
            <w:tcW w:w="9072" w:type="dxa"/>
            <w:shd w:val="clear" w:color="auto" w:fill="F2F2F2" w:themeFill="background1" w:themeFillShade="F2"/>
          </w:tcPr>
          <w:p w14:paraId="4F1F1B3A" w14:textId="77777777" w:rsidR="00DB216D" w:rsidRPr="00971B0A" w:rsidRDefault="00DB216D" w:rsidP="00572D06">
            <w:pPr>
              <w:pStyle w:val="TableContent"/>
              <w:rPr>
                <w:b/>
                <w:bCs/>
                <w:sz w:val="24"/>
              </w:rPr>
            </w:pPr>
            <w:r w:rsidRPr="00971B0A">
              <w:rPr>
                <w:b/>
                <w:bCs/>
                <w:sz w:val="24"/>
              </w:rPr>
              <w:t>(AASB 2022: 7)</w:t>
            </w:r>
          </w:p>
        </w:tc>
      </w:tr>
      <w:tr w:rsidR="00DB216D" w:rsidRPr="009F56C0" w14:paraId="74CA8A91" w14:textId="77777777" w:rsidTr="00DC3BDF">
        <w:tc>
          <w:tcPr>
            <w:tcW w:w="9072" w:type="dxa"/>
            <w:tcBorders>
              <w:bottom w:val="single" w:sz="4" w:space="0" w:color="auto"/>
            </w:tcBorders>
          </w:tcPr>
          <w:p w14:paraId="602A8DB2" w14:textId="765717F7" w:rsidR="00DB216D" w:rsidRPr="00B8003E" w:rsidRDefault="00DB216D" w:rsidP="00397D36">
            <w:pPr>
              <w:pStyle w:val="TableContent"/>
              <w:ind w:left="397" w:hanging="397"/>
              <w:rPr>
                <w:sz w:val="24"/>
              </w:rPr>
            </w:pPr>
            <w:r w:rsidRPr="00B8003E">
              <w:rPr>
                <w:i/>
                <w:iCs/>
                <w:sz w:val="24"/>
              </w:rPr>
              <w:t>‘</w:t>
            </w:r>
            <w:r w:rsidRPr="00B8003E">
              <w:rPr>
                <w:sz w:val="24"/>
              </w:rPr>
              <w:t xml:space="preserve">15 An item of property, plant and equipment that qualifies for recognition as an asset shall be measured at its cost. </w:t>
            </w:r>
          </w:p>
          <w:p w14:paraId="5B8ABEE7" w14:textId="5CF90F29" w:rsidR="00DB216D" w:rsidRPr="00572D06" w:rsidRDefault="00DB216D" w:rsidP="007555F0">
            <w:pPr>
              <w:pStyle w:val="TableContent"/>
              <w:ind w:left="1021" w:hanging="1021"/>
              <w:rPr>
                <w:i/>
                <w:iCs/>
                <w:sz w:val="24"/>
              </w:rPr>
            </w:pPr>
            <w:r w:rsidRPr="00B8003E">
              <w:rPr>
                <w:sz w:val="24"/>
              </w:rPr>
              <w:t>Aus15.1 Notwithstanding paragraph 15, not-for-profit entities shall initially measure the cost of an item of property, plant and equipment at fair value in accordance with AASB 13 Fair Value Measurement where the consideration for the asset is significantly less than fair value principally to enable the entity to further its objectives. AASB 1058 Income of Not-for-Profit Entities addresses the recognition of related amounts.’</w:t>
            </w:r>
          </w:p>
        </w:tc>
      </w:tr>
      <w:tr w:rsidR="00DB216D" w:rsidRPr="009F56C0" w14:paraId="4E703F92" w14:textId="77777777" w:rsidTr="00DC3BDF">
        <w:tc>
          <w:tcPr>
            <w:tcW w:w="9072" w:type="dxa"/>
            <w:shd w:val="clear" w:color="auto" w:fill="F2F2F2" w:themeFill="background1" w:themeFillShade="F2"/>
          </w:tcPr>
          <w:p w14:paraId="1932D709" w14:textId="77777777" w:rsidR="00DB216D" w:rsidRPr="00386307" w:rsidRDefault="00DB216D" w:rsidP="00572D06">
            <w:pPr>
              <w:pStyle w:val="TableContent"/>
              <w:rPr>
                <w:b/>
                <w:bCs/>
                <w:color w:val="auto"/>
                <w:sz w:val="24"/>
              </w:rPr>
            </w:pPr>
            <w:r w:rsidRPr="00386307">
              <w:rPr>
                <w:b/>
                <w:bCs/>
                <w:color w:val="auto"/>
                <w:sz w:val="24"/>
              </w:rPr>
              <w:t>Interpretation (AASB 2022: 7)</w:t>
            </w:r>
          </w:p>
        </w:tc>
      </w:tr>
      <w:tr w:rsidR="00DB216D" w:rsidRPr="009F56C0" w14:paraId="17344E13" w14:textId="77777777" w:rsidTr="00DC3BDF">
        <w:tc>
          <w:tcPr>
            <w:tcW w:w="9072" w:type="dxa"/>
          </w:tcPr>
          <w:p w14:paraId="4343B2EF" w14:textId="77777777" w:rsidR="00DB216D" w:rsidRPr="00572D06" w:rsidRDefault="00DB216D" w:rsidP="00572D06">
            <w:pPr>
              <w:pStyle w:val="TableContent"/>
              <w:rPr>
                <w:sz w:val="24"/>
              </w:rPr>
            </w:pPr>
            <w:r w:rsidRPr="00572D06">
              <w:rPr>
                <w:sz w:val="24"/>
              </w:rPr>
              <w:t>Local governments may contribute towards the cost of a crossover. However, residential landowners incur most of the cost for crossovers. Consequently, the local government’s contribution to the crossover’s value is significantly less than its fair value. Therefore, at recognition of a crossover asset, it should be valued at fair value in accordance with AASB 13 Fair Value Measurement (2022). It is suggested that the cost approach be used – current replacement cost.</w:t>
            </w:r>
          </w:p>
        </w:tc>
      </w:tr>
    </w:tbl>
    <w:p w14:paraId="4CA3DACF" w14:textId="77777777" w:rsidR="00DB216D" w:rsidRPr="009F56C0" w:rsidRDefault="00DB216D" w:rsidP="00D70B5C">
      <w:pPr>
        <w:pStyle w:val="BodyText"/>
      </w:pPr>
      <w:r w:rsidRPr="009F56C0">
        <w:t xml:space="preserve">Crossovers should be classified as infrastructure assets. </w:t>
      </w:r>
    </w:p>
    <w:p w14:paraId="2E9D8B8B" w14:textId="77777777" w:rsidR="00886419" w:rsidRDefault="00886419">
      <w:pPr>
        <w:spacing w:after="0" w:line="240" w:lineRule="auto"/>
        <w:rPr>
          <w:rFonts w:cs="Arial"/>
          <w:lang w:val="en-GB"/>
        </w:rPr>
      </w:pPr>
      <w:r>
        <w:br w:type="page"/>
      </w:r>
    </w:p>
    <w:p w14:paraId="7E365772" w14:textId="77777777" w:rsidR="003675A0" w:rsidRDefault="003675A0" w:rsidP="003675A0">
      <w:pPr>
        <w:pStyle w:val="Heading1"/>
        <w:rPr>
          <w:szCs w:val="42"/>
        </w:rPr>
      </w:pPr>
      <w:bookmarkStart w:id="148" w:name="_Toc170119002"/>
      <w:bookmarkStart w:id="149" w:name="_Toc207722768"/>
      <w:bookmarkStart w:id="150" w:name="_Toc223445100"/>
      <w:r w:rsidRPr="00DF513B">
        <w:rPr>
          <w:szCs w:val="42"/>
        </w:rPr>
        <w:lastRenderedPageBreak/>
        <w:t>Attachment C: Pro-forma RFQ specifications</w:t>
      </w:r>
      <w:bookmarkEnd w:id="148"/>
      <w:bookmarkEnd w:id="149"/>
      <w:bookmarkEnd w:id="150"/>
    </w:p>
    <w:p w14:paraId="40B6BBC6" w14:textId="77777777" w:rsidR="00EB57E0" w:rsidRDefault="00EB57E0" w:rsidP="00D70B5C">
      <w:pPr>
        <w:pStyle w:val="BodyText"/>
      </w:pPr>
    </w:p>
    <w:p w14:paraId="78536943" w14:textId="29801471" w:rsidR="000A33EA" w:rsidRDefault="4C619BD0" w:rsidP="00EB57E0">
      <w:pPr>
        <w:pStyle w:val="BlockText"/>
        <w:rPr>
          <w:b/>
          <w:bCs/>
        </w:rPr>
      </w:pPr>
      <w:r w:rsidRPr="04E1CD47">
        <w:rPr>
          <w:b/>
          <w:bCs/>
        </w:rPr>
        <w:t xml:space="preserve">Attachment C provides guidance </w:t>
      </w:r>
      <w:r w:rsidR="0DAB777A" w:rsidRPr="04E1CD47">
        <w:rPr>
          <w:b/>
          <w:bCs/>
        </w:rPr>
        <w:t>for</w:t>
      </w:r>
      <w:r w:rsidRPr="04E1CD47">
        <w:rPr>
          <w:b/>
          <w:bCs/>
        </w:rPr>
        <w:t xml:space="preserve"> the appointment of </w:t>
      </w:r>
      <w:r w:rsidR="32D915EF" w:rsidRPr="04E1CD47">
        <w:rPr>
          <w:b/>
          <w:bCs/>
        </w:rPr>
        <w:t xml:space="preserve">external valuers. </w:t>
      </w:r>
    </w:p>
    <w:p w14:paraId="03251ACC" w14:textId="121E0530" w:rsidR="00EB57E0" w:rsidRDefault="4E4C1B3F" w:rsidP="00EB57E0">
      <w:pPr>
        <w:pStyle w:val="BlockText"/>
      </w:pPr>
      <w:r w:rsidRPr="04E1CD47">
        <w:rPr>
          <w:b/>
          <w:bCs/>
        </w:rPr>
        <w:t>Attachment C applies across all Australian jurisdictions</w:t>
      </w:r>
      <w:r w:rsidR="3794B5EA" w:rsidRPr="04E1CD47">
        <w:rPr>
          <w:b/>
          <w:bCs/>
        </w:rPr>
        <w:t xml:space="preserve"> but</w:t>
      </w:r>
      <w:r>
        <w:t>.</w:t>
      </w:r>
      <w:r w:rsidRPr="04E1CD47">
        <w:rPr>
          <w:b/>
          <w:bCs/>
        </w:rPr>
        <w:t xml:space="preserve"> does not consider jurisdictional legislation which may overrule the guidance it provides. </w:t>
      </w:r>
      <w:r w:rsidR="2E344E5E" w:rsidRPr="04E1CD47">
        <w:rPr>
          <w:b/>
          <w:bCs/>
        </w:rPr>
        <w:t>If</w:t>
      </w:r>
      <w:r w:rsidRPr="04E1CD47">
        <w:rPr>
          <w:b/>
          <w:bCs/>
        </w:rPr>
        <w:t xml:space="preserve"> a conflict arises between jurisdictional legislation and the guidance provided in Attachment C, the jurisdictional legislation may take precedence.</w:t>
      </w:r>
    </w:p>
    <w:p w14:paraId="600A8F41" w14:textId="58D67389" w:rsidR="003675A0" w:rsidRPr="00DF513B" w:rsidRDefault="36C68F44" w:rsidP="00D70B5C">
      <w:pPr>
        <w:pStyle w:val="BodyText"/>
      </w:pPr>
      <w:r>
        <w:t xml:space="preserve">This attachment includes </w:t>
      </w:r>
      <w:r w:rsidR="12DBE10A">
        <w:t>two</w:t>
      </w:r>
      <w:r w:rsidR="4D888740">
        <w:t xml:space="preserve"> </w:t>
      </w:r>
      <w:r>
        <w:t>alternative pro-forma tender specifications.</w:t>
      </w:r>
    </w:p>
    <w:p w14:paraId="1026AB80" w14:textId="075F7614" w:rsidR="003675A0" w:rsidRPr="00DF513B" w:rsidRDefault="36C68F44" w:rsidP="00D70B5C">
      <w:pPr>
        <w:pStyle w:val="BodyText"/>
      </w:pPr>
      <w:r>
        <w:t>They include</w:t>
      </w:r>
      <w:r w:rsidR="55A962F2">
        <w:t>:</w:t>
      </w:r>
    </w:p>
    <w:p w14:paraId="368DFCC8" w14:textId="229F2519" w:rsidR="003675A0" w:rsidRPr="00DF513B" w:rsidRDefault="35C31C52">
      <w:pPr>
        <w:pStyle w:val="BodyText"/>
        <w:numPr>
          <w:ilvl w:val="0"/>
          <w:numId w:val="126"/>
        </w:numPr>
      </w:pPr>
      <w:r>
        <w:t>O</w:t>
      </w:r>
      <w:r w:rsidR="36C68F44">
        <w:t>ption 1: Valuation delivered by external valuers</w:t>
      </w:r>
      <w:r w:rsidR="00B8003E">
        <w:t>.</w:t>
      </w:r>
    </w:p>
    <w:p w14:paraId="00274FBD" w14:textId="4BA6D232" w:rsidR="003675A0" w:rsidRPr="00DF513B" w:rsidRDefault="2D9A8B8A">
      <w:pPr>
        <w:pStyle w:val="BodyText"/>
        <w:numPr>
          <w:ilvl w:val="0"/>
          <w:numId w:val="126"/>
        </w:numPr>
      </w:pPr>
      <w:r>
        <w:t>O</w:t>
      </w:r>
      <w:r w:rsidR="36C68F44">
        <w:t>ption 2: Collaborative approach to build the local government</w:t>
      </w:r>
      <w:r w:rsidR="360089A7">
        <w:t>’s internal capability to</w:t>
      </w:r>
      <w:r w:rsidR="36C68F44">
        <w:t xml:space="preserve"> undertake their own valuations in</w:t>
      </w:r>
      <w:r w:rsidR="46218503">
        <w:t xml:space="preserve"> the</w:t>
      </w:r>
      <w:r w:rsidR="36C68F44">
        <w:t xml:space="preserve"> future.</w:t>
      </w:r>
    </w:p>
    <w:p w14:paraId="7F2AB948" w14:textId="2D54A832" w:rsidR="003675A0" w:rsidRPr="00DF513B" w:rsidRDefault="003675A0" w:rsidP="00D70B5C">
      <w:pPr>
        <w:pStyle w:val="BodyText"/>
      </w:pPr>
      <w:r w:rsidRPr="00DF513B">
        <w:t xml:space="preserve">Before selecting an appropriate approach, consideration should be given to </w:t>
      </w:r>
      <w:r w:rsidR="00B8003E">
        <w:t xml:space="preserve">a </w:t>
      </w:r>
      <w:r w:rsidRPr="00DF513B">
        <w:t>local government’s own internal capability, needs and strategic desires.</w:t>
      </w:r>
    </w:p>
    <w:p w14:paraId="25130522" w14:textId="77777777" w:rsidR="003675A0" w:rsidRPr="00FA1558" w:rsidRDefault="003675A0" w:rsidP="003675A0">
      <w:pPr>
        <w:ind w:right="-20"/>
        <w:rPr>
          <w:rFonts w:cs="Arial"/>
          <w:b/>
          <w:bCs/>
          <w:color w:val="231F20"/>
          <w:spacing w:val="1"/>
          <w:w w:val="97"/>
        </w:rPr>
      </w:pPr>
      <w:r w:rsidRPr="00FA1558">
        <w:rPr>
          <w:rFonts w:cs="Arial"/>
          <w:color w:val="231F20"/>
          <w:spacing w:val="5"/>
        </w:rPr>
        <w:br w:type="page"/>
      </w:r>
    </w:p>
    <w:p w14:paraId="65B8A285" w14:textId="77777777" w:rsidR="003675A0" w:rsidRPr="00DF513B" w:rsidRDefault="36C68F44" w:rsidP="003675A0">
      <w:pPr>
        <w:pStyle w:val="Heading2"/>
        <w:rPr>
          <w:b w:val="0"/>
          <w:bCs w:val="0"/>
        </w:rPr>
      </w:pPr>
      <w:bookmarkStart w:id="151" w:name="_Toc170119003"/>
      <w:bookmarkStart w:id="152" w:name="_Toc207722769"/>
      <w:bookmarkStart w:id="153" w:name="_Toc223445101"/>
      <w:r>
        <w:lastRenderedPageBreak/>
        <w:t>Option 1: Valuation delivered by external valuers</w:t>
      </w:r>
      <w:bookmarkEnd w:id="151"/>
      <w:bookmarkEnd w:id="152"/>
      <w:bookmarkEnd w:id="153"/>
    </w:p>
    <w:p w14:paraId="773FB8DB" w14:textId="77777777" w:rsidR="003675A0" w:rsidRDefault="003675A0" w:rsidP="003675A0">
      <w:pPr>
        <w:spacing w:before="29" w:after="0"/>
        <w:ind w:left="107" w:right="-79"/>
        <w:rPr>
          <w:rFonts w:cs="Arial"/>
          <w:b/>
          <w:bCs/>
          <w:color w:val="231F20"/>
          <w:spacing w:val="5"/>
        </w:rPr>
      </w:pPr>
    </w:p>
    <w:p w14:paraId="62A3A304" w14:textId="77777777" w:rsidR="003675A0" w:rsidRPr="00FA1558" w:rsidRDefault="003675A0" w:rsidP="003675A0">
      <w:pPr>
        <w:spacing w:before="29" w:after="0"/>
        <w:ind w:left="107" w:right="-79"/>
        <w:rPr>
          <w:rFonts w:cs="Arial"/>
          <w:b/>
          <w:bCs/>
          <w:color w:val="231F20"/>
          <w:spacing w:val="5"/>
        </w:rPr>
      </w:pPr>
    </w:p>
    <w:p w14:paraId="3AB1BB3A" w14:textId="77777777" w:rsidR="003675A0" w:rsidRPr="00FA1558" w:rsidRDefault="003675A0" w:rsidP="003675A0">
      <w:pPr>
        <w:spacing w:before="29" w:after="0"/>
        <w:ind w:left="107" w:right="-79"/>
        <w:rPr>
          <w:rFonts w:cs="Arial"/>
          <w:b/>
          <w:bCs/>
          <w:color w:val="231F20"/>
          <w:spacing w:val="5"/>
        </w:rPr>
      </w:pPr>
    </w:p>
    <w:p w14:paraId="4F6873B1" w14:textId="77777777" w:rsidR="003675A0" w:rsidRPr="00FA1558" w:rsidRDefault="003675A0" w:rsidP="003675A0">
      <w:pPr>
        <w:spacing w:before="29" w:after="0"/>
        <w:ind w:left="107" w:right="-79"/>
        <w:rPr>
          <w:rFonts w:cs="Arial"/>
        </w:rPr>
      </w:pPr>
      <w:r w:rsidRPr="00FA1558">
        <w:rPr>
          <w:rFonts w:cs="Arial"/>
          <w:b/>
          <w:bCs/>
          <w:noProof/>
          <w:color w:val="231F20"/>
          <w:spacing w:val="1"/>
        </w:rPr>
        <mc:AlternateContent>
          <mc:Choice Requires="wps">
            <w:drawing>
              <wp:anchor distT="0" distB="0" distL="114300" distR="114300" simplePos="0" relativeHeight="251658240" behindDoc="0" locked="0" layoutInCell="1" allowOverlap="1" wp14:anchorId="10026133" wp14:editId="46579561">
                <wp:simplePos x="0" y="0"/>
                <wp:positionH relativeFrom="column">
                  <wp:posOffset>781050</wp:posOffset>
                </wp:positionH>
                <wp:positionV relativeFrom="paragraph">
                  <wp:posOffset>35560</wp:posOffset>
                </wp:positionV>
                <wp:extent cx="3752850" cy="1971675"/>
                <wp:effectExtent l="0" t="0" r="19050" b="28575"/>
                <wp:wrapNone/>
                <wp:docPr id="184661411" name="Text Box 184661411"/>
                <wp:cNvGraphicFramePr/>
                <a:graphic xmlns:a="http://schemas.openxmlformats.org/drawingml/2006/main">
                  <a:graphicData uri="http://schemas.microsoft.com/office/word/2010/wordprocessingShape">
                    <wps:wsp>
                      <wps:cNvSpPr txBox="1"/>
                      <wps:spPr>
                        <a:xfrm>
                          <a:off x="0" y="0"/>
                          <a:ext cx="3752850" cy="1971675"/>
                        </a:xfrm>
                        <a:prstGeom prst="rect">
                          <a:avLst/>
                        </a:prstGeom>
                        <a:solidFill>
                          <a:schemeClr val="lt1"/>
                        </a:solidFill>
                        <a:ln w="6350">
                          <a:solidFill>
                            <a:prstClr val="black"/>
                          </a:solidFill>
                        </a:ln>
                      </wps:spPr>
                      <wps:txbx>
                        <w:txbxContent>
                          <w:p w14:paraId="79FCA258" w14:textId="77777777" w:rsidR="003675A0" w:rsidRPr="00061244" w:rsidRDefault="003675A0" w:rsidP="00061244">
                            <w:pPr>
                              <w:pStyle w:val="TableContent"/>
                              <w:rPr>
                                <w:sz w:val="40"/>
                                <w:szCs w:val="40"/>
                              </w:rPr>
                            </w:pPr>
                            <w:r w:rsidRPr="00061244">
                              <w:rPr>
                                <w:sz w:val="40"/>
                                <w:szCs w:val="40"/>
                              </w:rPr>
                              <w:t>Insert local government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26133" id="Text Box 184661411" o:spid="_x0000_s1057" type="#_x0000_t202" style="position:absolute;left:0;text-align:left;margin-left:61.5pt;margin-top:2.8pt;width:295.5pt;height:15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" fillcolor="white [3201]" strokeweight=".5pt">
                <v:textbox>
                  <w:txbxContent>
                    <w:p w14:paraId="79FCA258" w14:textId="77777777" w:rsidR="003675A0" w:rsidRPr="00061244" w:rsidRDefault="003675A0" w:rsidP="00061244">
                      <w:pPr>
                        <w:pStyle w:val="TableContent"/>
                        <w:rPr>
                          <w:sz w:val="40"/>
                          <w:szCs w:val="40"/>
                        </w:rPr>
                      </w:pPr>
                      <w:r w:rsidRPr="00061244">
                        <w:rPr>
                          <w:sz w:val="40"/>
                          <w:szCs w:val="40"/>
                        </w:rPr>
                        <w:t>Insert local government logo</w:t>
                      </w:r>
                    </w:p>
                  </w:txbxContent>
                </v:textbox>
              </v:shape>
            </w:pict>
          </mc:Fallback>
        </mc:AlternateContent>
      </w:r>
    </w:p>
    <w:p w14:paraId="752B1C0C" w14:textId="77777777" w:rsidR="003675A0" w:rsidRPr="00FA1558" w:rsidRDefault="003675A0" w:rsidP="003675A0">
      <w:pPr>
        <w:spacing w:after="0"/>
        <w:ind w:left="107" w:right="-20"/>
        <w:rPr>
          <w:rFonts w:cs="Arial"/>
          <w:b/>
          <w:bCs/>
          <w:color w:val="231F20"/>
          <w:spacing w:val="1"/>
          <w:w w:val="97"/>
        </w:rPr>
      </w:pPr>
    </w:p>
    <w:p w14:paraId="11DFF4E5" w14:textId="77777777" w:rsidR="003675A0" w:rsidRPr="00FA1558" w:rsidRDefault="003675A0" w:rsidP="003675A0">
      <w:pPr>
        <w:spacing w:after="0"/>
        <w:ind w:left="107" w:right="-20"/>
        <w:rPr>
          <w:rFonts w:cs="Arial"/>
          <w:b/>
          <w:bCs/>
          <w:color w:val="231F20"/>
          <w:spacing w:val="1"/>
          <w:w w:val="97"/>
        </w:rPr>
      </w:pPr>
    </w:p>
    <w:p w14:paraId="57C2A478" w14:textId="77777777" w:rsidR="003675A0" w:rsidRPr="00FA1558" w:rsidRDefault="003675A0" w:rsidP="003675A0">
      <w:pPr>
        <w:spacing w:after="0"/>
        <w:ind w:left="107" w:right="-20"/>
        <w:rPr>
          <w:rFonts w:cs="Arial"/>
          <w:b/>
          <w:bCs/>
          <w:color w:val="231F20"/>
          <w:spacing w:val="1"/>
          <w:w w:val="97"/>
          <w:highlight w:val="yellow"/>
        </w:rPr>
      </w:pPr>
    </w:p>
    <w:p w14:paraId="612C8109" w14:textId="77777777" w:rsidR="003675A0" w:rsidRPr="00FA1558" w:rsidRDefault="003675A0" w:rsidP="003675A0">
      <w:pPr>
        <w:spacing w:after="0"/>
        <w:ind w:left="107" w:right="-20"/>
        <w:rPr>
          <w:rFonts w:cs="Arial"/>
          <w:b/>
          <w:bCs/>
          <w:color w:val="231F20"/>
          <w:spacing w:val="1"/>
          <w:w w:val="97"/>
          <w:highlight w:val="yellow"/>
        </w:rPr>
      </w:pPr>
    </w:p>
    <w:p w14:paraId="035F1043" w14:textId="77777777" w:rsidR="003675A0" w:rsidRPr="00FA1558" w:rsidRDefault="003675A0" w:rsidP="003675A0">
      <w:pPr>
        <w:spacing w:after="0"/>
        <w:ind w:left="107" w:right="-20"/>
        <w:rPr>
          <w:rFonts w:cs="Arial"/>
          <w:b/>
          <w:bCs/>
          <w:color w:val="231F20"/>
          <w:spacing w:val="1"/>
          <w:w w:val="97"/>
          <w:highlight w:val="yellow"/>
        </w:rPr>
      </w:pPr>
    </w:p>
    <w:p w14:paraId="70FF9395" w14:textId="77777777" w:rsidR="003675A0" w:rsidRPr="00FA1558" w:rsidRDefault="003675A0" w:rsidP="003675A0">
      <w:pPr>
        <w:spacing w:after="0"/>
        <w:ind w:left="107" w:right="-20"/>
        <w:rPr>
          <w:rFonts w:cs="Arial"/>
          <w:b/>
          <w:bCs/>
          <w:color w:val="231F20"/>
          <w:spacing w:val="1"/>
          <w:w w:val="97"/>
          <w:highlight w:val="yellow"/>
        </w:rPr>
      </w:pPr>
    </w:p>
    <w:p w14:paraId="17CDB2A4" w14:textId="77777777" w:rsidR="003675A0" w:rsidRPr="00FA1558" w:rsidRDefault="003675A0" w:rsidP="003675A0">
      <w:pPr>
        <w:spacing w:after="0"/>
        <w:ind w:left="107" w:right="-20"/>
        <w:rPr>
          <w:rFonts w:cs="Arial"/>
          <w:b/>
          <w:bCs/>
          <w:color w:val="231F20"/>
          <w:spacing w:val="1"/>
          <w:w w:val="97"/>
          <w:highlight w:val="yellow"/>
        </w:rPr>
      </w:pPr>
    </w:p>
    <w:p w14:paraId="494B0CA1" w14:textId="77777777" w:rsidR="003675A0" w:rsidRPr="00FA1558" w:rsidRDefault="003675A0" w:rsidP="003675A0">
      <w:pPr>
        <w:spacing w:after="0"/>
        <w:ind w:left="107" w:right="-20"/>
        <w:rPr>
          <w:rFonts w:cs="Arial"/>
          <w:b/>
          <w:bCs/>
          <w:color w:val="231F20"/>
          <w:spacing w:val="1"/>
          <w:w w:val="97"/>
          <w:highlight w:val="yellow"/>
        </w:rPr>
      </w:pPr>
    </w:p>
    <w:p w14:paraId="5F30482A" w14:textId="77777777" w:rsidR="003675A0" w:rsidRPr="00FA1558" w:rsidRDefault="003675A0" w:rsidP="003675A0">
      <w:pPr>
        <w:spacing w:after="0"/>
        <w:ind w:left="107" w:right="-20"/>
        <w:rPr>
          <w:rFonts w:cs="Arial"/>
          <w:b/>
          <w:bCs/>
          <w:color w:val="231F20"/>
          <w:spacing w:val="1"/>
          <w:w w:val="97"/>
          <w:highlight w:val="yellow"/>
        </w:rPr>
      </w:pPr>
    </w:p>
    <w:p w14:paraId="5A4D5EA1" w14:textId="77777777" w:rsidR="003675A0" w:rsidRPr="00FA1558" w:rsidRDefault="003675A0" w:rsidP="003675A0">
      <w:pPr>
        <w:spacing w:after="0"/>
        <w:ind w:left="107" w:right="-20"/>
        <w:rPr>
          <w:rFonts w:cs="Arial"/>
          <w:b/>
          <w:bCs/>
          <w:color w:val="231F20"/>
          <w:spacing w:val="1"/>
          <w:w w:val="97"/>
          <w:highlight w:val="yellow"/>
        </w:rPr>
      </w:pPr>
    </w:p>
    <w:p w14:paraId="65342B7D" w14:textId="77777777" w:rsidR="003675A0" w:rsidRPr="00FA1558" w:rsidRDefault="003675A0" w:rsidP="003675A0">
      <w:pPr>
        <w:spacing w:after="0"/>
        <w:ind w:left="107" w:right="-20"/>
        <w:rPr>
          <w:rFonts w:cs="Arial"/>
          <w:b/>
          <w:bCs/>
          <w:color w:val="231F20"/>
          <w:spacing w:val="1"/>
          <w:w w:val="97"/>
          <w:highlight w:val="yellow"/>
        </w:rPr>
      </w:pPr>
    </w:p>
    <w:p w14:paraId="1D7554EC" w14:textId="77777777" w:rsidR="003675A0" w:rsidRPr="00FA1558" w:rsidRDefault="003675A0" w:rsidP="003675A0">
      <w:pPr>
        <w:spacing w:after="0"/>
        <w:ind w:left="107" w:right="-20"/>
        <w:rPr>
          <w:rFonts w:cs="Arial"/>
          <w:b/>
          <w:bCs/>
          <w:color w:val="231F20"/>
          <w:spacing w:val="1"/>
          <w:w w:val="97"/>
          <w:highlight w:val="yellow"/>
        </w:rPr>
      </w:pPr>
    </w:p>
    <w:p w14:paraId="39479489" w14:textId="59DAAA78" w:rsidR="003675A0" w:rsidRPr="00D71E5A" w:rsidRDefault="003675A0" w:rsidP="00D71E5A">
      <w:pPr>
        <w:pStyle w:val="TableContent"/>
        <w:rPr>
          <w:color w:val="231F20"/>
          <w:spacing w:val="3"/>
        </w:rPr>
      </w:pPr>
      <w:r w:rsidRPr="00D71E5A">
        <w:rPr>
          <w:color w:val="231F20"/>
          <w:spacing w:val="3"/>
        </w:rPr>
        <w:t xml:space="preserve">Request for </w:t>
      </w:r>
      <w:r w:rsidR="00E974AA" w:rsidRPr="00D71E5A">
        <w:rPr>
          <w:color w:val="231F20"/>
          <w:spacing w:val="3"/>
        </w:rPr>
        <w:t>q</w:t>
      </w:r>
      <w:r w:rsidRPr="00D71E5A">
        <w:rPr>
          <w:color w:val="231F20"/>
          <w:spacing w:val="3"/>
        </w:rPr>
        <w:t>uotation</w:t>
      </w:r>
    </w:p>
    <w:p w14:paraId="0A1A2B75" w14:textId="77777777" w:rsidR="003675A0" w:rsidRPr="00D71E5A" w:rsidRDefault="003675A0" w:rsidP="00D71E5A">
      <w:pPr>
        <w:pStyle w:val="TableContent"/>
        <w:rPr>
          <w:color w:val="231F20"/>
          <w:spacing w:val="3"/>
        </w:rPr>
      </w:pPr>
    </w:p>
    <w:p w14:paraId="2901D942" w14:textId="77777777" w:rsidR="003675A0" w:rsidRPr="00D71E5A" w:rsidRDefault="003675A0" w:rsidP="00D71E5A">
      <w:pPr>
        <w:pStyle w:val="TableContent"/>
        <w:rPr>
          <w:color w:val="231F20"/>
          <w:spacing w:val="3"/>
        </w:rPr>
      </w:pPr>
    </w:p>
    <w:p w14:paraId="46F883D4" w14:textId="77777777" w:rsidR="003675A0" w:rsidRPr="00D71E5A" w:rsidRDefault="003675A0" w:rsidP="00D71E5A">
      <w:pPr>
        <w:pStyle w:val="TableContent"/>
        <w:rPr>
          <w:color w:val="231F20"/>
          <w:spacing w:val="3"/>
        </w:rPr>
      </w:pPr>
      <w:r w:rsidRPr="00D71E5A">
        <w:rPr>
          <w:color w:val="231F20"/>
          <w:spacing w:val="3"/>
        </w:rPr>
        <w:t>[ Name of entity]</w:t>
      </w:r>
    </w:p>
    <w:p w14:paraId="46E64776" w14:textId="77777777" w:rsidR="003675A0" w:rsidRPr="00D71E5A" w:rsidRDefault="003675A0" w:rsidP="00D71E5A">
      <w:pPr>
        <w:pStyle w:val="TableContent"/>
        <w:rPr>
          <w:color w:val="231F20"/>
          <w:spacing w:val="3"/>
        </w:rPr>
      </w:pPr>
    </w:p>
    <w:p w14:paraId="0B5065D8" w14:textId="77777777" w:rsidR="003675A0" w:rsidRPr="00D71E5A" w:rsidRDefault="003675A0" w:rsidP="00D71E5A">
      <w:pPr>
        <w:pStyle w:val="TableContent"/>
        <w:rPr>
          <w:color w:val="231F20"/>
          <w:spacing w:val="3"/>
        </w:rPr>
      </w:pPr>
    </w:p>
    <w:p w14:paraId="265FB921" w14:textId="77777777" w:rsidR="003675A0" w:rsidRPr="00D71E5A" w:rsidRDefault="003675A0" w:rsidP="00D71E5A">
      <w:pPr>
        <w:pStyle w:val="TableContent"/>
        <w:rPr>
          <w:color w:val="231F20"/>
          <w:spacing w:val="3"/>
        </w:rPr>
      </w:pPr>
      <w:r w:rsidRPr="00D71E5A">
        <w:rPr>
          <w:color w:val="231F20"/>
          <w:spacing w:val="3"/>
        </w:rPr>
        <w:t>for</w:t>
      </w:r>
    </w:p>
    <w:p w14:paraId="414E0087" w14:textId="77777777" w:rsidR="003675A0" w:rsidRPr="00D71E5A" w:rsidRDefault="003675A0" w:rsidP="00D71E5A">
      <w:pPr>
        <w:pStyle w:val="TableContent"/>
        <w:rPr>
          <w:color w:val="231F20"/>
          <w:spacing w:val="3"/>
        </w:rPr>
      </w:pPr>
    </w:p>
    <w:p w14:paraId="68771734" w14:textId="77777777" w:rsidR="003675A0" w:rsidRPr="00D71E5A" w:rsidRDefault="003675A0" w:rsidP="00D71E5A">
      <w:pPr>
        <w:pStyle w:val="TableContent"/>
        <w:rPr>
          <w:color w:val="231F20"/>
          <w:spacing w:val="3"/>
        </w:rPr>
      </w:pPr>
      <w:r w:rsidRPr="00D71E5A">
        <w:rPr>
          <w:color w:val="231F20"/>
          <w:spacing w:val="3"/>
        </w:rPr>
        <w:t>Provision of asset valuation services</w:t>
      </w:r>
    </w:p>
    <w:p w14:paraId="3BC20FC4" w14:textId="77777777" w:rsidR="003675A0" w:rsidRPr="00DF513B" w:rsidRDefault="003675A0" w:rsidP="00D70B5C">
      <w:pPr>
        <w:pStyle w:val="BodyText"/>
      </w:pPr>
    </w:p>
    <w:p w14:paraId="1EE39EEF" w14:textId="77777777" w:rsidR="003675A0" w:rsidRPr="00DF513B" w:rsidRDefault="003675A0" w:rsidP="003675A0">
      <w:pPr>
        <w:spacing w:after="0"/>
        <w:ind w:left="107" w:right="-20"/>
        <w:rPr>
          <w:rFonts w:cs="Arial"/>
        </w:rPr>
      </w:pPr>
    </w:p>
    <w:tbl>
      <w:tblPr>
        <w:tblStyle w:val="TableGrid"/>
        <w:tblW w:w="9072" w:type="dxa"/>
        <w:tblInd w:w="107" w:type="dxa"/>
        <w:tblLook w:val="04A0" w:firstRow="1" w:lastRow="0" w:firstColumn="1" w:lastColumn="0" w:noHBand="0" w:noVBand="1"/>
      </w:tblPr>
      <w:tblGrid>
        <w:gridCol w:w="2268"/>
        <w:gridCol w:w="6804"/>
      </w:tblGrid>
      <w:tr w:rsidR="003675A0" w:rsidRPr="00DF513B" w14:paraId="5EEE5C54" w14:textId="77777777" w:rsidTr="004B7282">
        <w:tc>
          <w:tcPr>
            <w:tcW w:w="2268" w:type="dxa"/>
          </w:tcPr>
          <w:p w14:paraId="1D54EA4D" w14:textId="5CEC3A4D" w:rsidR="003675A0" w:rsidRPr="00D71E5A" w:rsidRDefault="003675A0" w:rsidP="004D4F85">
            <w:pPr>
              <w:pStyle w:val="TableContent"/>
              <w:rPr>
                <w:b/>
                <w:bCs/>
                <w:sz w:val="24"/>
              </w:rPr>
            </w:pPr>
            <w:r w:rsidRPr="00D71E5A">
              <w:rPr>
                <w:b/>
                <w:bCs/>
                <w:sz w:val="24"/>
              </w:rPr>
              <w:t xml:space="preserve">Name of </w:t>
            </w:r>
            <w:r w:rsidR="00E974AA" w:rsidRPr="00D71E5A">
              <w:rPr>
                <w:b/>
                <w:bCs/>
                <w:sz w:val="24"/>
              </w:rPr>
              <w:t>q</w:t>
            </w:r>
            <w:r w:rsidRPr="00D71E5A">
              <w:rPr>
                <w:b/>
                <w:bCs/>
                <w:sz w:val="24"/>
              </w:rPr>
              <w:t>uote/</w:t>
            </w:r>
            <w:r w:rsidR="00E974AA" w:rsidRPr="00D71E5A">
              <w:rPr>
                <w:b/>
                <w:bCs/>
                <w:sz w:val="24"/>
              </w:rPr>
              <w:t>t</w:t>
            </w:r>
            <w:r w:rsidRPr="00D71E5A">
              <w:rPr>
                <w:b/>
                <w:bCs/>
                <w:sz w:val="24"/>
              </w:rPr>
              <w:t>ender</w:t>
            </w:r>
          </w:p>
        </w:tc>
        <w:tc>
          <w:tcPr>
            <w:tcW w:w="6804" w:type="dxa"/>
          </w:tcPr>
          <w:p w14:paraId="5DAD5DA5" w14:textId="77777777" w:rsidR="003675A0" w:rsidRPr="00D71E5A" w:rsidRDefault="003675A0" w:rsidP="004D4F85">
            <w:pPr>
              <w:pStyle w:val="TableContent"/>
              <w:rPr>
                <w:color w:val="231F20"/>
                <w:spacing w:val="3"/>
                <w:sz w:val="24"/>
              </w:rPr>
            </w:pPr>
            <w:r w:rsidRPr="00D71E5A">
              <w:rPr>
                <w:color w:val="231F20"/>
                <w:spacing w:val="3"/>
                <w:sz w:val="24"/>
              </w:rPr>
              <w:t>[Provision of asset valuation services]</w:t>
            </w:r>
          </w:p>
        </w:tc>
      </w:tr>
      <w:tr w:rsidR="003675A0" w:rsidRPr="00DF513B" w14:paraId="2E5F6A5E" w14:textId="77777777" w:rsidTr="004B7282">
        <w:tc>
          <w:tcPr>
            <w:tcW w:w="2268" w:type="dxa"/>
          </w:tcPr>
          <w:p w14:paraId="7958F71A" w14:textId="6D859488" w:rsidR="003675A0" w:rsidRPr="00D71E5A" w:rsidRDefault="003675A0" w:rsidP="004D4F85">
            <w:pPr>
              <w:pStyle w:val="TableContent"/>
              <w:rPr>
                <w:b/>
                <w:bCs/>
                <w:sz w:val="24"/>
              </w:rPr>
            </w:pPr>
            <w:r w:rsidRPr="00D71E5A">
              <w:rPr>
                <w:b/>
                <w:bCs/>
                <w:sz w:val="24"/>
              </w:rPr>
              <w:t xml:space="preserve">Closing </w:t>
            </w:r>
            <w:r w:rsidR="00E974AA" w:rsidRPr="00D71E5A">
              <w:rPr>
                <w:b/>
                <w:bCs/>
                <w:sz w:val="24"/>
              </w:rPr>
              <w:t>t</w:t>
            </w:r>
            <w:r w:rsidRPr="00D71E5A">
              <w:rPr>
                <w:b/>
                <w:bCs/>
                <w:sz w:val="24"/>
              </w:rPr>
              <w:t>ime</w:t>
            </w:r>
          </w:p>
        </w:tc>
        <w:tc>
          <w:tcPr>
            <w:tcW w:w="6804" w:type="dxa"/>
          </w:tcPr>
          <w:p w14:paraId="650C928F" w14:textId="77777777" w:rsidR="003675A0" w:rsidRPr="00D71E5A" w:rsidRDefault="003675A0" w:rsidP="004D4F85">
            <w:pPr>
              <w:pStyle w:val="TableContent"/>
              <w:rPr>
                <w:color w:val="231F20"/>
                <w:spacing w:val="3"/>
                <w:sz w:val="24"/>
              </w:rPr>
            </w:pPr>
            <w:r w:rsidRPr="00D71E5A">
              <w:rPr>
                <w:color w:val="231F20"/>
                <w:spacing w:val="3"/>
                <w:sz w:val="24"/>
              </w:rPr>
              <w:t>[Time and date of closing]</w:t>
            </w:r>
          </w:p>
        </w:tc>
      </w:tr>
      <w:tr w:rsidR="003675A0" w:rsidRPr="00DF513B" w14:paraId="5134670D" w14:textId="77777777" w:rsidTr="004B7282">
        <w:tc>
          <w:tcPr>
            <w:tcW w:w="2268" w:type="dxa"/>
          </w:tcPr>
          <w:p w14:paraId="1D8059A3" w14:textId="77777777" w:rsidR="003675A0" w:rsidRPr="00D71E5A" w:rsidRDefault="003675A0" w:rsidP="004D4F85">
            <w:pPr>
              <w:pStyle w:val="TableContent"/>
              <w:rPr>
                <w:b/>
                <w:bCs/>
                <w:sz w:val="24"/>
              </w:rPr>
            </w:pPr>
            <w:r w:rsidRPr="00D71E5A">
              <w:rPr>
                <w:b/>
                <w:bCs/>
                <w:sz w:val="24"/>
              </w:rPr>
              <w:t>Number</w:t>
            </w:r>
          </w:p>
        </w:tc>
        <w:tc>
          <w:tcPr>
            <w:tcW w:w="6804" w:type="dxa"/>
          </w:tcPr>
          <w:p w14:paraId="5FFB929C" w14:textId="77777777" w:rsidR="003675A0" w:rsidRPr="00D71E5A" w:rsidRDefault="003675A0" w:rsidP="004D4F85">
            <w:pPr>
              <w:pStyle w:val="TableContent"/>
              <w:rPr>
                <w:color w:val="231F20"/>
                <w:spacing w:val="3"/>
                <w:sz w:val="24"/>
              </w:rPr>
            </w:pPr>
            <w:r w:rsidRPr="00D71E5A">
              <w:rPr>
                <w:color w:val="231F20"/>
                <w:spacing w:val="3"/>
                <w:sz w:val="24"/>
              </w:rPr>
              <w:t>[Tender reference]</w:t>
            </w:r>
          </w:p>
        </w:tc>
      </w:tr>
    </w:tbl>
    <w:p w14:paraId="62624BA4" w14:textId="77777777" w:rsidR="003675A0" w:rsidRPr="00FA1558" w:rsidRDefault="003675A0" w:rsidP="003675A0">
      <w:pPr>
        <w:spacing w:after="0"/>
        <w:rPr>
          <w:rFonts w:cs="Arial"/>
          <w:b/>
          <w:bCs/>
          <w:color w:val="231F20"/>
        </w:rPr>
      </w:pPr>
      <w:r w:rsidRPr="00FA1558">
        <w:rPr>
          <w:rFonts w:cs="Arial"/>
          <w:b/>
          <w:bCs/>
          <w:color w:val="231F20"/>
        </w:rPr>
        <w:br w:type="page"/>
      </w:r>
    </w:p>
    <w:p w14:paraId="6FFCBE53" w14:textId="77777777" w:rsidR="003675A0" w:rsidRPr="000B0143" w:rsidRDefault="36C68F44" w:rsidP="00F97634">
      <w:pPr>
        <w:pStyle w:val="Heading4"/>
      </w:pPr>
      <w:r>
        <w:lastRenderedPageBreak/>
        <w:t>1 Quotation/tender details</w:t>
      </w:r>
    </w:p>
    <w:tbl>
      <w:tblPr>
        <w:tblStyle w:val="TableGrid"/>
        <w:tblW w:w="9639" w:type="dxa"/>
        <w:tblLook w:val="04A0" w:firstRow="1" w:lastRow="0" w:firstColumn="1" w:lastColumn="0" w:noHBand="0" w:noVBand="1"/>
      </w:tblPr>
      <w:tblGrid>
        <w:gridCol w:w="3012"/>
        <w:gridCol w:w="6627"/>
      </w:tblGrid>
      <w:tr w:rsidR="003675A0" w:rsidRPr="000B0143" w14:paraId="2142F206" w14:textId="77777777" w:rsidTr="004B7282">
        <w:tc>
          <w:tcPr>
            <w:tcW w:w="2835" w:type="dxa"/>
            <w:shd w:val="clear" w:color="auto" w:fill="F2F2F2" w:themeFill="background1" w:themeFillShade="F2"/>
          </w:tcPr>
          <w:p w14:paraId="4E1E57A2" w14:textId="77777777" w:rsidR="003675A0" w:rsidRPr="001D0837" w:rsidRDefault="003675A0" w:rsidP="004D4F85">
            <w:pPr>
              <w:pStyle w:val="TableContent"/>
              <w:rPr>
                <w:b/>
                <w:bCs/>
                <w:sz w:val="24"/>
              </w:rPr>
            </w:pPr>
            <w:r w:rsidRPr="001D0837">
              <w:rPr>
                <w:b/>
                <w:bCs/>
                <w:sz w:val="24"/>
              </w:rPr>
              <w:t>Item</w:t>
            </w:r>
          </w:p>
        </w:tc>
        <w:tc>
          <w:tcPr>
            <w:tcW w:w="6237" w:type="dxa"/>
            <w:shd w:val="clear" w:color="auto" w:fill="F2F2F2" w:themeFill="background1" w:themeFillShade="F2"/>
          </w:tcPr>
          <w:p w14:paraId="7D14C7D3" w14:textId="38A00936" w:rsidR="003675A0" w:rsidRPr="001D0837" w:rsidRDefault="003675A0" w:rsidP="004D4F85">
            <w:pPr>
              <w:pStyle w:val="TableContent"/>
              <w:rPr>
                <w:b/>
                <w:bCs/>
                <w:sz w:val="24"/>
              </w:rPr>
            </w:pPr>
            <w:r w:rsidRPr="001D0837">
              <w:rPr>
                <w:b/>
                <w:bCs/>
                <w:sz w:val="24"/>
              </w:rPr>
              <w:t xml:space="preserve">Title of </w:t>
            </w:r>
            <w:r w:rsidR="00E974AA">
              <w:rPr>
                <w:b/>
                <w:bCs/>
                <w:sz w:val="24"/>
              </w:rPr>
              <w:t>p</w:t>
            </w:r>
            <w:r w:rsidRPr="001D0837">
              <w:rPr>
                <w:b/>
                <w:bCs/>
                <w:sz w:val="24"/>
              </w:rPr>
              <w:t>roject</w:t>
            </w:r>
          </w:p>
        </w:tc>
      </w:tr>
      <w:tr w:rsidR="003675A0" w:rsidRPr="000B0143" w14:paraId="2E2E0AFB" w14:textId="77777777" w:rsidTr="004B7282">
        <w:tc>
          <w:tcPr>
            <w:tcW w:w="2835" w:type="dxa"/>
          </w:tcPr>
          <w:p w14:paraId="204B9A23" w14:textId="77777777" w:rsidR="003675A0" w:rsidRPr="001D0837" w:rsidRDefault="003675A0" w:rsidP="004D4F85">
            <w:pPr>
              <w:pStyle w:val="TableContent"/>
              <w:rPr>
                <w:b/>
                <w:bCs/>
                <w:sz w:val="24"/>
              </w:rPr>
            </w:pPr>
            <w:r w:rsidRPr="001D0837">
              <w:rPr>
                <w:b/>
                <w:bCs/>
                <w:sz w:val="24"/>
              </w:rPr>
              <w:t>Project manager</w:t>
            </w:r>
          </w:p>
        </w:tc>
        <w:tc>
          <w:tcPr>
            <w:tcW w:w="6237" w:type="dxa"/>
          </w:tcPr>
          <w:p w14:paraId="0F64EEE9" w14:textId="77777777" w:rsidR="003675A0" w:rsidRPr="00D71E5A" w:rsidRDefault="003675A0" w:rsidP="004D4F85">
            <w:pPr>
              <w:pStyle w:val="TableContent"/>
              <w:rPr>
                <w:color w:val="231F20"/>
                <w:spacing w:val="3"/>
                <w:sz w:val="24"/>
              </w:rPr>
            </w:pPr>
            <w:r w:rsidRPr="004D4F85">
              <w:rPr>
                <w:color w:val="231F20"/>
                <w:spacing w:val="3"/>
                <w:sz w:val="24"/>
              </w:rPr>
              <w:t>[Na</w:t>
            </w:r>
            <w:r w:rsidRPr="00D71E5A">
              <w:rPr>
                <w:color w:val="231F20"/>
                <w:spacing w:val="3"/>
                <w:sz w:val="24"/>
              </w:rPr>
              <w:t xml:space="preserve">me </w:t>
            </w:r>
            <w:r w:rsidRPr="004D4F85">
              <w:rPr>
                <w:color w:val="231F20"/>
                <w:spacing w:val="3"/>
                <w:sz w:val="24"/>
              </w:rPr>
              <w:t>a</w:t>
            </w:r>
            <w:r w:rsidRPr="00D71E5A">
              <w:rPr>
                <w:color w:val="231F20"/>
                <w:spacing w:val="3"/>
                <w:sz w:val="24"/>
              </w:rPr>
              <w:t xml:space="preserve">nd </w:t>
            </w:r>
            <w:r w:rsidRPr="004D4F85">
              <w:rPr>
                <w:color w:val="231F20"/>
                <w:spacing w:val="3"/>
                <w:sz w:val="24"/>
              </w:rPr>
              <w:t>c</w:t>
            </w:r>
            <w:r w:rsidRPr="00D71E5A">
              <w:rPr>
                <w:color w:val="231F20"/>
                <w:spacing w:val="3"/>
                <w:sz w:val="24"/>
              </w:rPr>
              <w:t>ontact num</w:t>
            </w:r>
            <w:r w:rsidRPr="004D4F85">
              <w:rPr>
                <w:color w:val="231F20"/>
                <w:spacing w:val="3"/>
                <w:sz w:val="24"/>
              </w:rPr>
              <w:t>ber</w:t>
            </w:r>
            <w:r w:rsidRPr="00D71E5A">
              <w:rPr>
                <w:color w:val="231F20"/>
                <w:spacing w:val="3"/>
                <w:sz w:val="24"/>
              </w:rPr>
              <w:t>s of project m</w:t>
            </w:r>
            <w:r w:rsidRPr="004D4F85">
              <w:rPr>
                <w:color w:val="231F20"/>
                <w:spacing w:val="3"/>
                <w:sz w:val="24"/>
              </w:rPr>
              <w:t>a</w:t>
            </w:r>
            <w:r w:rsidRPr="00D71E5A">
              <w:rPr>
                <w:color w:val="231F20"/>
                <w:spacing w:val="3"/>
                <w:sz w:val="24"/>
              </w:rPr>
              <w:t>na</w:t>
            </w:r>
            <w:r w:rsidRPr="004D4F85">
              <w:rPr>
                <w:color w:val="231F20"/>
                <w:spacing w:val="3"/>
                <w:sz w:val="24"/>
              </w:rPr>
              <w:t>ge</w:t>
            </w:r>
            <w:r w:rsidRPr="00D71E5A">
              <w:rPr>
                <w:color w:val="231F20"/>
                <w:spacing w:val="3"/>
                <w:sz w:val="24"/>
              </w:rPr>
              <w:t>r]</w:t>
            </w:r>
          </w:p>
        </w:tc>
      </w:tr>
      <w:tr w:rsidR="003675A0" w:rsidRPr="000B0143" w14:paraId="33FA9F78" w14:textId="77777777" w:rsidTr="004B7282">
        <w:tc>
          <w:tcPr>
            <w:tcW w:w="2835" w:type="dxa"/>
          </w:tcPr>
          <w:p w14:paraId="37680AB6" w14:textId="77777777" w:rsidR="003675A0" w:rsidRPr="001D0837" w:rsidRDefault="003675A0" w:rsidP="004D4F85">
            <w:pPr>
              <w:pStyle w:val="TableContent"/>
              <w:rPr>
                <w:b/>
                <w:bCs/>
                <w:sz w:val="24"/>
              </w:rPr>
            </w:pPr>
            <w:r w:rsidRPr="001D0837">
              <w:rPr>
                <w:b/>
                <w:bCs/>
                <w:color w:val="231F20"/>
                <w:spacing w:val="3"/>
                <w:sz w:val="24"/>
              </w:rPr>
              <w:t>Du</w:t>
            </w:r>
            <w:r w:rsidRPr="001D0837">
              <w:rPr>
                <w:b/>
                <w:bCs/>
                <w:color w:val="231F20"/>
                <w:sz w:val="24"/>
              </w:rPr>
              <w:t>e</w:t>
            </w:r>
            <w:r w:rsidRPr="001D0837">
              <w:rPr>
                <w:b/>
                <w:bCs/>
                <w:color w:val="231F20"/>
                <w:spacing w:val="-17"/>
                <w:sz w:val="24"/>
              </w:rPr>
              <w:t xml:space="preserve"> </w:t>
            </w:r>
            <w:r w:rsidRPr="001D0837">
              <w:rPr>
                <w:b/>
                <w:bCs/>
                <w:color w:val="231F20"/>
                <w:spacing w:val="2"/>
                <w:sz w:val="24"/>
              </w:rPr>
              <w:t>d</w:t>
            </w:r>
            <w:r w:rsidRPr="001D0837">
              <w:rPr>
                <w:b/>
                <w:bCs/>
                <w:color w:val="231F20"/>
                <w:spacing w:val="1"/>
                <w:sz w:val="24"/>
              </w:rPr>
              <w:t>a</w:t>
            </w:r>
            <w:r w:rsidRPr="001D0837">
              <w:rPr>
                <w:b/>
                <w:bCs/>
                <w:color w:val="231F20"/>
                <w:spacing w:val="-1"/>
                <w:sz w:val="24"/>
              </w:rPr>
              <w:t>t</w:t>
            </w:r>
            <w:r w:rsidRPr="001D0837">
              <w:rPr>
                <w:b/>
                <w:bCs/>
                <w:color w:val="231F20"/>
                <w:sz w:val="24"/>
              </w:rPr>
              <w:t>e</w:t>
            </w:r>
            <w:r w:rsidRPr="001D0837">
              <w:rPr>
                <w:b/>
                <w:bCs/>
                <w:color w:val="231F20"/>
                <w:spacing w:val="-7"/>
                <w:sz w:val="24"/>
              </w:rPr>
              <w:t xml:space="preserve"> </w:t>
            </w:r>
            <w:r w:rsidRPr="001D0837">
              <w:rPr>
                <w:b/>
                <w:bCs/>
                <w:color w:val="231F20"/>
                <w:spacing w:val="3"/>
                <w:sz w:val="24"/>
              </w:rPr>
              <w:t>a</w:t>
            </w:r>
            <w:r w:rsidRPr="001D0837">
              <w:rPr>
                <w:b/>
                <w:bCs/>
                <w:color w:val="231F20"/>
                <w:spacing w:val="2"/>
                <w:sz w:val="24"/>
              </w:rPr>
              <w:t>n</w:t>
            </w:r>
            <w:r w:rsidRPr="001D0837">
              <w:rPr>
                <w:b/>
                <w:bCs/>
                <w:color w:val="231F20"/>
                <w:sz w:val="24"/>
              </w:rPr>
              <w:t>d</w:t>
            </w:r>
            <w:r w:rsidRPr="001D0837">
              <w:rPr>
                <w:b/>
                <w:bCs/>
                <w:color w:val="231F20"/>
                <w:spacing w:val="-7"/>
                <w:sz w:val="24"/>
              </w:rPr>
              <w:t xml:space="preserve"> </w:t>
            </w:r>
            <w:r w:rsidRPr="001D0837">
              <w:rPr>
                <w:b/>
                <w:bCs/>
                <w:color w:val="231F20"/>
                <w:spacing w:val="1"/>
                <w:w w:val="106"/>
                <w:sz w:val="24"/>
              </w:rPr>
              <w:t>t</w:t>
            </w:r>
            <w:r w:rsidRPr="001D0837">
              <w:rPr>
                <w:b/>
                <w:bCs/>
                <w:color w:val="231F20"/>
                <w:spacing w:val="2"/>
                <w:w w:val="83"/>
                <w:sz w:val="24"/>
              </w:rPr>
              <w:t>i</w:t>
            </w:r>
            <w:r w:rsidRPr="001D0837">
              <w:rPr>
                <w:b/>
                <w:bCs/>
                <w:color w:val="231F20"/>
                <w:spacing w:val="2"/>
                <w:sz w:val="24"/>
              </w:rPr>
              <w:t>m</w:t>
            </w:r>
            <w:r w:rsidRPr="001D0837">
              <w:rPr>
                <w:b/>
                <w:bCs/>
                <w:color w:val="231F20"/>
                <w:w w:val="93"/>
                <w:sz w:val="24"/>
              </w:rPr>
              <w:t>e</w:t>
            </w:r>
          </w:p>
        </w:tc>
        <w:tc>
          <w:tcPr>
            <w:tcW w:w="6237" w:type="dxa"/>
          </w:tcPr>
          <w:p w14:paraId="2D6FC58E" w14:textId="77777777" w:rsidR="003675A0" w:rsidRPr="00D71E5A" w:rsidRDefault="003675A0" w:rsidP="004D4F85">
            <w:pPr>
              <w:pStyle w:val="TableContent"/>
              <w:rPr>
                <w:color w:val="231F20"/>
                <w:spacing w:val="3"/>
                <w:sz w:val="24"/>
              </w:rPr>
            </w:pPr>
            <w:r w:rsidRPr="00D71E5A">
              <w:rPr>
                <w:color w:val="231F20"/>
                <w:spacing w:val="3"/>
                <w:sz w:val="24"/>
              </w:rPr>
              <w:t xml:space="preserve">[Time </w:t>
            </w:r>
            <w:r w:rsidRPr="004D4F85">
              <w:rPr>
                <w:color w:val="231F20"/>
                <w:spacing w:val="3"/>
                <w:sz w:val="24"/>
              </w:rPr>
              <w:t>a</w:t>
            </w:r>
            <w:r w:rsidRPr="00D71E5A">
              <w:rPr>
                <w:color w:val="231F20"/>
                <w:spacing w:val="3"/>
                <w:sz w:val="24"/>
              </w:rPr>
              <w:t>nd date of closing]</w:t>
            </w:r>
          </w:p>
        </w:tc>
      </w:tr>
      <w:tr w:rsidR="003675A0" w:rsidRPr="000B0143" w14:paraId="1EE39C6E" w14:textId="77777777" w:rsidTr="004B7282">
        <w:tc>
          <w:tcPr>
            <w:tcW w:w="2835" w:type="dxa"/>
          </w:tcPr>
          <w:p w14:paraId="30C491FD" w14:textId="77777777" w:rsidR="003675A0" w:rsidRPr="001D0837" w:rsidRDefault="003675A0" w:rsidP="004D4F85">
            <w:pPr>
              <w:pStyle w:val="TableContent"/>
              <w:rPr>
                <w:b/>
                <w:bCs/>
                <w:sz w:val="24"/>
              </w:rPr>
            </w:pPr>
            <w:r w:rsidRPr="00D71E5A">
              <w:rPr>
                <w:b/>
                <w:bCs/>
                <w:color w:val="231F20"/>
                <w:sz w:val="24"/>
              </w:rPr>
              <w:t>Delivery addres</w:t>
            </w:r>
            <w:r w:rsidRPr="001D0837">
              <w:rPr>
                <w:b/>
                <w:bCs/>
                <w:color w:val="231F20"/>
                <w:sz w:val="24"/>
              </w:rPr>
              <w:t>s</w:t>
            </w:r>
          </w:p>
        </w:tc>
        <w:tc>
          <w:tcPr>
            <w:tcW w:w="6237" w:type="dxa"/>
          </w:tcPr>
          <w:p w14:paraId="0021771F" w14:textId="77777777" w:rsidR="003675A0" w:rsidRPr="00D71E5A" w:rsidRDefault="003675A0" w:rsidP="004D4F85">
            <w:pPr>
              <w:pStyle w:val="TableContent"/>
              <w:rPr>
                <w:color w:val="231F20"/>
                <w:spacing w:val="3"/>
                <w:sz w:val="24"/>
              </w:rPr>
            </w:pPr>
            <w:r w:rsidRPr="00D71E5A">
              <w:rPr>
                <w:color w:val="231F20"/>
                <w:spacing w:val="3"/>
                <w:sz w:val="24"/>
              </w:rPr>
              <w:t>[Addr</w:t>
            </w:r>
            <w:r w:rsidRPr="004D4F85">
              <w:rPr>
                <w:color w:val="231F20"/>
                <w:spacing w:val="3"/>
                <w:sz w:val="24"/>
              </w:rPr>
              <w:t>es</w:t>
            </w:r>
            <w:r w:rsidRPr="00D71E5A">
              <w:rPr>
                <w:color w:val="231F20"/>
                <w:spacing w:val="3"/>
                <w:sz w:val="24"/>
              </w:rPr>
              <w:t>s of t</w:t>
            </w:r>
            <w:r w:rsidRPr="004D4F85">
              <w:rPr>
                <w:color w:val="231F20"/>
                <w:spacing w:val="3"/>
                <w:sz w:val="24"/>
              </w:rPr>
              <w:t>e</w:t>
            </w:r>
            <w:r w:rsidRPr="00D71E5A">
              <w:rPr>
                <w:color w:val="231F20"/>
                <w:spacing w:val="3"/>
                <w:sz w:val="24"/>
              </w:rPr>
              <w:t>n</w:t>
            </w:r>
            <w:r w:rsidRPr="004D4F85">
              <w:rPr>
                <w:color w:val="231F20"/>
                <w:spacing w:val="3"/>
                <w:sz w:val="24"/>
              </w:rPr>
              <w:t>de</w:t>
            </w:r>
            <w:r w:rsidRPr="00D71E5A">
              <w:rPr>
                <w:color w:val="231F20"/>
                <w:spacing w:val="3"/>
                <w:sz w:val="24"/>
              </w:rPr>
              <w:t xml:space="preserve">r delivery </w:t>
            </w:r>
            <w:r w:rsidRPr="004D4F85">
              <w:rPr>
                <w:color w:val="231F20"/>
                <w:spacing w:val="3"/>
                <w:sz w:val="24"/>
              </w:rPr>
              <w:t>a</w:t>
            </w:r>
            <w:r w:rsidRPr="00D71E5A">
              <w:rPr>
                <w:color w:val="231F20"/>
                <w:spacing w:val="3"/>
                <w:sz w:val="24"/>
              </w:rPr>
              <w:t xml:space="preserve">nd </w:t>
            </w:r>
            <w:r w:rsidRPr="004D4F85">
              <w:rPr>
                <w:color w:val="231F20"/>
                <w:spacing w:val="3"/>
                <w:sz w:val="24"/>
              </w:rPr>
              <w:t>a</w:t>
            </w:r>
            <w:r w:rsidRPr="00D71E5A">
              <w:rPr>
                <w:color w:val="231F20"/>
                <w:spacing w:val="3"/>
                <w:sz w:val="24"/>
              </w:rPr>
              <w:t>ny special requirements, su</w:t>
            </w:r>
            <w:r w:rsidRPr="004D4F85">
              <w:rPr>
                <w:color w:val="231F20"/>
                <w:spacing w:val="3"/>
                <w:sz w:val="24"/>
              </w:rPr>
              <w:t>c</w:t>
            </w:r>
            <w:r w:rsidRPr="00D71E5A">
              <w:rPr>
                <w:color w:val="231F20"/>
                <w:spacing w:val="3"/>
                <w:sz w:val="24"/>
              </w:rPr>
              <w:t xml:space="preserve">h </w:t>
            </w:r>
            <w:r w:rsidRPr="004D4F85">
              <w:rPr>
                <w:color w:val="231F20"/>
                <w:spacing w:val="3"/>
                <w:sz w:val="24"/>
              </w:rPr>
              <w:t>a</w:t>
            </w:r>
            <w:r w:rsidRPr="00D71E5A">
              <w:rPr>
                <w:color w:val="231F20"/>
                <w:spacing w:val="3"/>
                <w:sz w:val="24"/>
              </w:rPr>
              <w:t>s electronic lodge</w:t>
            </w:r>
            <w:r w:rsidRPr="004D4F85">
              <w:rPr>
                <w:color w:val="231F20"/>
                <w:spacing w:val="3"/>
                <w:sz w:val="24"/>
              </w:rPr>
              <w:t>m</w:t>
            </w:r>
            <w:r w:rsidRPr="00D71E5A">
              <w:rPr>
                <w:color w:val="231F20"/>
                <w:spacing w:val="3"/>
                <w:sz w:val="24"/>
              </w:rPr>
              <w:t>ent only or m</w:t>
            </w:r>
            <w:r w:rsidRPr="004D4F85">
              <w:rPr>
                <w:color w:val="231F20"/>
                <w:spacing w:val="3"/>
                <w:sz w:val="24"/>
              </w:rPr>
              <w:t>ar</w:t>
            </w:r>
            <w:r w:rsidRPr="00D71E5A">
              <w:rPr>
                <w:color w:val="231F20"/>
                <w:spacing w:val="3"/>
                <w:sz w:val="24"/>
              </w:rPr>
              <w:t>k</w:t>
            </w:r>
            <w:r w:rsidRPr="004D4F85">
              <w:rPr>
                <w:color w:val="231F20"/>
                <w:spacing w:val="3"/>
                <w:sz w:val="24"/>
              </w:rPr>
              <w:t>e</w:t>
            </w:r>
            <w:r w:rsidRPr="00D71E5A">
              <w:rPr>
                <w:color w:val="231F20"/>
                <w:spacing w:val="3"/>
                <w:sz w:val="24"/>
              </w:rPr>
              <w:t>d t</w:t>
            </w:r>
            <w:r w:rsidRPr="004D4F85">
              <w:rPr>
                <w:color w:val="231F20"/>
                <w:spacing w:val="3"/>
                <w:sz w:val="24"/>
              </w:rPr>
              <w:t>e</w:t>
            </w:r>
            <w:r w:rsidRPr="00D71E5A">
              <w:rPr>
                <w:color w:val="231F20"/>
                <w:spacing w:val="3"/>
                <w:sz w:val="24"/>
              </w:rPr>
              <w:t>n</w:t>
            </w:r>
            <w:r w:rsidRPr="004D4F85">
              <w:rPr>
                <w:color w:val="231F20"/>
                <w:spacing w:val="3"/>
                <w:sz w:val="24"/>
              </w:rPr>
              <w:t>de</w:t>
            </w:r>
            <w:r w:rsidRPr="00D71E5A">
              <w:rPr>
                <w:color w:val="231F20"/>
                <w:spacing w:val="3"/>
                <w:sz w:val="24"/>
              </w:rPr>
              <w:t xml:space="preserve">r box, </w:t>
            </w:r>
            <w:r w:rsidRPr="004D4F85">
              <w:rPr>
                <w:color w:val="231F20"/>
                <w:spacing w:val="3"/>
                <w:sz w:val="24"/>
              </w:rPr>
              <w:t>a</w:t>
            </w:r>
            <w:r w:rsidRPr="00D71E5A">
              <w:rPr>
                <w:color w:val="231F20"/>
                <w:spacing w:val="3"/>
                <w:sz w:val="24"/>
              </w:rPr>
              <w:t>nd the num</w:t>
            </w:r>
            <w:r w:rsidRPr="004D4F85">
              <w:rPr>
                <w:color w:val="231F20"/>
                <w:spacing w:val="3"/>
                <w:sz w:val="24"/>
              </w:rPr>
              <w:t>be</w:t>
            </w:r>
            <w:r w:rsidRPr="00D71E5A">
              <w:rPr>
                <w:color w:val="231F20"/>
                <w:spacing w:val="3"/>
                <w:sz w:val="24"/>
              </w:rPr>
              <w:t xml:space="preserve">r of </w:t>
            </w:r>
            <w:r w:rsidRPr="004D4F85">
              <w:rPr>
                <w:color w:val="231F20"/>
                <w:spacing w:val="3"/>
                <w:sz w:val="24"/>
              </w:rPr>
              <w:t>c</w:t>
            </w:r>
            <w:r w:rsidRPr="00D71E5A">
              <w:rPr>
                <w:color w:val="231F20"/>
                <w:spacing w:val="3"/>
                <w:sz w:val="24"/>
              </w:rPr>
              <w:t>opi</w:t>
            </w:r>
            <w:r w:rsidRPr="004D4F85">
              <w:rPr>
                <w:color w:val="231F20"/>
                <w:spacing w:val="3"/>
                <w:sz w:val="24"/>
              </w:rPr>
              <w:t>e</w:t>
            </w:r>
            <w:r w:rsidRPr="00D71E5A">
              <w:rPr>
                <w:color w:val="231F20"/>
                <w:spacing w:val="3"/>
                <w:sz w:val="24"/>
              </w:rPr>
              <w:t>s required]</w:t>
            </w:r>
          </w:p>
        </w:tc>
      </w:tr>
    </w:tbl>
    <w:p w14:paraId="1CF4FC56" w14:textId="77777777" w:rsidR="003675A0" w:rsidRPr="000B0143" w:rsidRDefault="003675A0" w:rsidP="00AC4C29">
      <w:pPr>
        <w:pStyle w:val="Heading4"/>
      </w:pPr>
      <w:r w:rsidRPr="000B0143">
        <w:t>2 Services to be provided</w:t>
      </w:r>
    </w:p>
    <w:p w14:paraId="7D811EF8" w14:textId="611F7402" w:rsidR="003675A0" w:rsidRPr="00D71E5A" w:rsidRDefault="003675A0" w:rsidP="00D70B5C">
      <w:pPr>
        <w:pStyle w:val="BodyText"/>
      </w:pPr>
      <w:r w:rsidRPr="00D71E5A">
        <w:t>[</w:t>
      </w:r>
      <w:r w:rsidRPr="000B0143">
        <w:t>Name of local government</w:t>
      </w:r>
      <w:r w:rsidRPr="00D71E5A">
        <w:t>] is seeking expressions of interest for the provision of valuation services for a</w:t>
      </w:r>
      <w:r w:rsidR="00E974AA" w:rsidRPr="00D71E5A">
        <w:t>n</w:t>
      </w:r>
      <w:r w:rsidRPr="00D71E5A">
        <w:t xml:space="preserve"> x</w:t>
      </w:r>
      <w:r w:rsidR="00E974AA" w:rsidRPr="00D71E5A">
        <w:t>-</w:t>
      </w:r>
      <w:r w:rsidRPr="00D71E5A">
        <w:t>year period. Local government</w:t>
      </w:r>
      <w:r w:rsidR="00D70B5C">
        <w:t>s are</w:t>
      </w:r>
      <w:r w:rsidRPr="00D71E5A">
        <w:t xml:space="preserve"> required to capture and value its assets and account for them according with the Australian Accounting Standards (AAS) and other prescribed requirements to ensure good asset management practices and accurate and reliable accounting treatment.</w:t>
      </w:r>
    </w:p>
    <w:p w14:paraId="5D8E04FB" w14:textId="77777777" w:rsidR="003675A0" w:rsidRPr="00D71E5A" w:rsidRDefault="003675A0" w:rsidP="00D70B5C">
      <w:pPr>
        <w:pStyle w:val="BodyText"/>
      </w:pPr>
      <w:r w:rsidRPr="00D71E5A">
        <w:t xml:space="preserve">The project involves the valuation of the following asset classes as at [date] as follows at fair value (FV). A comprehensive (Comp) valuation will involve physical inspection (although a sampling approach may be utilised as appropriate or reliance placed on a recent physical inspection). </w:t>
      </w:r>
    </w:p>
    <w:p w14:paraId="2C61F8D0" w14:textId="6A4D9E0D" w:rsidR="003675A0" w:rsidRPr="00D71E5A" w:rsidRDefault="003675A0" w:rsidP="00D70B5C">
      <w:pPr>
        <w:pStyle w:val="BodyText"/>
      </w:pPr>
      <w:r w:rsidRPr="00D71E5A">
        <w:t>Some asset classes will</w:t>
      </w:r>
      <w:r w:rsidR="00D70B5C">
        <w:t>,</w:t>
      </w:r>
      <w:r w:rsidRPr="00D71E5A">
        <w:t xml:space="preserve"> in addition to fair value (FV)</w:t>
      </w:r>
      <w:r w:rsidR="00D70B5C">
        <w:t>,</w:t>
      </w:r>
      <w:r w:rsidRPr="00D71E5A">
        <w:t xml:space="preserve"> also require the provision of insurance values (IV):</w:t>
      </w:r>
    </w:p>
    <w:tbl>
      <w:tblPr>
        <w:tblStyle w:val="TableGrid"/>
        <w:tblW w:w="9639" w:type="dxa"/>
        <w:tblLook w:val="04A0" w:firstRow="1" w:lastRow="0" w:firstColumn="1" w:lastColumn="0" w:noHBand="0" w:noVBand="1"/>
      </w:tblPr>
      <w:tblGrid>
        <w:gridCol w:w="3124"/>
        <w:gridCol w:w="1323"/>
        <w:gridCol w:w="1676"/>
        <w:gridCol w:w="1172"/>
        <w:gridCol w:w="1172"/>
        <w:gridCol w:w="1172"/>
      </w:tblGrid>
      <w:tr w:rsidR="003675A0" w:rsidRPr="000B0143" w14:paraId="21C9587E" w14:textId="77777777" w:rsidTr="004B7282">
        <w:trPr>
          <w:tblHeader/>
        </w:trPr>
        <w:tc>
          <w:tcPr>
            <w:tcW w:w="2941" w:type="dxa"/>
            <w:shd w:val="clear" w:color="auto" w:fill="F2F2F2" w:themeFill="background1" w:themeFillShade="F2"/>
          </w:tcPr>
          <w:p w14:paraId="4592FF0E" w14:textId="607B7BCC" w:rsidR="003675A0" w:rsidRPr="001D0837" w:rsidRDefault="003675A0" w:rsidP="001D0837">
            <w:pPr>
              <w:pStyle w:val="TableContent"/>
              <w:rPr>
                <w:b/>
                <w:bCs/>
                <w:sz w:val="24"/>
              </w:rPr>
            </w:pPr>
            <w:r w:rsidRPr="001D0837">
              <w:rPr>
                <w:b/>
                <w:bCs/>
                <w:sz w:val="24"/>
              </w:rPr>
              <w:t xml:space="preserve">Asset </w:t>
            </w:r>
            <w:r w:rsidR="00E974AA">
              <w:rPr>
                <w:b/>
                <w:bCs/>
                <w:sz w:val="24"/>
              </w:rPr>
              <w:t>c</w:t>
            </w:r>
            <w:r w:rsidRPr="001D0837">
              <w:rPr>
                <w:b/>
                <w:bCs/>
                <w:sz w:val="24"/>
              </w:rPr>
              <w:t>lass</w:t>
            </w:r>
          </w:p>
        </w:tc>
        <w:tc>
          <w:tcPr>
            <w:tcW w:w="1245" w:type="dxa"/>
            <w:shd w:val="clear" w:color="auto" w:fill="F2F2F2" w:themeFill="background1" w:themeFillShade="F2"/>
          </w:tcPr>
          <w:p w14:paraId="334F9E78" w14:textId="77777777" w:rsidR="003675A0" w:rsidRPr="001D0837" w:rsidRDefault="003675A0" w:rsidP="001D0837">
            <w:pPr>
              <w:pStyle w:val="TableContent"/>
              <w:rPr>
                <w:b/>
                <w:bCs/>
                <w:sz w:val="24"/>
              </w:rPr>
            </w:pPr>
            <w:r w:rsidRPr="001D0837">
              <w:rPr>
                <w:b/>
                <w:bCs/>
                <w:sz w:val="24"/>
              </w:rPr>
              <w:t>Basis</w:t>
            </w:r>
          </w:p>
        </w:tc>
        <w:tc>
          <w:tcPr>
            <w:tcW w:w="1577" w:type="dxa"/>
            <w:shd w:val="clear" w:color="auto" w:fill="F2F2F2" w:themeFill="background1" w:themeFillShade="F2"/>
          </w:tcPr>
          <w:p w14:paraId="107F2808" w14:textId="7C491AF2" w:rsidR="003675A0" w:rsidRPr="001D0837" w:rsidRDefault="003675A0" w:rsidP="001D0837">
            <w:pPr>
              <w:pStyle w:val="TableContent"/>
              <w:rPr>
                <w:b/>
                <w:bCs/>
                <w:sz w:val="24"/>
              </w:rPr>
            </w:pPr>
            <w:r w:rsidRPr="001D0837">
              <w:rPr>
                <w:b/>
                <w:bCs/>
                <w:sz w:val="24"/>
              </w:rPr>
              <w:t xml:space="preserve">Revaluation </w:t>
            </w:r>
            <w:r w:rsidR="00E974AA">
              <w:rPr>
                <w:b/>
                <w:bCs/>
                <w:sz w:val="24"/>
              </w:rPr>
              <w:t>t</w:t>
            </w:r>
            <w:r w:rsidRPr="001D0837">
              <w:rPr>
                <w:b/>
                <w:bCs/>
                <w:sz w:val="24"/>
              </w:rPr>
              <w:t>hreshold</w:t>
            </w:r>
          </w:p>
        </w:tc>
        <w:tc>
          <w:tcPr>
            <w:tcW w:w="1103" w:type="dxa"/>
            <w:shd w:val="clear" w:color="auto" w:fill="F2F2F2" w:themeFill="background1" w:themeFillShade="F2"/>
          </w:tcPr>
          <w:p w14:paraId="792F647D" w14:textId="77777777" w:rsidR="003675A0" w:rsidRPr="001D0837" w:rsidRDefault="003675A0" w:rsidP="001D0837">
            <w:pPr>
              <w:pStyle w:val="TableContent"/>
              <w:rPr>
                <w:b/>
                <w:bCs/>
                <w:sz w:val="24"/>
              </w:rPr>
            </w:pPr>
            <w:r w:rsidRPr="001D0837">
              <w:rPr>
                <w:b/>
                <w:bCs/>
                <w:sz w:val="24"/>
              </w:rPr>
              <w:t>2024</w:t>
            </w:r>
          </w:p>
        </w:tc>
        <w:tc>
          <w:tcPr>
            <w:tcW w:w="1103" w:type="dxa"/>
            <w:shd w:val="clear" w:color="auto" w:fill="F2F2F2" w:themeFill="background1" w:themeFillShade="F2"/>
          </w:tcPr>
          <w:p w14:paraId="2A2F0859" w14:textId="77777777" w:rsidR="003675A0" w:rsidRPr="001D0837" w:rsidRDefault="003675A0" w:rsidP="001D0837">
            <w:pPr>
              <w:pStyle w:val="TableContent"/>
              <w:rPr>
                <w:b/>
                <w:bCs/>
                <w:sz w:val="24"/>
              </w:rPr>
            </w:pPr>
            <w:r w:rsidRPr="001D0837">
              <w:rPr>
                <w:b/>
                <w:bCs/>
                <w:sz w:val="24"/>
              </w:rPr>
              <w:t>2025</w:t>
            </w:r>
          </w:p>
        </w:tc>
        <w:tc>
          <w:tcPr>
            <w:tcW w:w="1103" w:type="dxa"/>
            <w:shd w:val="clear" w:color="auto" w:fill="F2F2F2" w:themeFill="background1" w:themeFillShade="F2"/>
          </w:tcPr>
          <w:p w14:paraId="695FF866" w14:textId="77777777" w:rsidR="003675A0" w:rsidRPr="001D0837" w:rsidRDefault="003675A0" w:rsidP="001D0837">
            <w:pPr>
              <w:pStyle w:val="TableContent"/>
              <w:rPr>
                <w:b/>
                <w:bCs/>
                <w:sz w:val="24"/>
              </w:rPr>
            </w:pPr>
            <w:r w:rsidRPr="001D0837">
              <w:rPr>
                <w:b/>
                <w:bCs/>
                <w:sz w:val="24"/>
              </w:rPr>
              <w:t>2026</w:t>
            </w:r>
          </w:p>
        </w:tc>
      </w:tr>
      <w:tr w:rsidR="003675A0" w:rsidRPr="000B0143" w14:paraId="2C9ACE05" w14:textId="77777777" w:rsidTr="004B7282">
        <w:tc>
          <w:tcPr>
            <w:tcW w:w="2941" w:type="dxa"/>
          </w:tcPr>
          <w:p w14:paraId="4454A1C8" w14:textId="77777777" w:rsidR="003675A0" w:rsidRPr="001D0837" w:rsidRDefault="003675A0" w:rsidP="001D0837">
            <w:pPr>
              <w:pStyle w:val="TableContent"/>
              <w:rPr>
                <w:b/>
                <w:bCs/>
                <w:sz w:val="24"/>
              </w:rPr>
            </w:pPr>
            <w:r w:rsidRPr="001D0837">
              <w:rPr>
                <w:b/>
                <w:bCs/>
                <w:sz w:val="24"/>
              </w:rPr>
              <w:t>Land</w:t>
            </w:r>
          </w:p>
        </w:tc>
        <w:tc>
          <w:tcPr>
            <w:tcW w:w="1245" w:type="dxa"/>
          </w:tcPr>
          <w:p w14:paraId="7DCF3E7C" w14:textId="77777777" w:rsidR="003675A0" w:rsidRPr="001D0837" w:rsidRDefault="003675A0" w:rsidP="001D0837">
            <w:pPr>
              <w:pStyle w:val="TableContent"/>
              <w:rPr>
                <w:sz w:val="24"/>
              </w:rPr>
            </w:pPr>
            <w:r w:rsidRPr="001D0837">
              <w:rPr>
                <w:sz w:val="24"/>
              </w:rPr>
              <w:t>[FV]</w:t>
            </w:r>
          </w:p>
        </w:tc>
        <w:tc>
          <w:tcPr>
            <w:tcW w:w="1577" w:type="dxa"/>
          </w:tcPr>
          <w:p w14:paraId="129D0A2B" w14:textId="77777777" w:rsidR="003675A0" w:rsidRPr="001D0837" w:rsidRDefault="003675A0" w:rsidP="001D0837">
            <w:pPr>
              <w:pStyle w:val="TableContent"/>
              <w:rPr>
                <w:sz w:val="24"/>
              </w:rPr>
            </w:pPr>
            <w:r w:rsidRPr="001D0837">
              <w:rPr>
                <w:sz w:val="24"/>
              </w:rPr>
              <w:t>[$1]</w:t>
            </w:r>
          </w:p>
        </w:tc>
        <w:tc>
          <w:tcPr>
            <w:tcW w:w="1103" w:type="dxa"/>
          </w:tcPr>
          <w:p w14:paraId="2D9BD57C" w14:textId="77777777" w:rsidR="003675A0" w:rsidRPr="001D0837" w:rsidRDefault="003675A0" w:rsidP="001D0837">
            <w:pPr>
              <w:pStyle w:val="TableContent"/>
              <w:rPr>
                <w:sz w:val="24"/>
              </w:rPr>
            </w:pPr>
            <w:r w:rsidRPr="001D0837">
              <w:rPr>
                <w:sz w:val="24"/>
              </w:rPr>
              <w:t>[Value]</w:t>
            </w:r>
          </w:p>
        </w:tc>
        <w:tc>
          <w:tcPr>
            <w:tcW w:w="1103" w:type="dxa"/>
          </w:tcPr>
          <w:p w14:paraId="4E59C2EC" w14:textId="77777777" w:rsidR="003675A0" w:rsidRPr="001D0837" w:rsidRDefault="003675A0" w:rsidP="001D0837">
            <w:pPr>
              <w:pStyle w:val="TableContent"/>
              <w:rPr>
                <w:sz w:val="24"/>
              </w:rPr>
            </w:pPr>
          </w:p>
        </w:tc>
        <w:tc>
          <w:tcPr>
            <w:tcW w:w="1103" w:type="dxa"/>
          </w:tcPr>
          <w:p w14:paraId="6497BF82" w14:textId="77777777" w:rsidR="003675A0" w:rsidRPr="001D0837" w:rsidRDefault="003675A0" w:rsidP="001D0837">
            <w:pPr>
              <w:pStyle w:val="TableContent"/>
              <w:rPr>
                <w:sz w:val="24"/>
              </w:rPr>
            </w:pPr>
          </w:p>
        </w:tc>
      </w:tr>
      <w:tr w:rsidR="003675A0" w:rsidRPr="000B0143" w14:paraId="6F2BC078" w14:textId="77777777" w:rsidTr="004B7282">
        <w:tc>
          <w:tcPr>
            <w:tcW w:w="2941" w:type="dxa"/>
          </w:tcPr>
          <w:p w14:paraId="49DE6FF4" w14:textId="77777777" w:rsidR="003675A0" w:rsidRPr="001D0837" w:rsidRDefault="003675A0" w:rsidP="001D0837">
            <w:pPr>
              <w:pStyle w:val="TableContent"/>
              <w:rPr>
                <w:b/>
                <w:bCs/>
                <w:sz w:val="24"/>
              </w:rPr>
            </w:pPr>
            <w:r w:rsidRPr="001D0837">
              <w:rPr>
                <w:b/>
                <w:bCs/>
                <w:sz w:val="24"/>
              </w:rPr>
              <w:t>Buildings</w:t>
            </w:r>
          </w:p>
        </w:tc>
        <w:tc>
          <w:tcPr>
            <w:tcW w:w="1245" w:type="dxa"/>
          </w:tcPr>
          <w:p w14:paraId="7579D12F" w14:textId="77777777" w:rsidR="003675A0" w:rsidRPr="001D0837" w:rsidRDefault="003675A0" w:rsidP="001D0837">
            <w:pPr>
              <w:pStyle w:val="TableContent"/>
              <w:rPr>
                <w:sz w:val="24"/>
              </w:rPr>
            </w:pPr>
            <w:r w:rsidRPr="001D0837">
              <w:rPr>
                <w:sz w:val="24"/>
              </w:rPr>
              <w:t>[FV &amp; IV]</w:t>
            </w:r>
          </w:p>
        </w:tc>
        <w:tc>
          <w:tcPr>
            <w:tcW w:w="1577" w:type="dxa"/>
          </w:tcPr>
          <w:p w14:paraId="5D5AE757" w14:textId="77777777" w:rsidR="003675A0" w:rsidRPr="001D0837" w:rsidRDefault="003675A0" w:rsidP="001D0837">
            <w:pPr>
              <w:pStyle w:val="TableContent"/>
              <w:rPr>
                <w:sz w:val="24"/>
              </w:rPr>
            </w:pPr>
            <w:r w:rsidRPr="001D0837">
              <w:rPr>
                <w:sz w:val="24"/>
              </w:rPr>
              <w:t>[$10,000]</w:t>
            </w:r>
          </w:p>
        </w:tc>
        <w:tc>
          <w:tcPr>
            <w:tcW w:w="1103" w:type="dxa"/>
          </w:tcPr>
          <w:p w14:paraId="0369EAC5" w14:textId="77777777" w:rsidR="003675A0" w:rsidRPr="001D0837" w:rsidRDefault="003675A0" w:rsidP="001D0837">
            <w:pPr>
              <w:pStyle w:val="TableContent"/>
              <w:rPr>
                <w:sz w:val="24"/>
              </w:rPr>
            </w:pPr>
            <w:r w:rsidRPr="001D0837">
              <w:rPr>
                <w:sz w:val="24"/>
              </w:rPr>
              <w:t>[Value]</w:t>
            </w:r>
          </w:p>
        </w:tc>
        <w:tc>
          <w:tcPr>
            <w:tcW w:w="1103" w:type="dxa"/>
          </w:tcPr>
          <w:p w14:paraId="11604C34" w14:textId="77777777" w:rsidR="003675A0" w:rsidRPr="001D0837" w:rsidRDefault="003675A0" w:rsidP="001D0837">
            <w:pPr>
              <w:pStyle w:val="TableContent"/>
              <w:rPr>
                <w:sz w:val="24"/>
              </w:rPr>
            </w:pPr>
          </w:p>
        </w:tc>
        <w:tc>
          <w:tcPr>
            <w:tcW w:w="1103" w:type="dxa"/>
          </w:tcPr>
          <w:p w14:paraId="3658290E" w14:textId="77777777" w:rsidR="003675A0" w:rsidRPr="001D0837" w:rsidRDefault="003675A0" w:rsidP="001D0837">
            <w:pPr>
              <w:pStyle w:val="TableContent"/>
              <w:rPr>
                <w:sz w:val="24"/>
              </w:rPr>
            </w:pPr>
          </w:p>
        </w:tc>
      </w:tr>
      <w:tr w:rsidR="003675A0" w:rsidRPr="000B0143" w14:paraId="7487B430" w14:textId="77777777" w:rsidTr="004B7282">
        <w:tc>
          <w:tcPr>
            <w:tcW w:w="2941" w:type="dxa"/>
          </w:tcPr>
          <w:p w14:paraId="7C83B93F" w14:textId="77777777" w:rsidR="003675A0" w:rsidRPr="001D0837" w:rsidRDefault="003675A0" w:rsidP="001D0837">
            <w:pPr>
              <w:pStyle w:val="TableContent"/>
              <w:rPr>
                <w:b/>
                <w:bCs/>
                <w:sz w:val="24"/>
              </w:rPr>
            </w:pPr>
            <w:r w:rsidRPr="001D0837">
              <w:rPr>
                <w:b/>
                <w:bCs/>
                <w:sz w:val="24"/>
              </w:rPr>
              <w:t>Other structures</w:t>
            </w:r>
          </w:p>
        </w:tc>
        <w:tc>
          <w:tcPr>
            <w:tcW w:w="1245" w:type="dxa"/>
          </w:tcPr>
          <w:p w14:paraId="64669740" w14:textId="77777777" w:rsidR="003675A0" w:rsidRPr="001D0837" w:rsidRDefault="003675A0" w:rsidP="001D0837">
            <w:pPr>
              <w:pStyle w:val="TableContent"/>
              <w:rPr>
                <w:sz w:val="24"/>
              </w:rPr>
            </w:pPr>
            <w:r w:rsidRPr="001D0837">
              <w:rPr>
                <w:sz w:val="24"/>
              </w:rPr>
              <w:t>[FV &amp; IV]</w:t>
            </w:r>
          </w:p>
        </w:tc>
        <w:tc>
          <w:tcPr>
            <w:tcW w:w="1577" w:type="dxa"/>
          </w:tcPr>
          <w:p w14:paraId="4EC56BB5" w14:textId="77777777" w:rsidR="003675A0" w:rsidRPr="001D0837" w:rsidRDefault="003675A0" w:rsidP="001D0837">
            <w:pPr>
              <w:pStyle w:val="TableContent"/>
              <w:rPr>
                <w:sz w:val="24"/>
              </w:rPr>
            </w:pPr>
            <w:r w:rsidRPr="001D0837">
              <w:rPr>
                <w:sz w:val="24"/>
              </w:rPr>
              <w:t>[$2,000]</w:t>
            </w:r>
          </w:p>
        </w:tc>
        <w:tc>
          <w:tcPr>
            <w:tcW w:w="1103" w:type="dxa"/>
          </w:tcPr>
          <w:p w14:paraId="06C1E975" w14:textId="77777777" w:rsidR="003675A0" w:rsidRPr="001D0837" w:rsidRDefault="003675A0" w:rsidP="001D0837">
            <w:pPr>
              <w:pStyle w:val="TableContent"/>
              <w:rPr>
                <w:sz w:val="24"/>
              </w:rPr>
            </w:pPr>
            <w:r w:rsidRPr="001D0837">
              <w:rPr>
                <w:sz w:val="24"/>
              </w:rPr>
              <w:t>[Value]</w:t>
            </w:r>
          </w:p>
        </w:tc>
        <w:tc>
          <w:tcPr>
            <w:tcW w:w="1103" w:type="dxa"/>
          </w:tcPr>
          <w:p w14:paraId="5825D3CB" w14:textId="77777777" w:rsidR="003675A0" w:rsidRPr="001D0837" w:rsidRDefault="003675A0" w:rsidP="001D0837">
            <w:pPr>
              <w:pStyle w:val="TableContent"/>
              <w:rPr>
                <w:sz w:val="24"/>
              </w:rPr>
            </w:pPr>
          </w:p>
        </w:tc>
        <w:tc>
          <w:tcPr>
            <w:tcW w:w="1103" w:type="dxa"/>
          </w:tcPr>
          <w:p w14:paraId="3E3AE59E" w14:textId="77777777" w:rsidR="003675A0" w:rsidRPr="001D0837" w:rsidRDefault="003675A0" w:rsidP="001D0837">
            <w:pPr>
              <w:pStyle w:val="TableContent"/>
              <w:rPr>
                <w:sz w:val="24"/>
              </w:rPr>
            </w:pPr>
          </w:p>
        </w:tc>
      </w:tr>
      <w:tr w:rsidR="003675A0" w:rsidRPr="000B0143" w14:paraId="5FB743F7" w14:textId="77777777" w:rsidTr="004B7282">
        <w:tc>
          <w:tcPr>
            <w:tcW w:w="2941" w:type="dxa"/>
          </w:tcPr>
          <w:p w14:paraId="151894D2" w14:textId="77777777" w:rsidR="003675A0" w:rsidRPr="001D0837" w:rsidRDefault="003675A0" w:rsidP="001D0837">
            <w:pPr>
              <w:pStyle w:val="TableContent"/>
              <w:rPr>
                <w:b/>
                <w:bCs/>
                <w:sz w:val="24"/>
              </w:rPr>
            </w:pPr>
            <w:r w:rsidRPr="001D0837">
              <w:rPr>
                <w:b/>
                <w:bCs/>
                <w:sz w:val="24"/>
              </w:rPr>
              <w:t>Road infrastructure</w:t>
            </w:r>
          </w:p>
        </w:tc>
        <w:tc>
          <w:tcPr>
            <w:tcW w:w="1245" w:type="dxa"/>
          </w:tcPr>
          <w:p w14:paraId="6B11E7AC" w14:textId="77777777" w:rsidR="003675A0" w:rsidRPr="001D0837" w:rsidRDefault="003675A0" w:rsidP="001D0837">
            <w:pPr>
              <w:pStyle w:val="TableContent"/>
              <w:rPr>
                <w:sz w:val="24"/>
              </w:rPr>
            </w:pPr>
            <w:r w:rsidRPr="001D0837">
              <w:rPr>
                <w:sz w:val="24"/>
              </w:rPr>
              <w:t>[FV]</w:t>
            </w:r>
          </w:p>
        </w:tc>
        <w:tc>
          <w:tcPr>
            <w:tcW w:w="1577" w:type="dxa"/>
          </w:tcPr>
          <w:p w14:paraId="28F191D8" w14:textId="77777777" w:rsidR="003675A0" w:rsidRPr="001D0837" w:rsidRDefault="003675A0" w:rsidP="001D0837">
            <w:pPr>
              <w:pStyle w:val="TableContent"/>
              <w:rPr>
                <w:sz w:val="24"/>
              </w:rPr>
            </w:pPr>
            <w:r w:rsidRPr="001D0837">
              <w:rPr>
                <w:sz w:val="24"/>
              </w:rPr>
              <w:t>[$1]</w:t>
            </w:r>
          </w:p>
        </w:tc>
        <w:tc>
          <w:tcPr>
            <w:tcW w:w="1103" w:type="dxa"/>
          </w:tcPr>
          <w:p w14:paraId="5674D5B9" w14:textId="77777777" w:rsidR="003675A0" w:rsidRPr="001D0837" w:rsidRDefault="003675A0" w:rsidP="001D0837">
            <w:pPr>
              <w:pStyle w:val="TableContent"/>
              <w:rPr>
                <w:sz w:val="24"/>
              </w:rPr>
            </w:pPr>
          </w:p>
        </w:tc>
        <w:tc>
          <w:tcPr>
            <w:tcW w:w="1103" w:type="dxa"/>
          </w:tcPr>
          <w:p w14:paraId="5B37F445" w14:textId="77777777" w:rsidR="003675A0" w:rsidRPr="001D0837" w:rsidRDefault="003675A0" w:rsidP="001D0837">
            <w:pPr>
              <w:pStyle w:val="TableContent"/>
              <w:rPr>
                <w:sz w:val="24"/>
              </w:rPr>
            </w:pPr>
            <w:r w:rsidRPr="001D0837">
              <w:rPr>
                <w:sz w:val="24"/>
              </w:rPr>
              <w:t>[Value]</w:t>
            </w:r>
          </w:p>
        </w:tc>
        <w:tc>
          <w:tcPr>
            <w:tcW w:w="1103" w:type="dxa"/>
          </w:tcPr>
          <w:p w14:paraId="0CA2E1A6" w14:textId="77777777" w:rsidR="003675A0" w:rsidRPr="001D0837" w:rsidRDefault="003675A0" w:rsidP="001D0837">
            <w:pPr>
              <w:pStyle w:val="TableContent"/>
              <w:rPr>
                <w:sz w:val="24"/>
              </w:rPr>
            </w:pPr>
          </w:p>
        </w:tc>
      </w:tr>
      <w:tr w:rsidR="003675A0" w:rsidRPr="000B0143" w14:paraId="0E6F041D" w14:textId="77777777" w:rsidTr="004B7282">
        <w:tc>
          <w:tcPr>
            <w:tcW w:w="2941" w:type="dxa"/>
          </w:tcPr>
          <w:p w14:paraId="14B75072" w14:textId="77777777" w:rsidR="003675A0" w:rsidRPr="001D0837" w:rsidRDefault="003675A0" w:rsidP="001D0837">
            <w:pPr>
              <w:pStyle w:val="TableContent"/>
              <w:rPr>
                <w:b/>
                <w:bCs/>
                <w:sz w:val="24"/>
              </w:rPr>
            </w:pPr>
            <w:r w:rsidRPr="001D0837">
              <w:rPr>
                <w:b/>
                <w:bCs/>
                <w:sz w:val="24"/>
              </w:rPr>
              <w:t>Water and sewerage infrastructure</w:t>
            </w:r>
          </w:p>
        </w:tc>
        <w:tc>
          <w:tcPr>
            <w:tcW w:w="1245" w:type="dxa"/>
          </w:tcPr>
          <w:p w14:paraId="5795E69A" w14:textId="77777777" w:rsidR="003675A0" w:rsidRPr="001D0837" w:rsidRDefault="003675A0" w:rsidP="001D0837">
            <w:pPr>
              <w:pStyle w:val="TableContent"/>
              <w:rPr>
                <w:sz w:val="24"/>
              </w:rPr>
            </w:pPr>
            <w:r w:rsidRPr="001D0837">
              <w:rPr>
                <w:sz w:val="24"/>
              </w:rPr>
              <w:t>[</w:t>
            </w:r>
            <w:proofErr w:type="gramStart"/>
            <w:r w:rsidRPr="001D0837">
              <w:rPr>
                <w:sz w:val="24"/>
              </w:rPr>
              <w:t>FV ]</w:t>
            </w:r>
            <w:proofErr w:type="gramEnd"/>
          </w:p>
        </w:tc>
        <w:tc>
          <w:tcPr>
            <w:tcW w:w="1577" w:type="dxa"/>
          </w:tcPr>
          <w:p w14:paraId="2CBC7CD6" w14:textId="77777777" w:rsidR="003675A0" w:rsidRPr="001D0837" w:rsidRDefault="003675A0" w:rsidP="001D0837">
            <w:pPr>
              <w:pStyle w:val="TableContent"/>
              <w:rPr>
                <w:sz w:val="24"/>
              </w:rPr>
            </w:pPr>
            <w:r w:rsidRPr="001D0837">
              <w:rPr>
                <w:sz w:val="24"/>
              </w:rPr>
              <w:t>[$1]</w:t>
            </w:r>
          </w:p>
        </w:tc>
        <w:tc>
          <w:tcPr>
            <w:tcW w:w="1103" w:type="dxa"/>
          </w:tcPr>
          <w:p w14:paraId="560DDDE1" w14:textId="77777777" w:rsidR="003675A0" w:rsidRPr="001D0837" w:rsidRDefault="003675A0" w:rsidP="001D0837">
            <w:pPr>
              <w:pStyle w:val="TableContent"/>
              <w:rPr>
                <w:sz w:val="24"/>
              </w:rPr>
            </w:pPr>
          </w:p>
        </w:tc>
        <w:tc>
          <w:tcPr>
            <w:tcW w:w="1103" w:type="dxa"/>
          </w:tcPr>
          <w:p w14:paraId="6D05ED28" w14:textId="77777777" w:rsidR="003675A0" w:rsidRPr="001D0837" w:rsidRDefault="003675A0" w:rsidP="001D0837">
            <w:pPr>
              <w:pStyle w:val="TableContent"/>
              <w:rPr>
                <w:sz w:val="24"/>
              </w:rPr>
            </w:pPr>
          </w:p>
        </w:tc>
        <w:tc>
          <w:tcPr>
            <w:tcW w:w="1103" w:type="dxa"/>
          </w:tcPr>
          <w:p w14:paraId="1768115E" w14:textId="77777777" w:rsidR="003675A0" w:rsidRPr="001D0837" w:rsidRDefault="003675A0" w:rsidP="001D0837">
            <w:pPr>
              <w:pStyle w:val="TableContent"/>
              <w:rPr>
                <w:sz w:val="24"/>
              </w:rPr>
            </w:pPr>
            <w:r w:rsidRPr="001D0837">
              <w:rPr>
                <w:sz w:val="24"/>
              </w:rPr>
              <w:t>[Value]</w:t>
            </w:r>
          </w:p>
        </w:tc>
      </w:tr>
      <w:tr w:rsidR="003675A0" w:rsidRPr="000B0143" w14:paraId="7E2B5EB0" w14:textId="77777777" w:rsidTr="004B7282">
        <w:tc>
          <w:tcPr>
            <w:tcW w:w="2941" w:type="dxa"/>
          </w:tcPr>
          <w:p w14:paraId="53FD9284" w14:textId="77777777" w:rsidR="003675A0" w:rsidRPr="001D0837" w:rsidRDefault="003675A0" w:rsidP="001D0837">
            <w:pPr>
              <w:pStyle w:val="TableContent"/>
              <w:rPr>
                <w:b/>
                <w:bCs/>
                <w:sz w:val="24"/>
              </w:rPr>
            </w:pPr>
            <w:r w:rsidRPr="001D0837">
              <w:rPr>
                <w:b/>
                <w:bCs/>
                <w:sz w:val="24"/>
              </w:rPr>
              <w:t>Parks and recreational assets</w:t>
            </w:r>
          </w:p>
        </w:tc>
        <w:tc>
          <w:tcPr>
            <w:tcW w:w="1245" w:type="dxa"/>
          </w:tcPr>
          <w:p w14:paraId="41EAC4D2" w14:textId="77777777" w:rsidR="003675A0" w:rsidRPr="001D0837" w:rsidRDefault="003675A0" w:rsidP="001D0837">
            <w:pPr>
              <w:pStyle w:val="TableContent"/>
              <w:rPr>
                <w:sz w:val="24"/>
              </w:rPr>
            </w:pPr>
            <w:r w:rsidRPr="001D0837">
              <w:rPr>
                <w:sz w:val="24"/>
              </w:rPr>
              <w:t>[FV]</w:t>
            </w:r>
          </w:p>
        </w:tc>
        <w:tc>
          <w:tcPr>
            <w:tcW w:w="1577" w:type="dxa"/>
          </w:tcPr>
          <w:p w14:paraId="668D7139" w14:textId="77777777" w:rsidR="003675A0" w:rsidRPr="001D0837" w:rsidRDefault="003675A0" w:rsidP="001D0837">
            <w:pPr>
              <w:pStyle w:val="TableContent"/>
              <w:rPr>
                <w:sz w:val="24"/>
              </w:rPr>
            </w:pPr>
            <w:r w:rsidRPr="001D0837">
              <w:rPr>
                <w:sz w:val="24"/>
              </w:rPr>
              <w:t>[$2,000]</w:t>
            </w:r>
          </w:p>
        </w:tc>
        <w:tc>
          <w:tcPr>
            <w:tcW w:w="1103" w:type="dxa"/>
          </w:tcPr>
          <w:p w14:paraId="5B3D75BE" w14:textId="77777777" w:rsidR="003675A0" w:rsidRPr="001D0837" w:rsidRDefault="003675A0" w:rsidP="001D0837">
            <w:pPr>
              <w:pStyle w:val="TableContent"/>
              <w:rPr>
                <w:sz w:val="24"/>
              </w:rPr>
            </w:pPr>
          </w:p>
        </w:tc>
        <w:tc>
          <w:tcPr>
            <w:tcW w:w="1103" w:type="dxa"/>
          </w:tcPr>
          <w:p w14:paraId="5FDAD24A" w14:textId="77777777" w:rsidR="003675A0" w:rsidRPr="001D0837" w:rsidRDefault="003675A0" w:rsidP="001D0837">
            <w:pPr>
              <w:pStyle w:val="TableContent"/>
              <w:rPr>
                <w:sz w:val="24"/>
              </w:rPr>
            </w:pPr>
          </w:p>
        </w:tc>
        <w:tc>
          <w:tcPr>
            <w:tcW w:w="1103" w:type="dxa"/>
          </w:tcPr>
          <w:p w14:paraId="68C239AC" w14:textId="77777777" w:rsidR="003675A0" w:rsidRPr="001D0837" w:rsidRDefault="003675A0" w:rsidP="001D0837">
            <w:pPr>
              <w:pStyle w:val="TableContent"/>
              <w:rPr>
                <w:sz w:val="24"/>
              </w:rPr>
            </w:pPr>
            <w:r w:rsidRPr="001D0837">
              <w:rPr>
                <w:sz w:val="24"/>
              </w:rPr>
              <w:t>[Value]</w:t>
            </w:r>
          </w:p>
        </w:tc>
      </w:tr>
      <w:tr w:rsidR="003675A0" w:rsidRPr="000B0143" w14:paraId="64A6E666" w14:textId="77777777" w:rsidTr="004B7282">
        <w:tc>
          <w:tcPr>
            <w:tcW w:w="2941" w:type="dxa"/>
          </w:tcPr>
          <w:p w14:paraId="60DC72A8" w14:textId="77777777" w:rsidR="003675A0" w:rsidRPr="001D0837" w:rsidRDefault="003675A0" w:rsidP="001D0837">
            <w:pPr>
              <w:pStyle w:val="TableContent"/>
              <w:rPr>
                <w:b/>
                <w:bCs/>
                <w:sz w:val="24"/>
              </w:rPr>
            </w:pPr>
            <w:r w:rsidRPr="001D0837">
              <w:rPr>
                <w:b/>
                <w:bCs/>
                <w:sz w:val="24"/>
              </w:rPr>
              <w:t>Other assets</w:t>
            </w:r>
          </w:p>
        </w:tc>
        <w:tc>
          <w:tcPr>
            <w:tcW w:w="1245" w:type="dxa"/>
          </w:tcPr>
          <w:p w14:paraId="04278674" w14:textId="77777777" w:rsidR="003675A0" w:rsidRPr="001D0837" w:rsidRDefault="003675A0" w:rsidP="001D0837">
            <w:pPr>
              <w:pStyle w:val="TableContent"/>
              <w:rPr>
                <w:sz w:val="24"/>
              </w:rPr>
            </w:pPr>
            <w:r w:rsidRPr="001D0837">
              <w:rPr>
                <w:sz w:val="24"/>
              </w:rPr>
              <w:t>[FV]</w:t>
            </w:r>
          </w:p>
        </w:tc>
        <w:tc>
          <w:tcPr>
            <w:tcW w:w="1577" w:type="dxa"/>
          </w:tcPr>
          <w:p w14:paraId="7B5DC76F" w14:textId="77777777" w:rsidR="003675A0" w:rsidRPr="001D0837" w:rsidRDefault="003675A0" w:rsidP="001D0837">
            <w:pPr>
              <w:pStyle w:val="TableContent"/>
              <w:rPr>
                <w:sz w:val="24"/>
              </w:rPr>
            </w:pPr>
          </w:p>
        </w:tc>
        <w:tc>
          <w:tcPr>
            <w:tcW w:w="1103" w:type="dxa"/>
          </w:tcPr>
          <w:p w14:paraId="57B8EF79" w14:textId="77777777" w:rsidR="003675A0" w:rsidRPr="001D0837" w:rsidRDefault="003675A0" w:rsidP="001D0837">
            <w:pPr>
              <w:pStyle w:val="TableContent"/>
              <w:rPr>
                <w:sz w:val="24"/>
              </w:rPr>
            </w:pPr>
          </w:p>
        </w:tc>
        <w:tc>
          <w:tcPr>
            <w:tcW w:w="1103" w:type="dxa"/>
          </w:tcPr>
          <w:p w14:paraId="6CC7E26D" w14:textId="77777777" w:rsidR="003675A0" w:rsidRPr="001D0837" w:rsidRDefault="003675A0" w:rsidP="001D0837">
            <w:pPr>
              <w:pStyle w:val="TableContent"/>
              <w:rPr>
                <w:sz w:val="24"/>
              </w:rPr>
            </w:pPr>
          </w:p>
        </w:tc>
        <w:tc>
          <w:tcPr>
            <w:tcW w:w="1103" w:type="dxa"/>
          </w:tcPr>
          <w:p w14:paraId="4B4657E6" w14:textId="77777777" w:rsidR="003675A0" w:rsidRPr="001D0837" w:rsidRDefault="003675A0" w:rsidP="001D0837">
            <w:pPr>
              <w:pStyle w:val="TableContent"/>
              <w:rPr>
                <w:sz w:val="24"/>
              </w:rPr>
            </w:pPr>
          </w:p>
        </w:tc>
      </w:tr>
    </w:tbl>
    <w:p w14:paraId="71E1BAB5" w14:textId="77777777" w:rsidR="003675A0" w:rsidRDefault="003675A0" w:rsidP="003675A0">
      <w:pPr>
        <w:spacing w:after="160" w:line="278" w:lineRule="auto"/>
        <w:rPr>
          <w:rFonts w:cs="Arial"/>
        </w:rPr>
      </w:pPr>
      <w:r>
        <w:rPr>
          <w:rFonts w:cs="Arial"/>
        </w:rPr>
        <w:br w:type="page"/>
      </w:r>
    </w:p>
    <w:p w14:paraId="0906F5AC" w14:textId="77777777" w:rsidR="009E3981" w:rsidRPr="00D70B5C" w:rsidRDefault="009E3981" w:rsidP="00D70B5C">
      <w:pPr>
        <w:pStyle w:val="BodyText"/>
      </w:pPr>
      <w:r w:rsidRPr="00D70B5C">
        <w:lastRenderedPageBreak/>
        <w:t>Valuation outputs</w:t>
      </w:r>
    </w:p>
    <w:p w14:paraId="7BC4A1EB" w14:textId="3C9DB3C9" w:rsidR="003675A0" w:rsidRPr="000B0143" w:rsidRDefault="003675A0" w:rsidP="00D70B5C">
      <w:pPr>
        <w:pStyle w:val="BodyText"/>
      </w:pPr>
      <w:r w:rsidRPr="00D71E5A">
        <w:t>The valuation output</w:t>
      </w:r>
      <w:r w:rsidRPr="000B0143">
        <w:t>s</w:t>
      </w:r>
      <w:r w:rsidRPr="00D71E5A">
        <w:t xml:space="preserve"> ar</w:t>
      </w:r>
      <w:r w:rsidRPr="000B0143">
        <w:t>e</w:t>
      </w:r>
      <w:r w:rsidRPr="00D71E5A">
        <w:t xml:space="preserve"> t</w:t>
      </w:r>
      <w:r w:rsidRPr="000B0143">
        <w:t>o</w:t>
      </w:r>
      <w:r w:rsidRPr="00D71E5A">
        <w:t xml:space="preserve"> include</w:t>
      </w:r>
      <w:r w:rsidRPr="000B0143">
        <w:t>:</w:t>
      </w:r>
    </w:p>
    <w:p w14:paraId="4184B16D" w14:textId="77777777" w:rsidR="003675A0" w:rsidRPr="00D70B5C" w:rsidRDefault="003675A0" w:rsidP="00D70B5C">
      <w:pPr>
        <w:pStyle w:val="BodyText"/>
      </w:pPr>
      <w:r w:rsidRPr="00D70B5C">
        <w:t>Valuation data</w:t>
      </w:r>
    </w:p>
    <w:p w14:paraId="1A978295" w14:textId="77777777" w:rsidR="003675A0" w:rsidRPr="000B0143" w:rsidRDefault="003675A0" w:rsidP="00D70B5C">
      <w:pPr>
        <w:pStyle w:val="BodyText"/>
      </w:pPr>
      <w:r w:rsidRPr="00D71E5A">
        <w:t>The ke</w:t>
      </w:r>
      <w:r w:rsidRPr="000B0143">
        <w:t>y</w:t>
      </w:r>
      <w:r w:rsidRPr="00D71E5A">
        <w:t xml:space="preserve"> valuation dat</w:t>
      </w:r>
      <w:r w:rsidRPr="000B0143">
        <w:t>a</w:t>
      </w:r>
      <w:r w:rsidRPr="00D71E5A">
        <w:t xml:space="preserve"> t</w:t>
      </w:r>
      <w:r w:rsidRPr="000B0143">
        <w:t>o</w:t>
      </w:r>
      <w:r w:rsidRPr="00D71E5A">
        <w:t xml:space="preserve"> b</w:t>
      </w:r>
      <w:r w:rsidRPr="000B0143">
        <w:t>e</w:t>
      </w:r>
      <w:r w:rsidRPr="00D71E5A">
        <w:t xml:space="preserve"> p</w:t>
      </w:r>
      <w:r w:rsidRPr="000B0143">
        <w:t>r</w:t>
      </w:r>
      <w:r w:rsidRPr="00D71E5A">
        <w:t>oduce</w:t>
      </w:r>
      <w:r w:rsidRPr="000B0143">
        <w:t xml:space="preserve">d in spreadsheet or database format.  </w:t>
      </w:r>
    </w:p>
    <w:p w14:paraId="41795BC1" w14:textId="77777777" w:rsidR="003675A0" w:rsidRPr="000B0143" w:rsidRDefault="003675A0" w:rsidP="00D70B5C">
      <w:pPr>
        <w:pStyle w:val="BodyText"/>
      </w:pPr>
      <w:r w:rsidRPr="000B0143">
        <w:t xml:space="preserve">at the asset class level – </w:t>
      </w:r>
    </w:p>
    <w:p w14:paraId="67C1DBD8" w14:textId="77777777" w:rsidR="003675A0" w:rsidRPr="000B0143" w:rsidRDefault="003675A0">
      <w:pPr>
        <w:pStyle w:val="BodyText"/>
        <w:numPr>
          <w:ilvl w:val="0"/>
          <w:numId w:val="128"/>
        </w:numPr>
      </w:pPr>
      <w:r w:rsidRPr="00D71E5A">
        <w:t>g</w:t>
      </w:r>
      <w:r w:rsidRPr="000B0143">
        <w:t>r</w:t>
      </w:r>
      <w:r w:rsidRPr="00D71E5A">
        <w:t>os</w:t>
      </w:r>
      <w:r w:rsidRPr="000B0143">
        <w:t>s</w:t>
      </w:r>
      <w:r w:rsidRPr="00D71E5A">
        <w:t xml:space="preserve"> value (either</w:t>
      </w:r>
      <w:r w:rsidRPr="000B0143">
        <w:t xml:space="preserve"> MV</w:t>
      </w:r>
      <w:r w:rsidRPr="00D71E5A">
        <w:t xml:space="preserve"> o</w:t>
      </w:r>
      <w:r w:rsidRPr="000B0143">
        <w:t xml:space="preserve">r </w:t>
      </w:r>
      <w:r w:rsidRPr="00D71E5A">
        <w:t>GR</w:t>
      </w:r>
      <w:r w:rsidRPr="000B0143">
        <w:t>C)</w:t>
      </w:r>
    </w:p>
    <w:p w14:paraId="131BDA6B" w14:textId="59861415" w:rsidR="003675A0" w:rsidRPr="000B0143" w:rsidRDefault="003675A0">
      <w:pPr>
        <w:pStyle w:val="BodyText"/>
        <w:numPr>
          <w:ilvl w:val="0"/>
          <w:numId w:val="128"/>
        </w:numPr>
      </w:pPr>
      <w:r w:rsidRPr="00D71E5A">
        <w:t>accumulated depreciation</w:t>
      </w:r>
      <w:r w:rsidR="00D70B5C">
        <w:t>;</w:t>
      </w:r>
      <w:r w:rsidRPr="00D71E5A">
        <w:t xml:space="preserve"> and</w:t>
      </w:r>
    </w:p>
    <w:p w14:paraId="2E96F265" w14:textId="77777777" w:rsidR="003675A0" w:rsidRPr="000B0143" w:rsidRDefault="003675A0">
      <w:pPr>
        <w:pStyle w:val="BodyText"/>
        <w:numPr>
          <w:ilvl w:val="0"/>
          <w:numId w:val="128"/>
        </w:numPr>
      </w:pPr>
      <w:r w:rsidRPr="00D71E5A">
        <w:t xml:space="preserve">fair </w:t>
      </w:r>
      <w:r w:rsidRPr="000B0143">
        <w:t>va</w:t>
      </w:r>
      <w:r w:rsidRPr="00D71E5A">
        <w:t>l</w:t>
      </w:r>
      <w:r w:rsidRPr="000B0143">
        <w:t>ue.</w:t>
      </w:r>
    </w:p>
    <w:p w14:paraId="6FDDD705" w14:textId="77777777" w:rsidR="003675A0" w:rsidRPr="000B0143" w:rsidRDefault="003675A0" w:rsidP="00D70B5C">
      <w:pPr>
        <w:pStyle w:val="BodyText"/>
        <w:rPr>
          <w:spacing w:val="3"/>
          <w:w w:val="90"/>
        </w:rPr>
      </w:pPr>
      <w:r w:rsidRPr="000B0143">
        <w:t>at the ‘</w:t>
      </w:r>
      <w:r w:rsidRPr="000B0143">
        <w:rPr>
          <w:spacing w:val="2"/>
        </w:rPr>
        <w:t>A</w:t>
      </w:r>
      <w:r w:rsidRPr="000B0143">
        <w:rPr>
          <w:spacing w:val="3"/>
        </w:rPr>
        <w:t>s</w:t>
      </w:r>
      <w:r w:rsidRPr="000B0143">
        <w:rPr>
          <w:spacing w:val="2"/>
        </w:rPr>
        <w:t>s</w:t>
      </w:r>
      <w:r w:rsidRPr="000B0143">
        <w:rPr>
          <w:spacing w:val="1"/>
        </w:rPr>
        <w:t>e</w:t>
      </w:r>
      <w:r w:rsidRPr="000B0143">
        <w:t>t’</w:t>
      </w:r>
      <w:r w:rsidRPr="000B0143">
        <w:rPr>
          <w:spacing w:val="-16"/>
        </w:rPr>
        <w:t xml:space="preserve"> </w:t>
      </w:r>
      <w:r w:rsidRPr="000B0143">
        <w:rPr>
          <w:spacing w:val="2"/>
          <w:w w:val="83"/>
        </w:rPr>
        <w:t>l</w:t>
      </w:r>
      <w:r w:rsidRPr="000B0143">
        <w:rPr>
          <w:spacing w:val="1"/>
          <w:w w:val="93"/>
        </w:rPr>
        <w:t>e</w:t>
      </w:r>
      <w:r w:rsidRPr="000B0143">
        <w:rPr>
          <w:w w:val="92"/>
        </w:rPr>
        <w:t>v</w:t>
      </w:r>
      <w:r w:rsidRPr="000B0143">
        <w:rPr>
          <w:spacing w:val="3"/>
          <w:w w:val="90"/>
        </w:rPr>
        <w:t>el –</w:t>
      </w:r>
    </w:p>
    <w:p w14:paraId="2C8EBBDA" w14:textId="77777777" w:rsidR="003675A0" w:rsidRPr="000B0143" w:rsidRDefault="003675A0">
      <w:pPr>
        <w:pStyle w:val="BodyText"/>
        <w:numPr>
          <w:ilvl w:val="0"/>
          <w:numId w:val="128"/>
        </w:numPr>
      </w:pPr>
      <w:r w:rsidRPr="00D71E5A">
        <w:t>g</w:t>
      </w:r>
      <w:r w:rsidRPr="000B0143">
        <w:t>r</w:t>
      </w:r>
      <w:r w:rsidRPr="00D71E5A">
        <w:t>os</w:t>
      </w:r>
      <w:r w:rsidRPr="000B0143">
        <w:t>s</w:t>
      </w:r>
      <w:r w:rsidRPr="00D71E5A">
        <w:t xml:space="preserve"> value (either</w:t>
      </w:r>
      <w:r w:rsidRPr="000B0143">
        <w:t xml:space="preserve"> MV</w:t>
      </w:r>
      <w:r w:rsidRPr="00D71E5A">
        <w:t xml:space="preserve"> o</w:t>
      </w:r>
      <w:r w:rsidRPr="000B0143">
        <w:t xml:space="preserve">r </w:t>
      </w:r>
      <w:r w:rsidRPr="00D71E5A">
        <w:t>GR</w:t>
      </w:r>
      <w:r w:rsidRPr="000B0143">
        <w:t>C)</w:t>
      </w:r>
    </w:p>
    <w:p w14:paraId="7AC9565C" w14:textId="07BD4605" w:rsidR="003675A0" w:rsidRPr="000B0143" w:rsidRDefault="003675A0">
      <w:pPr>
        <w:pStyle w:val="BodyText"/>
        <w:numPr>
          <w:ilvl w:val="0"/>
          <w:numId w:val="128"/>
        </w:numPr>
      </w:pPr>
      <w:r w:rsidRPr="00D71E5A">
        <w:t>accumulated depreciation</w:t>
      </w:r>
      <w:r w:rsidR="00D70B5C">
        <w:t>;</w:t>
      </w:r>
      <w:r w:rsidRPr="00D71E5A">
        <w:t xml:space="preserve"> and </w:t>
      </w:r>
    </w:p>
    <w:p w14:paraId="19030228" w14:textId="77777777" w:rsidR="003675A0" w:rsidRPr="000B0143" w:rsidRDefault="003675A0">
      <w:pPr>
        <w:pStyle w:val="BodyText"/>
        <w:numPr>
          <w:ilvl w:val="0"/>
          <w:numId w:val="128"/>
        </w:numPr>
      </w:pPr>
      <w:r w:rsidRPr="00D71E5A">
        <w:t xml:space="preserve">fair </w:t>
      </w:r>
      <w:r w:rsidRPr="000B0143">
        <w:t>va</w:t>
      </w:r>
      <w:r w:rsidRPr="00D71E5A">
        <w:t>l</w:t>
      </w:r>
      <w:r w:rsidRPr="000B0143">
        <w:t xml:space="preserve">ue. </w:t>
      </w:r>
    </w:p>
    <w:p w14:paraId="23768064" w14:textId="645A5D4A" w:rsidR="003675A0" w:rsidRPr="000B0143" w:rsidRDefault="003675A0" w:rsidP="00D70B5C">
      <w:pPr>
        <w:pStyle w:val="BodyText"/>
      </w:pPr>
      <w:r w:rsidRPr="000B0143">
        <w:t>at the ‘C</w:t>
      </w:r>
      <w:r w:rsidRPr="000B0143">
        <w:rPr>
          <w:spacing w:val="2"/>
        </w:rPr>
        <w:t>ompon</w:t>
      </w:r>
      <w:r w:rsidRPr="000B0143">
        <w:t>e</w:t>
      </w:r>
      <w:r w:rsidRPr="000B0143">
        <w:rPr>
          <w:spacing w:val="1"/>
        </w:rPr>
        <w:t>n</w:t>
      </w:r>
      <w:r w:rsidRPr="000B0143">
        <w:t>t</w:t>
      </w:r>
      <w:r w:rsidR="00D70B5C">
        <w:t>’</w:t>
      </w:r>
      <w:r w:rsidRPr="000B0143">
        <w:rPr>
          <w:spacing w:val="-15"/>
        </w:rPr>
        <w:t xml:space="preserve"> </w:t>
      </w:r>
      <w:r w:rsidRPr="000B0143">
        <w:rPr>
          <w:spacing w:val="2"/>
          <w:w w:val="90"/>
        </w:rPr>
        <w:t>l</w:t>
      </w:r>
      <w:r w:rsidRPr="000B0143">
        <w:rPr>
          <w:spacing w:val="1"/>
          <w:w w:val="90"/>
        </w:rPr>
        <w:t>e</w:t>
      </w:r>
      <w:r w:rsidRPr="000B0143">
        <w:rPr>
          <w:w w:val="92"/>
        </w:rPr>
        <w:t>v</w:t>
      </w:r>
      <w:r w:rsidRPr="000B0143">
        <w:rPr>
          <w:w w:val="93"/>
        </w:rPr>
        <w:t>e</w:t>
      </w:r>
      <w:r w:rsidRPr="000B0143">
        <w:rPr>
          <w:w w:val="83"/>
        </w:rPr>
        <w:t>l</w:t>
      </w:r>
    </w:p>
    <w:p w14:paraId="1428373A" w14:textId="79B9C615" w:rsidR="003675A0" w:rsidRPr="000B0143" w:rsidRDefault="003675A0">
      <w:pPr>
        <w:pStyle w:val="BodyText"/>
        <w:numPr>
          <w:ilvl w:val="0"/>
          <w:numId w:val="127"/>
        </w:numPr>
      </w:pPr>
      <w:r w:rsidRPr="000B0143">
        <w:t>gross value (either market value or gross replacement cost), accumulated depreciation and future value</w:t>
      </w:r>
      <w:r w:rsidR="00D70B5C">
        <w:t>;</w:t>
      </w:r>
      <w:r w:rsidRPr="000B0143">
        <w:t xml:space="preserve"> and</w:t>
      </w:r>
    </w:p>
    <w:p w14:paraId="65DB56B4" w14:textId="77777777" w:rsidR="003675A0" w:rsidRPr="000B0143" w:rsidRDefault="003675A0">
      <w:pPr>
        <w:pStyle w:val="BodyText"/>
        <w:numPr>
          <w:ilvl w:val="0"/>
          <w:numId w:val="127"/>
        </w:numPr>
      </w:pPr>
      <w:r w:rsidRPr="000B0143">
        <w:t>condition or consumption score.</w:t>
      </w:r>
    </w:p>
    <w:p w14:paraId="2A9A1ECB" w14:textId="66F10A8A" w:rsidR="003675A0" w:rsidRPr="000B0143" w:rsidRDefault="003675A0" w:rsidP="00D70B5C">
      <w:pPr>
        <w:pStyle w:val="BodyText"/>
      </w:pPr>
      <w:r w:rsidRPr="000B0143">
        <w:t>In relation to the determination of fair value under the market approach, cost approach or income approach</w:t>
      </w:r>
      <w:r w:rsidR="00D70B5C">
        <w:t>:</w:t>
      </w:r>
    </w:p>
    <w:p w14:paraId="759C1EB2" w14:textId="77777777" w:rsidR="003675A0" w:rsidRPr="000B0143" w:rsidRDefault="003675A0">
      <w:pPr>
        <w:pStyle w:val="BodyText"/>
        <w:numPr>
          <w:ilvl w:val="0"/>
          <w:numId w:val="128"/>
        </w:numPr>
      </w:pPr>
      <w:r w:rsidRPr="000B0143">
        <w:t>for market value – prices for market transactions of identical or similar assets</w:t>
      </w:r>
    </w:p>
    <w:p w14:paraId="0152816A" w14:textId="77777777" w:rsidR="003675A0" w:rsidRPr="000B0143" w:rsidRDefault="003675A0">
      <w:pPr>
        <w:pStyle w:val="BodyText"/>
        <w:numPr>
          <w:ilvl w:val="0"/>
          <w:numId w:val="128"/>
        </w:numPr>
      </w:pPr>
      <w:r w:rsidRPr="000B0143">
        <w:t>for cost approach</w:t>
      </w:r>
    </w:p>
    <w:p w14:paraId="553B5E9A" w14:textId="77777777" w:rsidR="003675A0" w:rsidRPr="000B0143" w:rsidRDefault="003675A0">
      <w:pPr>
        <w:pStyle w:val="BodyText"/>
        <w:numPr>
          <w:ilvl w:val="1"/>
          <w:numId w:val="128"/>
        </w:numPr>
      </w:pPr>
      <w:r w:rsidRPr="000B0143">
        <w:t>dimensions and associated unit rate applied</w:t>
      </w:r>
    </w:p>
    <w:p w14:paraId="61A92265" w14:textId="77777777" w:rsidR="003675A0" w:rsidRPr="000B0143" w:rsidRDefault="003675A0">
      <w:pPr>
        <w:pStyle w:val="BodyText"/>
        <w:numPr>
          <w:ilvl w:val="1"/>
          <w:numId w:val="128"/>
        </w:numPr>
      </w:pPr>
      <w:r w:rsidRPr="000B0143">
        <w:t>indices applied (where relevant)</w:t>
      </w:r>
    </w:p>
    <w:p w14:paraId="309969F0" w14:textId="63ABE637" w:rsidR="003675A0" w:rsidRPr="000B0143" w:rsidRDefault="003675A0">
      <w:pPr>
        <w:pStyle w:val="BodyText"/>
        <w:numPr>
          <w:ilvl w:val="1"/>
          <w:numId w:val="128"/>
        </w:numPr>
      </w:pPr>
      <w:r w:rsidRPr="000B0143">
        <w:t>income approach – future cash flows and discount rate</w:t>
      </w:r>
      <w:r w:rsidR="00D70B5C">
        <w:t>;</w:t>
      </w:r>
      <w:r w:rsidRPr="000B0143">
        <w:t xml:space="preserve"> and</w:t>
      </w:r>
    </w:p>
    <w:p w14:paraId="0881EF96" w14:textId="77777777" w:rsidR="003675A0" w:rsidRPr="000B0143" w:rsidRDefault="003675A0">
      <w:pPr>
        <w:pStyle w:val="BodyText"/>
        <w:numPr>
          <w:ilvl w:val="1"/>
          <w:numId w:val="128"/>
        </w:numPr>
      </w:pPr>
      <w:r w:rsidRPr="000B0143">
        <w:t>assumptions applied in calculating the above-mentioned values.</w:t>
      </w:r>
    </w:p>
    <w:p w14:paraId="7BD10755" w14:textId="77777777" w:rsidR="003675A0" w:rsidRPr="00D70B5C" w:rsidRDefault="003675A0" w:rsidP="00D70B5C">
      <w:pPr>
        <w:pStyle w:val="BodyText"/>
      </w:pPr>
      <w:r w:rsidRPr="00D70B5C">
        <w:t>Financial Statement Disclosure Information</w:t>
      </w:r>
    </w:p>
    <w:p w14:paraId="1D1350C6" w14:textId="1B9BADF4" w:rsidR="003675A0" w:rsidRPr="000B0143" w:rsidRDefault="36C68F44" w:rsidP="00D70B5C">
      <w:pPr>
        <w:pStyle w:val="BodyText"/>
      </w:pPr>
      <w:r w:rsidRPr="00D71E5A">
        <w:t>Inf</w:t>
      </w:r>
      <w:r w:rsidRPr="000B0143">
        <w:t>o</w:t>
      </w:r>
      <w:r w:rsidRPr="00D71E5A">
        <w:t>r</w:t>
      </w:r>
      <w:r w:rsidRPr="000B0143">
        <w:t>m</w:t>
      </w:r>
      <w:r w:rsidRPr="00D71E5A">
        <w:t>ati</w:t>
      </w:r>
      <w:r w:rsidRPr="000B0143">
        <w:t>o</w:t>
      </w:r>
      <w:r w:rsidRPr="00D71E5A">
        <w:t>n</w:t>
      </w:r>
      <w:r w:rsidRPr="000B0143">
        <w:t xml:space="preserve"> </w:t>
      </w:r>
      <w:r w:rsidRPr="00D71E5A">
        <w:t>relevant t</w:t>
      </w:r>
      <w:r w:rsidRPr="000B0143">
        <w:t>o</w:t>
      </w:r>
      <w:r w:rsidRPr="00D71E5A">
        <w:t xml:space="preserve"> disclosures required </w:t>
      </w:r>
      <w:r w:rsidRPr="000B0143">
        <w:t>un</w:t>
      </w:r>
      <w:r w:rsidRPr="00D71E5A">
        <w:t>de</w:t>
      </w:r>
      <w:r w:rsidRPr="000B0143">
        <w:t>r</w:t>
      </w:r>
      <w:r w:rsidRPr="00D71E5A">
        <w:t xml:space="preserve"> AASB13 Fair Value Measurement (2022). This should include information a</w:t>
      </w:r>
      <w:r w:rsidRPr="000B0143">
        <w:t>bo</w:t>
      </w:r>
      <w:r w:rsidRPr="00D71E5A">
        <w:t>u</w:t>
      </w:r>
      <w:r w:rsidRPr="000B0143">
        <w:t>t</w:t>
      </w:r>
      <w:r w:rsidRPr="00D71E5A">
        <w:t>:</w:t>
      </w:r>
    </w:p>
    <w:p w14:paraId="090E9061" w14:textId="77777777" w:rsidR="003675A0" w:rsidRPr="000B0143" w:rsidRDefault="003675A0">
      <w:pPr>
        <w:pStyle w:val="BodyText"/>
        <w:numPr>
          <w:ilvl w:val="0"/>
          <w:numId w:val="128"/>
        </w:numPr>
      </w:pPr>
      <w:r w:rsidRPr="00D71E5A">
        <w:t xml:space="preserve">level </w:t>
      </w:r>
      <w:r w:rsidRPr="000B0143">
        <w:t xml:space="preserve">of </w:t>
      </w:r>
      <w:r w:rsidRPr="00D71E5A">
        <w:t>valuation input</w:t>
      </w:r>
    </w:p>
    <w:p w14:paraId="0EC5818E" w14:textId="330B3DF6" w:rsidR="003675A0" w:rsidRPr="000B0143" w:rsidRDefault="003675A0">
      <w:pPr>
        <w:pStyle w:val="BodyText"/>
        <w:numPr>
          <w:ilvl w:val="0"/>
          <w:numId w:val="128"/>
        </w:numPr>
      </w:pPr>
      <w:r w:rsidRPr="00D71E5A">
        <w:t>valuation techniques</w:t>
      </w:r>
      <w:r w:rsidR="00D70B5C">
        <w:t>;</w:t>
      </w:r>
      <w:r w:rsidRPr="00D71E5A">
        <w:t xml:space="preserve"> and</w:t>
      </w:r>
    </w:p>
    <w:p w14:paraId="4A07CD6C" w14:textId="77777777" w:rsidR="003675A0" w:rsidRPr="000B0143" w:rsidRDefault="003675A0">
      <w:pPr>
        <w:pStyle w:val="BodyText"/>
        <w:numPr>
          <w:ilvl w:val="0"/>
          <w:numId w:val="128"/>
        </w:numPr>
      </w:pPr>
      <w:r w:rsidRPr="00D71E5A">
        <w:t>the source of key inputs</w:t>
      </w:r>
      <w:r w:rsidRPr="000B0143">
        <w:t>.</w:t>
      </w:r>
    </w:p>
    <w:p w14:paraId="286081DA" w14:textId="3BBBBDB9" w:rsidR="003675A0" w:rsidRPr="00D70B5C" w:rsidRDefault="36C68F44" w:rsidP="00D70B5C">
      <w:pPr>
        <w:pStyle w:val="BodyText"/>
        <w:rPr>
          <w:b/>
          <w:bCs/>
        </w:rPr>
      </w:pPr>
      <w:r w:rsidRPr="00D70B5C">
        <w:rPr>
          <w:b/>
          <w:bCs/>
        </w:rPr>
        <w:lastRenderedPageBreak/>
        <w:t>Timing</w:t>
      </w:r>
    </w:p>
    <w:p w14:paraId="196244F7" w14:textId="159F2E07" w:rsidR="003675A0" w:rsidRPr="000B0143" w:rsidRDefault="00D70B5C">
      <w:pPr>
        <w:pStyle w:val="BodyText"/>
        <w:numPr>
          <w:ilvl w:val="0"/>
          <w:numId w:val="128"/>
        </w:numPr>
      </w:pPr>
      <w:r>
        <w:t>D</w:t>
      </w:r>
      <w:r w:rsidR="003675A0" w:rsidRPr="00D71E5A">
        <w:t>raf</w:t>
      </w:r>
      <w:r w:rsidR="003675A0" w:rsidRPr="000B0143">
        <w:t>t</w:t>
      </w:r>
      <w:r w:rsidR="003675A0" w:rsidRPr="00D71E5A">
        <w:t xml:space="preserve"> repor</w:t>
      </w:r>
      <w:r w:rsidR="003675A0" w:rsidRPr="000B0143">
        <w:t>t</w:t>
      </w:r>
      <w:r w:rsidR="003675A0" w:rsidRPr="00D71E5A">
        <w:t xml:space="preserve"> t</w:t>
      </w:r>
      <w:r w:rsidR="003675A0" w:rsidRPr="000B0143">
        <w:t>o</w:t>
      </w:r>
      <w:r w:rsidR="003675A0" w:rsidRPr="00D71E5A">
        <w:t xml:space="preserve"> b</w:t>
      </w:r>
      <w:r w:rsidR="003675A0" w:rsidRPr="000B0143">
        <w:t>e</w:t>
      </w:r>
      <w:r w:rsidR="003675A0" w:rsidRPr="00D71E5A">
        <w:t xml:space="preserve"> provided </w:t>
      </w:r>
      <w:r w:rsidR="003675A0" w:rsidRPr="000B0143">
        <w:t>by</w:t>
      </w:r>
      <w:r w:rsidR="003675A0" w:rsidRPr="00D71E5A">
        <w:t xml:space="preserve"> [</w:t>
      </w:r>
      <w:r w:rsidR="003675A0" w:rsidRPr="00D71E5A">
        <w:rPr>
          <w:i/>
          <w:iCs/>
        </w:rPr>
        <w:t>dat</w:t>
      </w:r>
      <w:r w:rsidR="003675A0" w:rsidRPr="008674E8">
        <w:rPr>
          <w:i/>
          <w:iCs/>
        </w:rPr>
        <w:t>e</w:t>
      </w:r>
      <w:r w:rsidR="003675A0" w:rsidRPr="00D71E5A">
        <w:rPr>
          <w:i/>
          <w:iCs/>
        </w:rPr>
        <w:t xml:space="preserve"> </w:t>
      </w:r>
      <w:r w:rsidR="003675A0" w:rsidRPr="008674E8">
        <w:rPr>
          <w:i/>
          <w:iCs/>
        </w:rPr>
        <w:t>f</w:t>
      </w:r>
      <w:r w:rsidR="003675A0" w:rsidRPr="00D71E5A">
        <w:rPr>
          <w:i/>
          <w:iCs/>
        </w:rPr>
        <w:t>o</w:t>
      </w:r>
      <w:r w:rsidR="003675A0" w:rsidRPr="008674E8">
        <w:rPr>
          <w:i/>
          <w:iCs/>
        </w:rPr>
        <w:t>r</w:t>
      </w:r>
      <w:r w:rsidR="003675A0" w:rsidRPr="00D71E5A">
        <w:rPr>
          <w:i/>
          <w:iCs/>
        </w:rPr>
        <w:t xml:space="preserve"> draf</w:t>
      </w:r>
      <w:r w:rsidR="003675A0" w:rsidRPr="008674E8">
        <w:rPr>
          <w:i/>
          <w:iCs/>
        </w:rPr>
        <w:t>t</w:t>
      </w:r>
      <w:r w:rsidR="003675A0" w:rsidRPr="00D71E5A">
        <w:rPr>
          <w:i/>
          <w:iCs/>
        </w:rPr>
        <w:t xml:space="preserve"> repor</w:t>
      </w:r>
      <w:r w:rsidR="003675A0" w:rsidRPr="008674E8">
        <w:rPr>
          <w:i/>
          <w:iCs/>
        </w:rPr>
        <w:t>t</w:t>
      </w:r>
      <w:r w:rsidR="003675A0" w:rsidRPr="000B0143">
        <w:t>]</w:t>
      </w:r>
      <w:r>
        <w:t>;</w:t>
      </w:r>
      <w:r w:rsidR="003675A0" w:rsidRPr="000B0143">
        <w:t xml:space="preserve"> and</w:t>
      </w:r>
    </w:p>
    <w:p w14:paraId="69FC771E" w14:textId="49E7F637" w:rsidR="003675A0" w:rsidRPr="000B0143" w:rsidRDefault="00D70B5C">
      <w:pPr>
        <w:pStyle w:val="BodyText"/>
        <w:numPr>
          <w:ilvl w:val="0"/>
          <w:numId w:val="128"/>
        </w:numPr>
      </w:pPr>
      <w:r>
        <w:t>F</w:t>
      </w:r>
      <w:r w:rsidR="003675A0" w:rsidRPr="00D71E5A">
        <w:t>inal repor</w:t>
      </w:r>
      <w:r w:rsidR="003675A0" w:rsidRPr="000B0143">
        <w:t>t</w:t>
      </w:r>
      <w:r w:rsidR="003675A0" w:rsidRPr="00D71E5A">
        <w:t xml:space="preserve"> t</w:t>
      </w:r>
      <w:r w:rsidR="003675A0" w:rsidRPr="000B0143">
        <w:t>o</w:t>
      </w:r>
      <w:r w:rsidR="003675A0" w:rsidRPr="00D71E5A">
        <w:t xml:space="preserve"> b</w:t>
      </w:r>
      <w:r w:rsidR="003675A0" w:rsidRPr="000B0143">
        <w:t>e</w:t>
      </w:r>
      <w:r w:rsidR="003675A0" w:rsidRPr="00D71E5A">
        <w:t xml:space="preserve"> provided </w:t>
      </w:r>
      <w:r w:rsidR="003675A0" w:rsidRPr="000B0143">
        <w:t>by [</w:t>
      </w:r>
      <w:r w:rsidR="003675A0" w:rsidRPr="00D71E5A">
        <w:rPr>
          <w:i/>
          <w:iCs/>
        </w:rPr>
        <w:t>dat</w:t>
      </w:r>
      <w:r w:rsidR="003675A0" w:rsidRPr="008674E8">
        <w:rPr>
          <w:i/>
          <w:iCs/>
        </w:rPr>
        <w:t>e</w:t>
      </w:r>
      <w:r w:rsidR="003675A0" w:rsidRPr="00D71E5A">
        <w:rPr>
          <w:i/>
          <w:iCs/>
        </w:rPr>
        <w:t xml:space="preserve"> </w:t>
      </w:r>
      <w:r w:rsidR="003675A0" w:rsidRPr="008674E8">
        <w:rPr>
          <w:i/>
          <w:iCs/>
        </w:rPr>
        <w:t>f</w:t>
      </w:r>
      <w:r w:rsidR="003675A0" w:rsidRPr="00D71E5A">
        <w:rPr>
          <w:i/>
          <w:iCs/>
        </w:rPr>
        <w:t>o</w:t>
      </w:r>
      <w:r w:rsidR="003675A0" w:rsidRPr="008674E8">
        <w:rPr>
          <w:i/>
          <w:iCs/>
        </w:rPr>
        <w:t>r</w:t>
      </w:r>
      <w:r w:rsidR="003675A0" w:rsidRPr="00D71E5A">
        <w:rPr>
          <w:i/>
          <w:iCs/>
        </w:rPr>
        <w:t xml:space="preserve"> final repor</w:t>
      </w:r>
      <w:r w:rsidR="003675A0" w:rsidRPr="008674E8">
        <w:rPr>
          <w:i/>
          <w:iCs/>
        </w:rPr>
        <w:t>t</w:t>
      </w:r>
      <w:r w:rsidR="003675A0" w:rsidRPr="000B0143">
        <w:t>].</w:t>
      </w:r>
    </w:p>
    <w:p w14:paraId="6B719F1A" w14:textId="77777777" w:rsidR="003675A0" w:rsidRPr="00D70B5C" w:rsidRDefault="003675A0" w:rsidP="00D70B5C">
      <w:pPr>
        <w:pStyle w:val="BodyText"/>
        <w:rPr>
          <w:b/>
          <w:bCs/>
        </w:rPr>
      </w:pPr>
      <w:r w:rsidRPr="00D70B5C">
        <w:rPr>
          <w:b/>
          <w:bCs/>
        </w:rPr>
        <w:t>Valuation report and certificate</w:t>
      </w:r>
    </w:p>
    <w:p w14:paraId="00F18BE1" w14:textId="77777777" w:rsidR="003675A0" w:rsidRPr="000B0143" w:rsidRDefault="003675A0" w:rsidP="00D70B5C">
      <w:pPr>
        <w:pStyle w:val="BodyText"/>
      </w:pPr>
      <w:r w:rsidRPr="00D71E5A">
        <w:t>Signed original re</w:t>
      </w:r>
      <w:r w:rsidRPr="000B0143">
        <w:t>po</w:t>
      </w:r>
      <w:r w:rsidRPr="00D71E5A">
        <w:t>r</w:t>
      </w:r>
      <w:r w:rsidRPr="000B0143">
        <w:t>t</w:t>
      </w:r>
      <w:r w:rsidRPr="00D71E5A">
        <w:t xml:space="preserve"> setting </w:t>
      </w:r>
      <w:r w:rsidRPr="000B0143">
        <w:t>o</w:t>
      </w:r>
      <w:r w:rsidRPr="00D71E5A">
        <w:t>u</w:t>
      </w:r>
      <w:r w:rsidRPr="000B0143">
        <w:t>t</w:t>
      </w:r>
      <w:r w:rsidRPr="00D71E5A">
        <w:t xml:space="preserve"> t</w:t>
      </w:r>
      <w:r w:rsidRPr="000B0143">
        <w:t>he</w:t>
      </w:r>
      <w:r w:rsidRPr="00D71E5A">
        <w:t xml:space="preserve"> </w:t>
      </w:r>
      <w:r w:rsidRPr="000B0143">
        <w:t>pr</w:t>
      </w:r>
      <w:r w:rsidRPr="00D71E5A">
        <w:t>oces</w:t>
      </w:r>
      <w:r w:rsidRPr="000B0143">
        <w:t>s,</w:t>
      </w:r>
      <w:r w:rsidRPr="00D71E5A">
        <w:t xml:space="preserve"> results, limitations, qualification </w:t>
      </w:r>
      <w:r w:rsidRPr="000B0143">
        <w:t xml:space="preserve">of </w:t>
      </w:r>
      <w:r w:rsidRPr="00D71E5A">
        <w:t>t</w:t>
      </w:r>
      <w:r w:rsidRPr="000B0143">
        <w:t>he</w:t>
      </w:r>
      <w:r w:rsidRPr="00D71E5A">
        <w:t xml:space="preserve"> valuer</w:t>
      </w:r>
      <w:r w:rsidRPr="000B0143">
        <w:t xml:space="preserve">, </w:t>
      </w:r>
      <w:r w:rsidRPr="00D71E5A">
        <w:t>valuation certificate a</w:t>
      </w:r>
      <w:r w:rsidRPr="000B0143">
        <w:t>nd</w:t>
      </w:r>
      <w:r w:rsidRPr="00D71E5A">
        <w:t xml:space="preserve"> summary </w:t>
      </w:r>
      <w:r w:rsidRPr="000B0143">
        <w:t>d</w:t>
      </w:r>
      <w:r w:rsidRPr="00D71E5A">
        <w:t>a</w:t>
      </w:r>
      <w:r w:rsidRPr="000B0143">
        <w:t>ta.</w:t>
      </w:r>
    </w:p>
    <w:p w14:paraId="4D8FEBB6" w14:textId="77777777" w:rsidR="003675A0" w:rsidRPr="00D70B5C" w:rsidRDefault="003675A0" w:rsidP="00D70B5C">
      <w:pPr>
        <w:pStyle w:val="BodyText"/>
        <w:rPr>
          <w:b/>
          <w:bCs/>
        </w:rPr>
      </w:pPr>
      <w:r w:rsidRPr="00D70B5C">
        <w:rPr>
          <w:b/>
          <w:bCs/>
        </w:rPr>
        <w:t>Electronic valuation report</w:t>
      </w:r>
    </w:p>
    <w:p w14:paraId="25528F12" w14:textId="77777777" w:rsidR="003675A0" w:rsidRPr="000B0143" w:rsidRDefault="003675A0" w:rsidP="00D70B5C">
      <w:pPr>
        <w:pStyle w:val="BodyText"/>
      </w:pPr>
      <w:r w:rsidRPr="00D71E5A">
        <w:t>T</w:t>
      </w:r>
      <w:r w:rsidRPr="000B0143">
        <w:t>o</w:t>
      </w:r>
      <w:r w:rsidRPr="00D71E5A">
        <w:t xml:space="preserve"> b</w:t>
      </w:r>
      <w:r w:rsidRPr="000B0143">
        <w:t>e</w:t>
      </w:r>
      <w:r w:rsidRPr="00D71E5A">
        <w:t xml:space="preserve"> provided in either Microsoft Excel </w:t>
      </w:r>
      <w:r w:rsidRPr="000B0143">
        <w:t>or</w:t>
      </w:r>
      <w:r w:rsidRPr="00D71E5A">
        <w:t xml:space="preserve"> a</w:t>
      </w:r>
      <w:r w:rsidRPr="000B0143">
        <w:t>n</w:t>
      </w:r>
      <w:r w:rsidRPr="00D71E5A">
        <w:t xml:space="preserve"> electronic database listing e</w:t>
      </w:r>
      <w:r w:rsidRPr="000B0143">
        <w:t>a</w:t>
      </w:r>
      <w:r w:rsidRPr="00D71E5A">
        <w:t>c</w:t>
      </w:r>
      <w:r w:rsidRPr="000B0143">
        <w:t>h</w:t>
      </w:r>
      <w:r w:rsidRPr="00D71E5A">
        <w:t xml:space="preserve"> as</w:t>
      </w:r>
      <w:r w:rsidRPr="000B0143">
        <w:t>s</w:t>
      </w:r>
      <w:r w:rsidRPr="00D71E5A">
        <w:t>e</w:t>
      </w:r>
      <w:r w:rsidRPr="000B0143">
        <w:t>t</w:t>
      </w:r>
      <w:r w:rsidRPr="00D71E5A">
        <w:t xml:space="preserve"> a</w:t>
      </w:r>
      <w:r w:rsidRPr="000B0143">
        <w:t xml:space="preserve">nd </w:t>
      </w:r>
      <w:r w:rsidRPr="00D71E5A">
        <w:t>c</w:t>
      </w:r>
      <w:r w:rsidRPr="000B0143">
        <w:t>ompon</w:t>
      </w:r>
      <w:r w:rsidRPr="00D71E5A">
        <w:t>ent</w:t>
      </w:r>
      <w:r w:rsidRPr="000B0143">
        <w:t>,</w:t>
      </w:r>
      <w:r w:rsidRPr="00D71E5A">
        <w:t xml:space="preserve"> underlying assumptions a</w:t>
      </w:r>
      <w:r w:rsidRPr="000B0143">
        <w:t>nd</w:t>
      </w:r>
      <w:r w:rsidRPr="00D71E5A">
        <w:t xml:space="preserve"> results with hyperlinked </w:t>
      </w:r>
      <w:r w:rsidRPr="000B0143">
        <w:t>pho</w:t>
      </w:r>
      <w:r w:rsidRPr="00D71E5A">
        <w:t>to</w:t>
      </w:r>
      <w:r w:rsidRPr="000B0143">
        <w:t>gr</w:t>
      </w:r>
      <w:r w:rsidRPr="00D71E5A">
        <w:t>a</w:t>
      </w:r>
      <w:r w:rsidRPr="000B0143">
        <w:t>phs,</w:t>
      </w:r>
      <w:r w:rsidRPr="00D71E5A">
        <w:t xml:space="preserve"> a</w:t>
      </w:r>
      <w:r w:rsidRPr="000B0143">
        <w:t>nd</w:t>
      </w:r>
      <w:r w:rsidRPr="00D71E5A">
        <w:t xml:space="preserve"> GIS coordinates (where</w:t>
      </w:r>
      <w:r w:rsidRPr="000B0143">
        <w:t xml:space="preserve"> </w:t>
      </w:r>
      <w:r w:rsidRPr="00D71E5A">
        <w:t>appropriate)</w:t>
      </w:r>
      <w:r w:rsidRPr="000B0143">
        <w:t>.</w:t>
      </w:r>
    </w:p>
    <w:p w14:paraId="6B475E55" w14:textId="77777777" w:rsidR="003675A0" w:rsidRPr="000B0143" w:rsidRDefault="003675A0" w:rsidP="00D70B5C">
      <w:pPr>
        <w:pStyle w:val="BodyText"/>
      </w:pPr>
      <w:r w:rsidRPr="00D71E5A">
        <w:t xml:space="preserve">The ability </w:t>
      </w:r>
      <w:r w:rsidRPr="000B0143">
        <w:t>for</w:t>
      </w:r>
      <w:r w:rsidRPr="00D71E5A">
        <w:t xml:space="preserve"> t</w:t>
      </w:r>
      <w:r w:rsidRPr="000B0143">
        <w:t>he</w:t>
      </w:r>
      <w:r w:rsidRPr="00D71E5A">
        <w:t xml:space="preserve"> entity t</w:t>
      </w:r>
      <w:r w:rsidRPr="000B0143">
        <w:t>o</w:t>
      </w:r>
      <w:r w:rsidRPr="00D71E5A">
        <w:t xml:space="preserve"> </w:t>
      </w:r>
      <w:r w:rsidRPr="000B0143">
        <w:t>a</w:t>
      </w:r>
      <w:r w:rsidRPr="00D71E5A">
        <w:t>cces</w:t>
      </w:r>
      <w:r w:rsidRPr="000B0143">
        <w:t>s</w:t>
      </w:r>
      <w:r w:rsidRPr="00D71E5A">
        <w:t xml:space="preserve"> t</w:t>
      </w:r>
      <w:r w:rsidRPr="000B0143">
        <w:t>he</w:t>
      </w:r>
      <w:r w:rsidRPr="00D71E5A">
        <w:t xml:space="preserve"> electronic </w:t>
      </w:r>
      <w:r w:rsidRPr="000B0143">
        <w:t>d</w:t>
      </w:r>
      <w:r w:rsidRPr="00D71E5A">
        <w:t>a</w:t>
      </w:r>
      <w:r w:rsidRPr="000B0143">
        <w:t>ta</w:t>
      </w:r>
      <w:r w:rsidRPr="00D71E5A">
        <w:t xml:space="preserve"> a</w:t>
      </w:r>
      <w:r w:rsidRPr="000B0143">
        <w:t>nd</w:t>
      </w:r>
      <w:r w:rsidRPr="00D71E5A">
        <w:t xml:space="preserve"> </w:t>
      </w:r>
      <w:r w:rsidRPr="000B0143">
        <w:t>use</w:t>
      </w:r>
      <w:r w:rsidRPr="00D71E5A">
        <w:t xml:space="preserve"> it t</w:t>
      </w:r>
      <w:r w:rsidRPr="000B0143">
        <w:t>o</w:t>
      </w:r>
      <w:r w:rsidRPr="00D71E5A">
        <w:t xml:space="preserve"> upload t</w:t>
      </w:r>
      <w:r w:rsidRPr="000B0143">
        <w:t>o</w:t>
      </w:r>
      <w:r w:rsidRPr="00D71E5A">
        <w:t xml:space="preserve"> </w:t>
      </w:r>
      <w:r w:rsidRPr="000B0143">
        <w:t>o</w:t>
      </w:r>
      <w:r w:rsidRPr="00D71E5A">
        <w:t>t</w:t>
      </w:r>
      <w:r w:rsidRPr="000B0143">
        <w:t>h</w:t>
      </w:r>
      <w:r w:rsidRPr="00D71E5A">
        <w:t>e</w:t>
      </w:r>
      <w:r w:rsidRPr="000B0143">
        <w:t>r</w:t>
      </w:r>
      <w:r w:rsidRPr="00D71E5A">
        <w:t xml:space="preserve"> systems is critical</w:t>
      </w:r>
      <w:r w:rsidRPr="000B0143">
        <w:t>.</w:t>
      </w:r>
    </w:p>
    <w:p w14:paraId="2BFAD6F2" w14:textId="77777777" w:rsidR="003675A0" w:rsidRPr="00D70B5C" w:rsidRDefault="003675A0" w:rsidP="00D70B5C">
      <w:pPr>
        <w:pStyle w:val="BodyText"/>
        <w:rPr>
          <w:b/>
          <w:bCs/>
        </w:rPr>
      </w:pPr>
      <w:r w:rsidRPr="00D70B5C">
        <w:rPr>
          <w:b/>
          <w:bCs/>
        </w:rPr>
        <w:t>Valuation methodology</w:t>
      </w:r>
    </w:p>
    <w:p w14:paraId="5114C353" w14:textId="77777777" w:rsidR="003675A0" w:rsidRPr="00D71E5A" w:rsidRDefault="003675A0" w:rsidP="00D70B5C">
      <w:pPr>
        <w:pStyle w:val="BodyText"/>
      </w:pPr>
      <w:r w:rsidRPr="00D71E5A">
        <w:t>The valuation is required t</w:t>
      </w:r>
      <w:r w:rsidRPr="000B0143">
        <w:t>o</w:t>
      </w:r>
      <w:r w:rsidRPr="00D71E5A">
        <w:t xml:space="preserve"> b</w:t>
      </w:r>
      <w:r w:rsidRPr="000B0143">
        <w:t>e</w:t>
      </w:r>
      <w:r w:rsidRPr="00D71E5A">
        <w:t xml:space="preserve"> </w:t>
      </w:r>
      <w:r w:rsidRPr="000B0143">
        <w:t>suppo</w:t>
      </w:r>
      <w:r w:rsidRPr="00D71E5A">
        <w:t>rte</w:t>
      </w:r>
      <w:r w:rsidRPr="000B0143">
        <w:t>d</w:t>
      </w:r>
      <w:r w:rsidRPr="00D71E5A">
        <w:t xml:space="preserve"> </w:t>
      </w:r>
      <w:r w:rsidRPr="000B0143">
        <w:t>by</w:t>
      </w:r>
      <w:r w:rsidRPr="00D71E5A">
        <w:t xml:space="preserve"> appropriate Valuation Methodology document setting </w:t>
      </w:r>
      <w:r w:rsidRPr="000B0143">
        <w:t>o</w:t>
      </w:r>
      <w:r w:rsidRPr="00D71E5A">
        <w:t>u</w:t>
      </w:r>
      <w:r w:rsidRPr="000B0143">
        <w:t>t</w:t>
      </w:r>
      <w:r w:rsidRPr="00D71E5A">
        <w:t xml:space="preserve"> t</w:t>
      </w:r>
      <w:r w:rsidRPr="000B0143">
        <w:t>he</w:t>
      </w:r>
      <w:r w:rsidRPr="00D71E5A">
        <w:t xml:space="preserve"> underlyin</w:t>
      </w:r>
      <w:r w:rsidRPr="000B0143">
        <w:t xml:space="preserve">g </w:t>
      </w:r>
      <w:r w:rsidRPr="00D71E5A">
        <w:t xml:space="preserve">methodology, assumptions, </w:t>
      </w:r>
      <w:r w:rsidRPr="000B0143">
        <w:t>pr</w:t>
      </w:r>
      <w:r w:rsidRPr="00D71E5A">
        <w:t>oces</w:t>
      </w:r>
      <w:r w:rsidRPr="000B0143">
        <w:t>ses</w:t>
      </w:r>
      <w:r w:rsidRPr="00D71E5A">
        <w:t xml:space="preserve"> a</w:t>
      </w:r>
      <w:r w:rsidRPr="000B0143">
        <w:t>nd</w:t>
      </w:r>
      <w:r w:rsidRPr="00D71E5A">
        <w:t xml:space="preserve"> evidence </w:t>
      </w:r>
      <w:r w:rsidRPr="000B0143">
        <w:t>us</w:t>
      </w:r>
      <w:r w:rsidRPr="00D71E5A">
        <w:t>e</w:t>
      </w:r>
      <w:r w:rsidRPr="000B0143">
        <w:t>d</w:t>
      </w:r>
      <w:r w:rsidRPr="00D71E5A">
        <w:t xml:space="preserve"> t</w:t>
      </w:r>
      <w:r w:rsidRPr="000B0143">
        <w:t>o</w:t>
      </w:r>
      <w:r w:rsidRPr="00D71E5A">
        <w:t xml:space="preserve"> </w:t>
      </w:r>
      <w:r w:rsidRPr="000B0143">
        <w:t>produ</w:t>
      </w:r>
      <w:r w:rsidRPr="00D71E5A">
        <w:t>c</w:t>
      </w:r>
      <w:r w:rsidRPr="000B0143">
        <w:t>e</w:t>
      </w:r>
      <w:r w:rsidRPr="00D71E5A">
        <w:t xml:space="preserve"> t</w:t>
      </w:r>
      <w:r w:rsidRPr="000B0143">
        <w:t>he</w:t>
      </w:r>
      <w:r w:rsidRPr="00D71E5A">
        <w:t xml:space="preserve"> valuation. </w:t>
      </w:r>
    </w:p>
    <w:p w14:paraId="249636F3" w14:textId="77777777" w:rsidR="003675A0" w:rsidRPr="000B0143" w:rsidRDefault="003675A0" w:rsidP="00D70B5C">
      <w:pPr>
        <w:pStyle w:val="BodyText"/>
      </w:pPr>
      <w:r w:rsidRPr="00D71E5A">
        <w:t xml:space="preserve">This </w:t>
      </w:r>
      <w:r w:rsidRPr="000B0143">
        <w:t>n</w:t>
      </w:r>
      <w:r w:rsidRPr="00D71E5A">
        <w:t>ee</w:t>
      </w:r>
      <w:r w:rsidRPr="000B0143">
        <w:t>ds</w:t>
      </w:r>
      <w:r w:rsidRPr="00D71E5A">
        <w:t xml:space="preserve"> t</w:t>
      </w:r>
      <w:r w:rsidRPr="000B0143">
        <w:t>o</w:t>
      </w:r>
      <w:r w:rsidRPr="00D71E5A">
        <w:t xml:space="preserve"> </w:t>
      </w:r>
      <w:r w:rsidRPr="000B0143">
        <w:t>refer</w:t>
      </w:r>
      <w:r w:rsidRPr="00D71E5A">
        <w:t xml:space="preserve"> t</w:t>
      </w:r>
      <w:r w:rsidRPr="000B0143">
        <w:t>o</w:t>
      </w:r>
      <w:r w:rsidRPr="00D71E5A">
        <w:t xml:space="preserve"> t</w:t>
      </w:r>
      <w:r w:rsidRPr="000B0143">
        <w:t>he</w:t>
      </w:r>
      <w:r w:rsidRPr="00D71E5A">
        <w:t xml:space="preserve"> underlying accounting </w:t>
      </w:r>
      <w:r w:rsidRPr="000B0143">
        <w:t>st</w:t>
      </w:r>
      <w:r w:rsidRPr="00D71E5A">
        <w:t>a</w:t>
      </w:r>
      <w:r w:rsidRPr="000B0143">
        <w:t>nd</w:t>
      </w:r>
      <w:r w:rsidRPr="00D71E5A">
        <w:t>ar</w:t>
      </w:r>
      <w:r w:rsidRPr="000B0143">
        <w:t>ds</w:t>
      </w:r>
      <w:r w:rsidRPr="00D71E5A">
        <w:t xml:space="preserve"> a</w:t>
      </w:r>
      <w:r w:rsidRPr="000B0143">
        <w:t>nd</w:t>
      </w:r>
      <w:r w:rsidRPr="00D71E5A">
        <w:t xml:space="preserve"> demonstrate full compliance with all aspe</w:t>
      </w:r>
      <w:r w:rsidRPr="000B0143">
        <w:t>c</w:t>
      </w:r>
      <w:r w:rsidRPr="00D71E5A">
        <w:t>t</w:t>
      </w:r>
      <w:r w:rsidRPr="000B0143">
        <w:t>s</w:t>
      </w:r>
      <w:r w:rsidRPr="00D71E5A">
        <w:t xml:space="preserve"> </w:t>
      </w:r>
      <w:r w:rsidRPr="000B0143">
        <w:t xml:space="preserve">of </w:t>
      </w:r>
      <w:r w:rsidRPr="00D71E5A">
        <w:t>t</w:t>
      </w:r>
      <w:r w:rsidRPr="000B0143">
        <w:t>he</w:t>
      </w:r>
      <w:r w:rsidRPr="00D71E5A">
        <w:t xml:space="preserve"> accounting standards and other prescribed require</w:t>
      </w:r>
      <w:r w:rsidRPr="000B0143">
        <w:t>m</w:t>
      </w:r>
      <w:r w:rsidRPr="00D71E5A">
        <w:t>ents</w:t>
      </w:r>
      <w:r w:rsidRPr="000B0143">
        <w:t>.</w:t>
      </w:r>
    </w:p>
    <w:p w14:paraId="31C6BC0E" w14:textId="77777777" w:rsidR="003675A0" w:rsidRPr="00D71E5A" w:rsidRDefault="003675A0" w:rsidP="00D70B5C">
      <w:pPr>
        <w:pStyle w:val="BodyText"/>
      </w:pPr>
      <w:r w:rsidRPr="00D71E5A">
        <w:br w:type="page"/>
      </w:r>
    </w:p>
    <w:p w14:paraId="30292C45" w14:textId="77777777" w:rsidR="003675A0" w:rsidRPr="000B0143" w:rsidRDefault="003675A0" w:rsidP="00E207F6">
      <w:pPr>
        <w:pStyle w:val="Heading4"/>
      </w:pPr>
      <w:r w:rsidRPr="000B0143">
        <w:lastRenderedPageBreak/>
        <w:t>3 Background information</w:t>
      </w:r>
    </w:p>
    <w:p w14:paraId="36941BF9" w14:textId="4BDA9C9A" w:rsidR="003675A0" w:rsidRPr="000B0143" w:rsidRDefault="003675A0" w:rsidP="00D70B5C">
      <w:pPr>
        <w:pStyle w:val="BodyText"/>
      </w:pPr>
      <w:r w:rsidRPr="000B0143">
        <w:rPr>
          <w:spacing w:val="-16"/>
        </w:rPr>
        <w:t>T</w:t>
      </w:r>
      <w:r w:rsidRPr="000B0143">
        <w:t>o</w:t>
      </w:r>
      <w:r w:rsidRPr="000B0143">
        <w:rPr>
          <w:spacing w:val="-12"/>
        </w:rPr>
        <w:t xml:space="preserve"> </w:t>
      </w:r>
      <w:r w:rsidRPr="000B0143">
        <w:rPr>
          <w:spacing w:val="2"/>
          <w:w w:val="95"/>
        </w:rPr>
        <w:t>as</w:t>
      </w:r>
      <w:r w:rsidRPr="000B0143">
        <w:rPr>
          <w:w w:val="95"/>
        </w:rPr>
        <w:t>sist</w:t>
      </w:r>
      <w:r w:rsidRPr="000B0143">
        <w:rPr>
          <w:spacing w:val="5"/>
          <w:w w:val="95"/>
        </w:rPr>
        <w:t xml:space="preserve"> </w:t>
      </w:r>
      <w:r w:rsidRPr="000B0143">
        <w:rPr>
          <w:spacing w:val="-1"/>
        </w:rPr>
        <w:t>t</w:t>
      </w:r>
      <w:r w:rsidRPr="000B0143">
        <w:t>he</w:t>
      </w:r>
      <w:r w:rsidRPr="000B0143">
        <w:rPr>
          <w:spacing w:val="-9"/>
        </w:rPr>
        <w:t xml:space="preserve"> </w:t>
      </w:r>
      <w:r w:rsidRPr="000B0143">
        <w:rPr>
          <w:spacing w:val="-1"/>
          <w:w w:val="93"/>
        </w:rPr>
        <w:t>v</w:t>
      </w:r>
      <w:r w:rsidRPr="000B0143">
        <w:rPr>
          <w:spacing w:val="2"/>
          <w:w w:val="93"/>
        </w:rPr>
        <w:t>a</w:t>
      </w:r>
      <w:r w:rsidRPr="000B0143">
        <w:rPr>
          <w:w w:val="93"/>
        </w:rPr>
        <w:t>l</w:t>
      </w:r>
      <w:r w:rsidRPr="000B0143">
        <w:rPr>
          <w:spacing w:val="2"/>
          <w:w w:val="93"/>
        </w:rPr>
        <w:t>ue</w:t>
      </w:r>
      <w:r w:rsidRPr="000B0143">
        <w:rPr>
          <w:w w:val="93"/>
        </w:rPr>
        <w:t>r</w:t>
      </w:r>
      <w:r w:rsidR="00D70B5C">
        <w:rPr>
          <w:w w:val="93"/>
        </w:rPr>
        <w:t xml:space="preserve"> to</w:t>
      </w:r>
      <w:r w:rsidRPr="000B0143">
        <w:rPr>
          <w:spacing w:val="3"/>
          <w:w w:val="93"/>
        </w:rPr>
        <w:t xml:space="preserve"> </w:t>
      </w:r>
      <w:r w:rsidRPr="000B0143">
        <w:rPr>
          <w:w w:val="93"/>
        </w:rPr>
        <w:t>g</w:t>
      </w:r>
      <w:r w:rsidRPr="000B0143">
        <w:rPr>
          <w:spacing w:val="2"/>
          <w:w w:val="93"/>
        </w:rPr>
        <w:t>a</w:t>
      </w:r>
      <w:r w:rsidRPr="000B0143">
        <w:rPr>
          <w:w w:val="93"/>
        </w:rPr>
        <w:t>in</w:t>
      </w:r>
      <w:r w:rsidRPr="000B0143">
        <w:rPr>
          <w:spacing w:val="11"/>
          <w:w w:val="93"/>
        </w:rPr>
        <w:t xml:space="preserve"> </w:t>
      </w:r>
      <w:r w:rsidRPr="000B0143">
        <w:rPr>
          <w:spacing w:val="2"/>
        </w:rPr>
        <w:t>a</w:t>
      </w:r>
      <w:r w:rsidRPr="000B0143">
        <w:t>n</w:t>
      </w:r>
      <w:r w:rsidRPr="000B0143">
        <w:rPr>
          <w:spacing w:val="-12"/>
        </w:rPr>
        <w:t xml:space="preserve"> </w:t>
      </w:r>
      <w:r w:rsidRPr="000B0143">
        <w:rPr>
          <w:w w:val="96"/>
        </w:rPr>
        <w:t>un</w:t>
      </w:r>
      <w:r w:rsidRPr="000B0143">
        <w:rPr>
          <w:spacing w:val="2"/>
          <w:w w:val="96"/>
        </w:rPr>
        <w:t>der</w:t>
      </w:r>
      <w:r w:rsidRPr="000B0143">
        <w:rPr>
          <w:w w:val="96"/>
        </w:rPr>
        <w:t>st</w:t>
      </w:r>
      <w:r w:rsidRPr="000B0143">
        <w:rPr>
          <w:spacing w:val="2"/>
          <w:w w:val="96"/>
        </w:rPr>
        <w:t>a</w:t>
      </w:r>
      <w:r w:rsidRPr="000B0143">
        <w:rPr>
          <w:w w:val="96"/>
        </w:rPr>
        <w:t>nding</w:t>
      </w:r>
      <w:r w:rsidRPr="000B0143">
        <w:rPr>
          <w:spacing w:val="15"/>
          <w:w w:val="96"/>
        </w:rPr>
        <w:t xml:space="preserve"> </w:t>
      </w:r>
      <w:r w:rsidRPr="000B0143">
        <w:rPr>
          <w:spacing w:val="-2"/>
        </w:rPr>
        <w:t>o</w:t>
      </w:r>
      <w:r w:rsidRPr="000B0143">
        <w:t>f</w:t>
      </w:r>
      <w:r w:rsidRPr="000B0143">
        <w:rPr>
          <w:spacing w:val="-4"/>
        </w:rPr>
        <w:t xml:space="preserve"> </w:t>
      </w:r>
      <w:r w:rsidRPr="000B0143">
        <w:rPr>
          <w:spacing w:val="-1"/>
        </w:rPr>
        <w:t>t</w:t>
      </w:r>
      <w:r w:rsidRPr="000B0143">
        <w:t>he</w:t>
      </w:r>
      <w:r w:rsidRPr="000B0143">
        <w:rPr>
          <w:spacing w:val="-9"/>
        </w:rPr>
        <w:t xml:space="preserve"> </w:t>
      </w:r>
      <w:r w:rsidRPr="000B0143">
        <w:rPr>
          <w:w w:val="98"/>
        </w:rPr>
        <w:t>p</w:t>
      </w:r>
      <w:r w:rsidRPr="000B0143">
        <w:rPr>
          <w:spacing w:val="-1"/>
          <w:w w:val="98"/>
        </w:rPr>
        <w:t>r</w:t>
      </w:r>
      <w:r w:rsidRPr="000B0143">
        <w:rPr>
          <w:w w:val="98"/>
        </w:rPr>
        <w:t>oj</w:t>
      </w:r>
      <w:r w:rsidRPr="000B0143">
        <w:rPr>
          <w:spacing w:val="2"/>
          <w:w w:val="98"/>
        </w:rPr>
        <w:t>e</w:t>
      </w:r>
      <w:r w:rsidRPr="000B0143">
        <w:rPr>
          <w:w w:val="98"/>
        </w:rPr>
        <w:t>ct</w:t>
      </w:r>
      <w:r w:rsidR="00D70B5C">
        <w:rPr>
          <w:w w:val="98"/>
        </w:rPr>
        <w:t>,</w:t>
      </w:r>
      <w:r w:rsidRPr="000B0143">
        <w:rPr>
          <w:spacing w:val="4"/>
          <w:w w:val="98"/>
        </w:rPr>
        <w:t xml:space="preserve"> </w:t>
      </w:r>
      <w:r w:rsidRPr="000B0143">
        <w:rPr>
          <w:spacing w:val="-1"/>
        </w:rPr>
        <w:t>t</w:t>
      </w:r>
      <w:r w:rsidRPr="000B0143">
        <w:t>he</w:t>
      </w:r>
      <w:r w:rsidRPr="000B0143">
        <w:rPr>
          <w:spacing w:val="-9"/>
        </w:rPr>
        <w:t xml:space="preserve"> </w:t>
      </w:r>
      <w:r w:rsidRPr="000B0143">
        <w:rPr>
          <w:spacing w:val="-1"/>
          <w:w w:val="95"/>
        </w:rPr>
        <w:t>f</w:t>
      </w:r>
      <w:r w:rsidRPr="000B0143">
        <w:rPr>
          <w:w w:val="95"/>
        </w:rPr>
        <w:t>oll</w:t>
      </w:r>
      <w:r w:rsidRPr="000B0143">
        <w:rPr>
          <w:spacing w:val="-1"/>
          <w:w w:val="95"/>
        </w:rPr>
        <w:t>o</w:t>
      </w:r>
      <w:r w:rsidRPr="000B0143">
        <w:rPr>
          <w:spacing w:val="2"/>
          <w:w w:val="95"/>
        </w:rPr>
        <w:t>w</w:t>
      </w:r>
      <w:r w:rsidRPr="000B0143">
        <w:rPr>
          <w:w w:val="95"/>
        </w:rPr>
        <w:t>ing</w:t>
      </w:r>
      <w:r w:rsidRPr="000B0143">
        <w:rPr>
          <w:spacing w:val="14"/>
          <w:w w:val="95"/>
        </w:rPr>
        <w:t xml:space="preserve"> </w:t>
      </w:r>
      <w:r w:rsidRPr="000B0143">
        <w:rPr>
          <w:w w:val="95"/>
        </w:rPr>
        <w:t>in</w:t>
      </w:r>
      <w:r w:rsidRPr="000B0143">
        <w:rPr>
          <w:spacing w:val="-1"/>
          <w:w w:val="95"/>
        </w:rPr>
        <w:t>f</w:t>
      </w:r>
      <w:r w:rsidRPr="000B0143">
        <w:rPr>
          <w:w w:val="95"/>
        </w:rPr>
        <w:t>o</w:t>
      </w:r>
      <w:r w:rsidRPr="000B0143">
        <w:rPr>
          <w:spacing w:val="2"/>
          <w:w w:val="95"/>
        </w:rPr>
        <w:t>r</w:t>
      </w:r>
      <w:r w:rsidRPr="000B0143">
        <w:rPr>
          <w:w w:val="95"/>
        </w:rPr>
        <w:t>ma</w:t>
      </w:r>
      <w:r w:rsidRPr="000B0143">
        <w:rPr>
          <w:spacing w:val="-1"/>
          <w:w w:val="95"/>
        </w:rPr>
        <w:t>t</w:t>
      </w:r>
      <w:r w:rsidRPr="000B0143">
        <w:rPr>
          <w:w w:val="95"/>
        </w:rPr>
        <w:t>ion</w:t>
      </w:r>
      <w:r w:rsidRPr="000B0143">
        <w:rPr>
          <w:spacing w:val="16"/>
          <w:w w:val="95"/>
        </w:rPr>
        <w:t xml:space="preserve"> </w:t>
      </w:r>
      <w:r w:rsidRPr="000B0143">
        <w:rPr>
          <w:w w:val="95"/>
        </w:rPr>
        <w:t>is</w:t>
      </w:r>
      <w:r w:rsidRPr="000B0143">
        <w:rPr>
          <w:spacing w:val="-1"/>
          <w:w w:val="95"/>
        </w:rPr>
        <w:t xml:space="preserve"> </w:t>
      </w:r>
      <w:r w:rsidRPr="000B0143">
        <w:rPr>
          <w:w w:val="95"/>
        </w:rPr>
        <w:t>p</w:t>
      </w:r>
      <w:r w:rsidRPr="000B0143">
        <w:rPr>
          <w:spacing w:val="-1"/>
          <w:w w:val="95"/>
        </w:rPr>
        <w:t>r</w:t>
      </w:r>
      <w:r w:rsidRPr="000B0143">
        <w:rPr>
          <w:spacing w:val="-2"/>
          <w:w w:val="95"/>
        </w:rPr>
        <w:t>o</w:t>
      </w:r>
      <w:r w:rsidRPr="000B0143">
        <w:rPr>
          <w:spacing w:val="2"/>
          <w:w w:val="95"/>
        </w:rPr>
        <w:t>v</w:t>
      </w:r>
      <w:r w:rsidRPr="000B0143">
        <w:rPr>
          <w:w w:val="95"/>
        </w:rPr>
        <w:t>i</w:t>
      </w:r>
      <w:r w:rsidRPr="000B0143">
        <w:rPr>
          <w:spacing w:val="2"/>
          <w:w w:val="95"/>
        </w:rPr>
        <w:t>de</w:t>
      </w:r>
      <w:r w:rsidRPr="000B0143">
        <w:rPr>
          <w:w w:val="95"/>
        </w:rPr>
        <w:t>d</w:t>
      </w:r>
      <w:r w:rsidRPr="000B0143">
        <w:rPr>
          <w:spacing w:val="24"/>
          <w:w w:val="95"/>
        </w:rPr>
        <w:t xml:space="preserve"> </w:t>
      </w:r>
      <w:r w:rsidRPr="000B0143">
        <w:rPr>
          <w:spacing w:val="-1"/>
          <w:w w:val="94"/>
        </w:rPr>
        <w:t>r</w:t>
      </w:r>
      <w:r w:rsidRPr="000B0143">
        <w:rPr>
          <w:spacing w:val="2"/>
          <w:w w:val="93"/>
        </w:rPr>
        <w:t>e</w:t>
      </w:r>
      <w:r w:rsidRPr="000B0143">
        <w:t>g</w:t>
      </w:r>
      <w:r w:rsidRPr="000B0143">
        <w:rPr>
          <w:spacing w:val="2"/>
          <w:w w:val="93"/>
        </w:rPr>
        <w:t>a</w:t>
      </w:r>
      <w:r w:rsidRPr="000B0143">
        <w:rPr>
          <w:spacing w:val="-1"/>
          <w:w w:val="94"/>
        </w:rPr>
        <w:t>r</w:t>
      </w:r>
      <w:r w:rsidRPr="000B0143">
        <w:rPr>
          <w:w w:val="103"/>
        </w:rPr>
        <w:t>d</w:t>
      </w:r>
      <w:r w:rsidRPr="000B0143">
        <w:rPr>
          <w:w w:val="83"/>
        </w:rPr>
        <w:t>i</w:t>
      </w:r>
      <w:r w:rsidRPr="000B0143">
        <w:rPr>
          <w:w w:val="96"/>
        </w:rPr>
        <w:t>n</w:t>
      </w:r>
      <w:r w:rsidRPr="000B0143">
        <w:t xml:space="preserve">g </w:t>
      </w:r>
      <w:r w:rsidRPr="000B0143">
        <w:rPr>
          <w:spacing w:val="-2"/>
          <w:position w:val="-1"/>
        </w:rPr>
        <w:t>[</w:t>
      </w:r>
      <w:r w:rsidRPr="000B0143">
        <w:rPr>
          <w:spacing w:val="2"/>
          <w:position w:val="-1"/>
        </w:rPr>
        <w:t>n</w:t>
      </w:r>
      <w:r w:rsidRPr="000B0143">
        <w:rPr>
          <w:spacing w:val="3"/>
          <w:position w:val="-1"/>
        </w:rPr>
        <w:t>a</w:t>
      </w:r>
      <w:r w:rsidRPr="000B0143">
        <w:rPr>
          <w:position w:val="-1"/>
        </w:rPr>
        <w:t>me</w:t>
      </w:r>
      <w:r w:rsidRPr="000B0143">
        <w:rPr>
          <w:spacing w:val="17"/>
          <w:position w:val="-1"/>
        </w:rPr>
        <w:t xml:space="preserve"> </w:t>
      </w:r>
      <w:r w:rsidRPr="000B0143">
        <w:rPr>
          <w:spacing w:val="-1"/>
          <w:position w:val="-1"/>
        </w:rPr>
        <w:t>o</w:t>
      </w:r>
      <w:r w:rsidRPr="000B0143">
        <w:rPr>
          <w:position w:val="-1"/>
        </w:rPr>
        <w:t>f</w:t>
      </w:r>
      <w:r w:rsidRPr="000B0143">
        <w:rPr>
          <w:spacing w:val="14"/>
          <w:position w:val="-1"/>
        </w:rPr>
        <w:t xml:space="preserve"> </w:t>
      </w:r>
      <w:r w:rsidRPr="000B0143">
        <w:rPr>
          <w:spacing w:val="3"/>
          <w:position w:val="-1"/>
        </w:rPr>
        <w:t>e</w:t>
      </w:r>
      <w:r w:rsidRPr="000B0143">
        <w:rPr>
          <w:w w:val="103"/>
          <w:position w:val="-1"/>
        </w:rPr>
        <w:t>n</w:t>
      </w:r>
      <w:r w:rsidRPr="000B0143">
        <w:rPr>
          <w:w w:val="119"/>
          <w:position w:val="-1"/>
        </w:rPr>
        <w:t>t</w:t>
      </w:r>
      <w:r w:rsidRPr="000B0143">
        <w:rPr>
          <w:spacing w:val="2"/>
          <w:w w:val="108"/>
          <w:position w:val="-1"/>
        </w:rPr>
        <w:t>i</w:t>
      </w:r>
      <w:r w:rsidRPr="000B0143">
        <w:rPr>
          <w:spacing w:val="6"/>
          <w:w w:val="119"/>
          <w:position w:val="-1"/>
        </w:rPr>
        <w:t>t</w:t>
      </w:r>
      <w:r w:rsidRPr="000B0143">
        <w:rPr>
          <w:spacing w:val="-3"/>
          <w:position w:val="-1"/>
        </w:rPr>
        <w:t>y</w:t>
      </w:r>
      <w:r w:rsidRPr="000B0143">
        <w:rPr>
          <w:spacing w:val="-3"/>
          <w:w w:val="106"/>
          <w:position w:val="-1"/>
        </w:rPr>
        <w:t>]</w:t>
      </w:r>
      <w:r w:rsidRPr="000B0143">
        <w:rPr>
          <w:position w:val="-1"/>
        </w:rPr>
        <w:t>.</w:t>
      </w:r>
    </w:p>
    <w:tbl>
      <w:tblPr>
        <w:tblW w:w="9639"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CellMar>
          <w:left w:w="0" w:type="dxa"/>
          <w:right w:w="0" w:type="dxa"/>
        </w:tblCellMar>
        <w:tblLook w:val="01E0" w:firstRow="1" w:lastRow="1" w:firstColumn="1" w:lastColumn="1" w:noHBand="0" w:noVBand="0"/>
      </w:tblPr>
      <w:tblGrid>
        <w:gridCol w:w="2608"/>
        <w:gridCol w:w="7031"/>
      </w:tblGrid>
      <w:tr w:rsidR="003675A0" w:rsidRPr="000B0143" w14:paraId="24008E62" w14:textId="77777777">
        <w:tc>
          <w:tcPr>
            <w:tcW w:w="0" w:type="auto"/>
            <w:shd w:val="clear" w:color="auto" w:fill="F2F2F2" w:themeFill="background1" w:themeFillShade="F2"/>
            <w:hideMark/>
          </w:tcPr>
          <w:p w14:paraId="6B01EF2E" w14:textId="3E6D1CD1" w:rsidR="003675A0" w:rsidRPr="00D71E5A" w:rsidRDefault="003675A0" w:rsidP="006E5886">
            <w:pPr>
              <w:pStyle w:val="Heading4"/>
              <w:spacing w:before="60"/>
            </w:pPr>
            <w:r w:rsidRPr="00D71E5A">
              <w:t xml:space="preserve">Type of </w:t>
            </w:r>
            <w:r w:rsidR="00E974AA" w:rsidRPr="00D71E5A">
              <w:t>i</w:t>
            </w:r>
            <w:r w:rsidRPr="00D71E5A">
              <w:t>nformation</w:t>
            </w:r>
          </w:p>
        </w:tc>
        <w:tc>
          <w:tcPr>
            <w:tcW w:w="0" w:type="auto"/>
            <w:shd w:val="clear" w:color="auto" w:fill="F2F2F2" w:themeFill="background1" w:themeFillShade="F2"/>
            <w:hideMark/>
          </w:tcPr>
          <w:p w14:paraId="44419BBE" w14:textId="77777777" w:rsidR="003675A0" w:rsidRPr="00210950" w:rsidRDefault="003675A0" w:rsidP="006E5886">
            <w:pPr>
              <w:pStyle w:val="Heading4"/>
              <w:spacing w:before="60"/>
              <w:rPr>
                <w:b w:val="0"/>
                <w:bCs w:val="0"/>
                <w:w w:val="91"/>
              </w:rPr>
            </w:pPr>
            <w:r w:rsidRPr="00D71E5A">
              <w:t>Contents</w:t>
            </w:r>
          </w:p>
        </w:tc>
      </w:tr>
      <w:tr w:rsidR="003675A0" w:rsidRPr="000B0143" w14:paraId="744A9832" w14:textId="77777777">
        <w:trPr>
          <w:trHeight w:val="530"/>
        </w:trPr>
        <w:tc>
          <w:tcPr>
            <w:tcW w:w="0" w:type="auto"/>
            <w:hideMark/>
          </w:tcPr>
          <w:p w14:paraId="44630E95" w14:textId="77777777" w:rsidR="003675A0" w:rsidRPr="00D71E5A" w:rsidRDefault="003675A0" w:rsidP="006E5886">
            <w:pPr>
              <w:pStyle w:val="Heading4"/>
              <w:spacing w:before="60"/>
            </w:pPr>
            <w:r w:rsidRPr="00D71E5A">
              <w:t>Nature of entity</w:t>
            </w:r>
          </w:p>
        </w:tc>
        <w:tc>
          <w:tcPr>
            <w:tcW w:w="0" w:type="auto"/>
            <w:hideMark/>
          </w:tcPr>
          <w:p w14:paraId="273340D3" w14:textId="77777777" w:rsidR="003675A0" w:rsidRPr="00D71E5A" w:rsidRDefault="003675A0" w:rsidP="00D70B5C">
            <w:pPr>
              <w:pStyle w:val="BodyText"/>
            </w:pPr>
            <w:r w:rsidRPr="00D71E5A">
              <w:t>[Local government]</w:t>
            </w:r>
          </w:p>
        </w:tc>
      </w:tr>
      <w:tr w:rsidR="003675A0" w:rsidRPr="000B0143" w14:paraId="4FA32A29" w14:textId="77777777">
        <w:tc>
          <w:tcPr>
            <w:tcW w:w="0" w:type="auto"/>
            <w:hideMark/>
          </w:tcPr>
          <w:p w14:paraId="6CBDA32F" w14:textId="77777777" w:rsidR="003675A0" w:rsidRPr="00D71E5A" w:rsidRDefault="003675A0" w:rsidP="006E5886">
            <w:pPr>
              <w:pStyle w:val="Heading4"/>
              <w:spacing w:before="60"/>
            </w:pPr>
            <w:r w:rsidRPr="00D71E5A">
              <w:t>Key contact</w:t>
            </w:r>
          </w:p>
        </w:tc>
        <w:tc>
          <w:tcPr>
            <w:tcW w:w="0" w:type="auto"/>
            <w:hideMark/>
          </w:tcPr>
          <w:p w14:paraId="422A2701" w14:textId="77777777" w:rsidR="003675A0" w:rsidRPr="00D71E5A" w:rsidRDefault="003675A0" w:rsidP="00D70B5C">
            <w:pPr>
              <w:pStyle w:val="BodyText"/>
            </w:pPr>
            <w:r w:rsidRPr="00D71E5A">
              <w:t>[Name and details of key contact]</w:t>
            </w:r>
          </w:p>
          <w:p w14:paraId="05CE514B" w14:textId="77777777" w:rsidR="003675A0" w:rsidRPr="00D71E5A" w:rsidRDefault="003675A0" w:rsidP="00D70B5C">
            <w:pPr>
              <w:pStyle w:val="BodyText"/>
            </w:pPr>
          </w:p>
          <w:p w14:paraId="57115F12" w14:textId="77777777" w:rsidR="003675A0" w:rsidRPr="00D71E5A" w:rsidRDefault="003675A0" w:rsidP="00D70B5C">
            <w:pPr>
              <w:pStyle w:val="BodyText"/>
            </w:pPr>
          </w:p>
          <w:p w14:paraId="5079118D" w14:textId="77777777" w:rsidR="003675A0" w:rsidRPr="00D71E5A" w:rsidRDefault="003675A0" w:rsidP="00D70B5C">
            <w:pPr>
              <w:pStyle w:val="BodyText"/>
            </w:pPr>
          </w:p>
        </w:tc>
      </w:tr>
      <w:tr w:rsidR="003675A0" w:rsidRPr="000B0143" w14:paraId="37ED992B" w14:textId="77777777">
        <w:tc>
          <w:tcPr>
            <w:tcW w:w="0" w:type="auto"/>
            <w:hideMark/>
          </w:tcPr>
          <w:p w14:paraId="41953BDD" w14:textId="77777777" w:rsidR="003675A0" w:rsidRPr="00D71E5A" w:rsidRDefault="003675A0" w:rsidP="006E5886">
            <w:pPr>
              <w:pStyle w:val="Heading4"/>
              <w:spacing w:before="60"/>
            </w:pPr>
            <w:r w:rsidRPr="00D71E5A">
              <w:t>Location (head office)</w:t>
            </w:r>
          </w:p>
        </w:tc>
        <w:tc>
          <w:tcPr>
            <w:tcW w:w="0" w:type="auto"/>
            <w:hideMark/>
          </w:tcPr>
          <w:p w14:paraId="15266661" w14:textId="77777777" w:rsidR="003675A0" w:rsidRPr="00D71E5A" w:rsidRDefault="003675A0" w:rsidP="00D70B5C">
            <w:pPr>
              <w:pStyle w:val="BodyText"/>
            </w:pPr>
            <w:r w:rsidRPr="00D71E5A">
              <w:t>[Address and contact details]</w:t>
            </w:r>
          </w:p>
          <w:p w14:paraId="7D324996" w14:textId="77777777" w:rsidR="003675A0" w:rsidRPr="00D71E5A" w:rsidRDefault="003675A0" w:rsidP="00D70B5C">
            <w:pPr>
              <w:pStyle w:val="BodyText"/>
            </w:pPr>
          </w:p>
          <w:p w14:paraId="0D3E0218" w14:textId="77777777" w:rsidR="003675A0" w:rsidRPr="00D71E5A" w:rsidRDefault="003675A0" w:rsidP="00D70B5C">
            <w:pPr>
              <w:pStyle w:val="BodyText"/>
            </w:pPr>
          </w:p>
          <w:p w14:paraId="1EE31D46" w14:textId="77777777" w:rsidR="003675A0" w:rsidRPr="00D71E5A" w:rsidRDefault="003675A0" w:rsidP="00D70B5C">
            <w:pPr>
              <w:pStyle w:val="BodyText"/>
            </w:pPr>
          </w:p>
          <w:p w14:paraId="09E6D602" w14:textId="77777777" w:rsidR="003675A0" w:rsidRPr="00D71E5A" w:rsidRDefault="003675A0" w:rsidP="00D70B5C">
            <w:pPr>
              <w:pStyle w:val="BodyText"/>
            </w:pPr>
          </w:p>
          <w:p w14:paraId="77ACBA74" w14:textId="77777777" w:rsidR="003675A0" w:rsidRPr="00D71E5A" w:rsidRDefault="003675A0" w:rsidP="00D70B5C">
            <w:pPr>
              <w:pStyle w:val="BodyText"/>
            </w:pPr>
          </w:p>
          <w:p w14:paraId="3879E908" w14:textId="77777777" w:rsidR="003675A0" w:rsidRPr="00D71E5A" w:rsidRDefault="003675A0" w:rsidP="00D70B5C">
            <w:pPr>
              <w:pStyle w:val="BodyText"/>
            </w:pPr>
          </w:p>
        </w:tc>
      </w:tr>
      <w:tr w:rsidR="003675A0" w:rsidRPr="000B0143" w14:paraId="14B9E40A" w14:textId="77777777">
        <w:tc>
          <w:tcPr>
            <w:tcW w:w="0" w:type="auto"/>
            <w:hideMark/>
          </w:tcPr>
          <w:p w14:paraId="3119E87B" w14:textId="77777777" w:rsidR="003675A0" w:rsidRPr="00D71E5A" w:rsidRDefault="003675A0" w:rsidP="006E5886">
            <w:pPr>
              <w:pStyle w:val="Heading4"/>
              <w:spacing w:before="60"/>
            </w:pPr>
            <w:r w:rsidRPr="00D71E5A">
              <w:t>Location of assets</w:t>
            </w:r>
          </w:p>
        </w:tc>
        <w:tc>
          <w:tcPr>
            <w:tcW w:w="0" w:type="auto"/>
            <w:hideMark/>
          </w:tcPr>
          <w:p w14:paraId="49F872B3" w14:textId="77777777" w:rsidR="003675A0" w:rsidRPr="00D71E5A" w:rsidRDefault="003675A0" w:rsidP="00D70B5C">
            <w:pPr>
              <w:pStyle w:val="BodyText"/>
            </w:pPr>
            <w:r w:rsidRPr="00D71E5A">
              <w:t>[Provide overview of:</w:t>
            </w:r>
          </w:p>
          <w:p w14:paraId="5B5529D2" w14:textId="77777777" w:rsidR="003675A0" w:rsidRPr="000B0143" w:rsidRDefault="003675A0">
            <w:pPr>
              <w:pStyle w:val="BodyText"/>
              <w:numPr>
                <w:ilvl w:val="0"/>
                <w:numId w:val="142"/>
              </w:numPr>
            </w:pPr>
            <w:r w:rsidRPr="00D71E5A">
              <w:t>t</w:t>
            </w:r>
            <w:r w:rsidRPr="000B0143">
              <w:t>ypes</w:t>
            </w:r>
            <w:r w:rsidRPr="00D71E5A">
              <w:t xml:space="preserve"> </w:t>
            </w:r>
            <w:r w:rsidRPr="000B0143">
              <w:t>of</w:t>
            </w:r>
            <w:r w:rsidRPr="00D71E5A">
              <w:t xml:space="preserve"> assets held</w:t>
            </w:r>
          </w:p>
          <w:p w14:paraId="6D325399" w14:textId="484AB332" w:rsidR="003675A0" w:rsidRPr="000B0143" w:rsidRDefault="003675A0">
            <w:pPr>
              <w:pStyle w:val="BodyText"/>
              <w:numPr>
                <w:ilvl w:val="0"/>
                <w:numId w:val="142"/>
              </w:numPr>
            </w:pPr>
            <w:r w:rsidRPr="00D71E5A">
              <w:t>geographical sprea</w:t>
            </w:r>
            <w:r w:rsidRPr="000B0143">
              <w:t>d</w:t>
            </w:r>
            <w:r w:rsidRPr="00D71E5A">
              <w:t xml:space="preserve"> </w:t>
            </w:r>
            <w:r w:rsidRPr="000B0143">
              <w:t>of</w:t>
            </w:r>
            <w:r w:rsidRPr="00D71E5A">
              <w:t xml:space="preserve"> th</w:t>
            </w:r>
            <w:r w:rsidRPr="000B0143">
              <w:t>e</w:t>
            </w:r>
            <w:r w:rsidRPr="00D71E5A">
              <w:t xml:space="preserve"> asset</w:t>
            </w:r>
            <w:r w:rsidRPr="000B0143">
              <w:t>s</w:t>
            </w:r>
            <w:r w:rsidR="00D70B5C">
              <w:t>;</w:t>
            </w:r>
            <w:r w:rsidRPr="000B0143">
              <w:t xml:space="preserve"> and</w:t>
            </w:r>
          </w:p>
          <w:p w14:paraId="1C196163" w14:textId="635C7893" w:rsidR="003675A0" w:rsidRPr="00D71E5A" w:rsidRDefault="003675A0">
            <w:pPr>
              <w:pStyle w:val="BodyText"/>
              <w:numPr>
                <w:ilvl w:val="0"/>
                <w:numId w:val="142"/>
              </w:numPr>
            </w:pPr>
            <w:r w:rsidRPr="00D71E5A">
              <w:t xml:space="preserve">special instructions regarding </w:t>
            </w:r>
            <w:r w:rsidRPr="000B0143">
              <w:t>a</w:t>
            </w:r>
            <w:r w:rsidRPr="00D71E5A">
              <w:t>cces</w:t>
            </w:r>
            <w:r w:rsidRPr="000B0143">
              <w:t>s</w:t>
            </w:r>
            <w:r w:rsidRPr="00D71E5A">
              <w:t xml:space="preserve"> a</w:t>
            </w:r>
            <w:r w:rsidRPr="000B0143">
              <w:t>nd</w:t>
            </w:r>
            <w:r w:rsidRPr="00D71E5A">
              <w:t xml:space="preserve"> inspections]</w:t>
            </w:r>
            <w:r w:rsidRPr="000B0143">
              <w:t>.</w:t>
            </w:r>
          </w:p>
        </w:tc>
      </w:tr>
      <w:tr w:rsidR="003675A0" w:rsidRPr="000B0143" w14:paraId="30ECB64B" w14:textId="77777777">
        <w:tc>
          <w:tcPr>
            <w:tcW w:w="0" w:type="auto"/>
            <w:hideMark/>
          </w:tcPr>
          <w:p w14:paraId="3A6E1BA4" w14:textId="77777777" w:rsidR="003675A0" w:rsidRPr="00D71E5A" w:rsidRDefault="003675A0" w:rsidP="006E5886">
            <w:pPr>
              <w:pStyle w:val="Heading4"/>
              <w:spacing w:before="60"/>
            </w:pPr>
            <w:r w:rsidRPr="00D71E5A">
              <w:t>Linkage to other systems or processes</w:t>
            </w:r>
          </w:p>
        </w:tc>
        <w:tc>
          <w:tcPr>
            <w:tcW w:w="0" w:type="auto"/>
            <w:hideMark/>
          </w:tcPr>
          <w:p w14:paraId="2D272B69" w14:textId="77777777" w:rsidR="003675A0" w:rsidRPr="00D71E5A" w:rsidRDefault="003675A0" w:rsidP="00D70B5C">
            <w:pPr>
              <w:pStyle w:val="BodyText"/>
            </w:pPr>
            <w:r w:rsidRPr="00D71E5A">
              <w:t>[Provide details of other systems or processes that may impact on the delivery of the data and conduct of the valuation. For example:</w:t>
            </w:r>
          </w:p>
          <w:p w14:paraId="52B923E6" w14:textId="74C9728E" w:rsidR="003675A0" w:rsidRPr="000B0143" w:rsidRDefault="003675A0">
            <w:pPr>
              <w:pStyle w:val="BodyText"/>
              <w:numPr>
                <w:ilvl w:val="0"/>
                <w:numId w:val="143"/>
              </w:numPr>
            </w:pPr>
            <w:r w:rsidRPr="00D71E5A">
              <w:t>financial as</w:t>
            </w:r>
            <w:r w:rsidRPr="000B0143">
              <w:t>s</w:t>
            </w:r>
            <w:r w:rsidRPr="00D71E5A">
              <w:t>e</w:t>
            </w:r>
            <w:r w:rsidRPr="000B0143">
              <w:t>t</w:t>
            </w:r>
            <w:r w:rsidRPr="00D71E5A">
              <w:t xml:space="preserve"> re</w:t>
            </w:r>
            <w:r w:rsidRPr="000B0143">
              <w:t>gis</w:t>
            </w:r>
            <w:r w:rsidRPr="00D71E5A">
              <w:t>te</w:t>
            </w:r>
            <w:r w:rsidRPr="000B0143">
              <w:t xml:space="preserve">r </w:t>
            </w:r>
            <w:r w:rsidRPr="00D71E5A">
              <w:t>as</w:t>
            </w:r>
            <w:r w:rsidRPr="000B0143">
              <w:t>s</w:t>
            </w:r>
            <w:r w:rsidRPr="00D71E5A">
              <w:t>e</w:t>
            </w:r>
            <w:r w:rsidRPr="000B0143">
              <w:t>t</w:t>
            </w:r>
            <w:r w:rsidRPr="00D71E5A">
              <w:t xml:space="preserve"> management sy</w:t>
            </w:r>
            <w:r w:rsidRPr="000B0143">
              <w:t>s</w:t>
            </w:r>
            <w:r w:rsidRPr="00D71E5A">
              <w:t>te</w:t>
            </w:r>
            <w:r w:rsidRPr="000B0143">
              <w:t>m</w:t>
            </w:r>
            <w:r w:rsidR="00D70B5C">
              <w:t>;</w:t>
            </w:r>
            <w:r w:rsidRPr="000B0143">
              <w:t xml:space="preserve"> and</w:t>
            </w:r>
          </w:p>
          <w:p w14:paraId="42AAE3AA" w14:textId="0D6DCC7E" w:rsidR="003675A0" w:rsidRPr="00D71E5A" w:rsidRDefault="003675A0">
            <w:pPr>
              <w:pStyle w:val="BodyText"/>
              <w:numPr>
                <w:ilvl w:val="0"/>
                <w:numId w:val="143"/>
              </w:numPr>
            </w:pPr>
            <w:r w:rsidRPr="00D71E5A">
              <w:t>integration into as</w:t>
            </w:r>
            <w:r w:rsidRPr="000B0143">
              <w:t>s</w:t>
            </w:r>
            <w:r w:rsidRPr="00D71E5A">
              <w:t>e</w:t>
            </w:r>
            <w:r w:rsidRPr="000B0143">
              <w:t>t</w:t>
            </w:r>
            <w:r w:rsidRPr="00D71E5A">
              <w:t xml:space="preserve"> management </w:t>
            </w:r>
            <w:r w:rsidRPr="000B0143">
              <w:t>pl</w:t>
            </w:r>
            <w:r w:rsidRPr="00D71E5A">
              <w:t>a</w:t>
            </w:r>
            <w:r w:rsidRPr="000B0143">
              <w:t xml:space="preserve">n </w:t>
            </w:r>
            <w:r w:rsidRPr="00D71E5A">
              <w:t xml:space="preserve">existing </w:t>
            </w:r>
            <w:r w:rsidRPr="000B0143">
              <w:t>sour</w:t>
            </w:r>
            <w:r w:rsidRPr="00D71E5A">
              <w:t>ce</w:t>
            </w:r>
            <w:r w:rsidRPr="000B0143">
              <w:t>s</w:t>
            </w:r>
            <w:r w:rsidRPr="00D71E5A">
              <w:t xml:space="preserve"> </w:t>
            </w:r>
            <w:r w:rsidRPr="000B0143">
              <w:t>of</w:t>
            </w:r>
            <w:r w:rsidRPr="00D71E5A">
              <w:t xml:space="preserve"> </w:t>
            </w:r>
            <w:r w:rsidRPr="000B0143">
              <w:t>d</w:t>
            </w:r>
            <w:r w:rsidRPr="00D71E5A">
              <w:t>a</w:t>
            </w:r>
            <w:r w:rsidRPr="000B0143">
              <w:t>ta</w:t>
            </w:r>
            <w:r w:rsidRPr="00D71E5A">
              <w:t xml:space="preserve"> condition information]</w:t>
            </w:r>
            <w:r w:rsidRPr="000B0143">
              <w:t>.</w:t>
            </w:r>
          </w:p>
        </w:tc>
      </w:tr>
    </w:tbl>
    <w:p w14:paraId="26F8837D" w14:textId="77777777" w:rsidR="00D70B5C" w:rsidRDefault="00D70B5C" w:rsidP="00D70B5C">
      <w:pPr>
        <w:pStyle w:val="BodyText"/>
      </w:pPr>
      <w:r>
        <w:br w:type="page"/>
      </w:r>
    </w:p>
    <w:p w14:paraId="041A244E" w14:textId="079CD733" w:rsidR="003675A0" w:rsidRPr="000B0143" w:rsidRDefault="003675A0" w:rsidP="00D70B5C">
      <w:pPr>
        <w:pStyle w:val="BodyText"/>
      </w:pPr>
      <w:r w:rsidRPr="000B0143">
        <w:lastRenderedPageBreak/>
        <w:t>A</w:t>
      </w:r>
      <w:r w:rsidRPr="00D71E5A">
        <w:t xml:space="preserve"> detailed listing o</w:t>
      </w:r>
      <w:r w:rsidRPr="000B0143">
        <w:t>f</w:t>
      </w:r>
      <w:r w:rsidRPr="00D71E5A">
        <w:t xml:space="preserve"> assets will b</w:t>
      </w:r>
      <w:r w:rsidRPr="000B0143">
        <w:t>e</w:t>
      </w:r>
      <w:r w:rsidRPr="00D71E5A">
        <w:t xml:space="preserve"> provided t</w:t>
      </w:r>
      <w:r w:rsidRPr="000B0143">
        <w:t>o</w:t>
      </w:r>
      <w:r w:rsidRPr="00D71E5A">
        <w:t xml:space="preserve"> potential suppliers b</w:t>
      </w:r>
      <w:r w:rsidRPr="000B0143">
        <w:t>y</w:t>
      </w:r>
      <w:r w:rsidRPr="00D71E5A">
        <w:t xml:space="preserve"> contacting [</w:t>
      </w:r>
      <w:r w:rsidRPr="000B0143">
        <w:t>con</w:t>
      </w:r>
      <w:r w:rsidRPr="00D71E5A">
        <w:t>ta</w:t>
      </w:r>
      <w:r w:rsidRPr="000B0143">
        <w:t>ct</w:t>
      </w:r>
      <w:r w:rsidRPr="00D71E5A">
        <w:t xml:space="preserve"> of</w:t>
      </w:r>
      <w:r w:rsidRPr="000B0143">
        <w:t>fi</w:t>
      </w:r>
      <w:r w:rsidRPr="00D71E5A">
        <w:t>cer</w:t>
      </w:r>
      <w:r w:rsidRPr="000B0143">
        <w:t>]</w:t>
      </w:r>
      <w:r w:rsidRPr="00D71E5A">
        <w:t xml:space="preserve"> direct via email </w:t>
      </w:r>
      <w:r w:rsidRPr="000B0143">
        <w:t>on:</w:t>
      </w:r>
    </w:p>
    <w:p w14:paraId="79EF7BA1" w14:textId="77777777" w:rsidR="003675A0" w:rsidRPr="000B0143" w:rsidRDefault="003675A0" w:rsidP="00D70B5C">
      <w:pPr>
        <w:pStyle w:val="BodyText"/>
      </w:pPr>
      <w:r w:rsidRPr="00D71E5A">
        <w:t>[</w:t>
      </w:r>
      <w:r w:rsidRPr="000B0143">
        <w:t>con</w:t>
      </w:r>
      <w:r w:rsidRPr="00D71E5A">
        <w:t>ta</w:t>
      </w:r>
      <w:r w:rsidRPr="000B0143">
        <w:t xml:space="preserve">ct </w:t>
      </w:r>
      <w:r w:rsidRPr="00D71E5A">
        <w:t>of</w:t>
      </w:r>
      <w:r w:rsidRPr="000B0143">
        <w:t>fi</w:t>
      </w:r>
      <w:r w:rsidRPr="00D71E5A">
        <w:t>c</w:t>
      </w:r>
      <w:r w:rsidRPr="000B0143">
        <w:t>e</w:t>
      </w:r>
      <w:r w:rsidRPr="00D71E5A">
        <w:t xml:space="preserve"> emai</w:t>
      </w:r>
      <w:r w:rsidRPr="000B0143">
        <w:t>l</w:t>
      </w:r>
      <w:r w:rsidRPr="00D71E5A">
        <w:t xml:space="preserve"> address]</w:t>
      </w:r>
      <w:r w:rsidRPr="000B0143">
        <w:t>.</w:t>
      </w:r>
    </w:p>
    <w:p w14:paraId="7366D1A3" w14:textId="77777777" w:rsidR="003675A0" w:rsidRPr="000B0143" w:rsidRDefault="003675A0" w:rsidP="00D70B5C">
      <w:pPr>
        <w:pStyle w:val="BodyText"/>
      </w:pPr>
      <w:r w:rsidRPr="00D71E5A">
        <w:t>O</w:t>
      </w:r>
      <w:r w:rsidRPr="000B0143">
        <w:t>r</w:t>
      </w:r>
    </w:p>
    <w:p w14:paraId="4A8547AF" w14:textId="77777777" w:rsidR="003675A0" w:rsidRPr="000B0143" w:rsidRDefault="003675A0" w:rsidP="00D70B5C">
      <w:pPr>
        <w:pStyle w:val="BodyText"/>
      </w:pPr>
      <w:r w:rsidRPr="00D71E5A">
        <w:t>Detailed listings o</w:t>
      </w:r>
      <w:r w:rsidRPr="000B0143">
        <w:t>f</w:t>
      </w:r>
      <w:r w:rsidRPr="00D71E5A">
        <w:t xml:space="preserve"> t</w:t>
      </w:r>
      <w:r w:rsidRPr="000B0143">
        <w:t>he</w:t>
      </w:r>
      <w:r w:rsidRPr="00D71E5A">
        <w:t xml:space="preserve"> assets t</w:t>
      </w:r>
      <w:r w:rsidRPr="000B0143">
        <w:t>o</w:t>
      </w:r>
      <w:r w:rsidRPr="00D71E5A">
        <w:t xml:space="preserve"> b</w:t>
      </w:r>
      <w:r w:rsidRPr="000B0143">
        <w:t>e</w:t>
      </w:r>
      <w:r w:rsidRPr="00D71E5A">
        <w:t xml:space="preserve"> valued ar</w:t>
      </w:r>
      <w:r w:rsidRPr="000B0143">
        <w:t>e</w:t>
      </w:r>
      <w:r w:rsidRPr="00D71E5A">
        <w:t xml:space="preserve"> included in t</w:t>
      </w:r>
      <w:r w:rsidRPr="000B0143">
        <w:t>he</w:t>
      </w:r>
      <w:r w:rsidRPr="00D71E5A">
        <w:t xml:space="preserve"> </w:t>
      </w:r>
      <w:r w:rsidRPr="000B0143">
        <w:t>a</w:t>
      </w:r>
      <w:r w:rsidRPr="00D71E5A">
        <w:t>t</w:t>
      </w:r>
      <w:r w:rsidRPr="000B0143">
        <w:t>ta</w:t>
      </w:r>
      <w:r w:rsidRPr="00D71E5A">
        <w:t>c</w:t>
      </w:r>
      <w:r w:rsidRPr="000B0143">
        <w:t>h</w:t>
      </w:r>
      <w:r w:rsidRPr="00D71E5A">
        <w:t>e</w:t>
      </w:r>
      <w:r w:rsidRPr="000B0143">
        <w:t>d</w:t>
      </w:r>
      <w:r w:rsidRPr="00D71E5A">
        <w:t xml:space="preserve"> Excel s</w:t>
      </w:r>
      <w:r w:rsidRPr="000B0143">
        <w:t>p</w:t>
      </w:r>
      <w:r w:rsidRPr="00D71E5A">
        <w:t>re</w:t>
      </w:r>
      <w:r w:rsidRPr="000B0143">
        <w:t>ad</w:t>
      </w:r>
      <w:r w:rsidRPr="00D71E5A">
        <w:t>s</w:t>
      </w:r>
      <w:r w:rsidRPr="000B0143">
        <w:t>h</w:t>
      </w:r>
      <w:r w:rsidRPr="00D71E5A">
        <w:t>e</w:t>
      </w:r>
      <w:r w:rsidRPr="000B0143">
        <w:t>e</w:t>
      </w:r>
      <w:r w:rsidRPr="00D71E5A">
        <w:t>ts</w:t>
      </w:r>
      <w:r w:rsidRPr="000B0143">
        <w:t xml:space="preserve">. </w:t>
      </w:r>
    </w:p>
    <w:p w14:paraId="285E0118" w14:textId="77777777" w:rsidR="003675A0" w:rsidRPr="00D71E5A" w:rsidRDefault="003675A0" w:rsidP="00D70B5C">
      <w:pPr>
        <w:pStyle w:val="BodyText"/>
      </w:pPr>
      <w:r w:rsidRPr="00D71E5A">
        <w:t>The following information is provided f</w:t>
      </w:r>
      <w:r w:rsidRPr="000B0143">
        <w:t>or</w:t>
      </w:r>
      <w:r w:rsidRPr="00D71E5A">
        <w:t xml:space="preserve"> </w:t>
      </w:r>
      <w:r w:rsidRPr="000B0143">
        <w:t>qui</w:t>
      </w:r>
      <w:r w:rsidRPr="00D71E5A">
        <w:t>c</w:t>
      </w:r>
      <w:r w:rsidRPr="000B0143">
        <w:t>k</w:t>
      </w:r>
      <w:r w:rsidRPr="00D71E5A">
        <w:t xml:space="preserve"> analysis:</w:t>
      </w:r>
    </w:p>
    <w:tbl>
      <w:tblPr>
        <w:tblStyle w:val="TableGrid"/>
        <w:tblW w:w="9639" w:type="dxa"/>
        <w:tblLook w:val="04A0" w:firstRow="1" w:lastRow="0" w:firstColumn="1" w:lastColumn="0" w:noHBand="0" w:noVBand="1"/>
      </w:tblPr>
      <w:tblGrid>
        <w:gridCol w:w="2218"/>
        <w:gridCol w:w="1734"/>
        <w:gridCol w:w="2219"/>
        <w:gridCol w:w="1734"/>
        <w:gridCol w:w="1734"/>
      </w:tblGrid>
      <w:tr w:rsidR="003675A0" w:rsidRPr="000B0143" w14:paraId="34BD2D2F" w14:textId="77777777" w:rsidTr="004B7282">
        <w:tc>
          <w:tcPr>
            <w:tcW w:w="2088" w:type="dxa"/>
            <w:shd w:val="clear" w:color="auto" w:fill="F2F2F2" w:themeFill="background1" w:themeFillShade="F2"/>
          </w:tcPr>
          <w:p w14:paraId="395CAEE4" w14:textId="7AF75A16" w:rsidR="003675A0" w:rsidRPr="00D71E5A" w:rsidRDefault="003675A0" w:rsidP="00702E57">
            <w:pPr>
              <w:pStyle w:val="Heading4"/>
              <w:spacing w:before="60"/>
              <w:rPr>
                <w:sz w:val="24"/>
              </w:rPr>
            </w:pPr>
            <w:r w:rsidRPr="00D71E5A">
              <w:rPr>
                <w:sz w:val="24"/>
              </w:rPr>
              <w:t xml:space="preserve">Asset </w:t>
            </w:r>
            <w:r w:rsidR="00E974AA" w:rsidRPr="00D71E5A">
              <w:rPr>
                <w:sz w:val="24"/>
              </w:rPr>
              <w:t>c</w:t>
            </w:r>
            <w:r w:rsidRPr="00D71E5A">
              <w:rPr>
                <w:sz w:val="24"/>
              </w:rPr>
              <w:t>lass</w:t>
            </w:r>
          </w:p>
        </w:tc>
        <w:tc>
          <w:tcPr>
            <w:tcW w:w="1632" w:type="dxa"/>
            <w:shd w:val="clear" w:color="auto" w:fill="F2F2F2" w:themeFill="background1" w:themeFillShade="F2"/>
          </w:tcPr>
          <w:p w14:paraId="33AE2B02" w14:textId="7E47E7DD" w:rsidR="003675A0" w:rsidRPr="00D71E5A" w:rsidRDefault="003675A0" w:rsidP="00702E57">
            <w:pPr>
              <w:pStyle w:val="Heading4"/>
              <w:spacing w:before="60"/>
              <w:rPr>
                <w:sz w:val="24"/>
              </w:rPr>
            </w:pPr>
            <w:r w:rsidRPr="00D71E5A">
              <w:rPr>
                <w:sz w:val="24"/>
              </w:rPr>
              <w:t xml:space="preserve">Number of </w:t>
            </w:r>
            <w:r w:rsidR="00E974AA" w:rsidRPr="00D71E5A">
              <w:rPr>
                <w:sz w:val="24"/>
              </w:rPr>
              <w:t>a</w:t>
            </w:r>
            <w:r w:rsidRPr="00D71E5A">
              <w:rPr>
                <w:sz w:val="24"/>
              </w:rPr>
              <w:t>ssets</w:t>
            </w:r>
          </w:p>
        </w:tc>
        <w:tc>
          <w:tcPr>
            <w:tcW w:w="2088" w:type="dxa"/>
            <w:shd w:val="clear" w:color="auto" w:fill="F2F2F2" w:themeFill="background1" w:themeFillShade="F2"/>
          </w:tcPr>
          <w:p w14:paraId="3BB4BED3" w14:textId="2796FC74" w:rsidR="003675A0" w:rsidRPr="00D71E5A" w:rsidRDefault="003675A0" w:rsidP="00702E57">
            <w:pPr>
              <w:pStyle w:val="Heading4"/>
              <w:spacing w:before="60"/>
              <w:rPr>
                <w:sz w:val="24"/>
              </w:rPr>
            </w:pPr>
            <w:r w:rsidRPr="00D71E5A">
              <w:rPr>
                <w:sz w:val="24"/>
              </w:rPr>
              <w:t xml:space="preserve">Valuation </w:t>
            </w:r>
            <w:r w:rsidR="00E974AA" w:rsidRPr="00D71E5A">
              <w:rPr>
                <w:sz w:val="24"/>
              </w:rPr>
              <w:t>b</w:t>
            </w:r>
            <w:r w:rsidRPr="00D71E5A">
              <w:rPr>
                <w:sz w:val="24"/>
              </w:rPr>
              <w:t>asis</w:t>
            </w:r>
          </w:p>
        </w:tc>
        <w:tc>
          <w:tcPr>
            <w:tcW w:w="1632" w:type="dxa"/>
            <w:shd w:val="clear" w:color="auto" w:fill="F2F2F2" w:themeFill="background1" w:themeFillShade="F2"/>
          </w:tcPr>
          <w:p w14:paraId="200968FD" w14:textId="7ED62FE9" w:rsidR="003675A0" w:rsidRPr="00D71E5A" w:rsidRDefault="003675A0" w:rsidP="00702E57">
            <w:pPr>
              <w:pStyle w:val="Heading4"/>
              <w:spacing w:before="60"/>
              <w:rPr>
                <w:sz w:val="24"/>
              </w:rPr>
            </w:pPr>
            <w:r w:rsidRPr="00D71E5A">
              <w:rPr>
                <w:sz w:val="24"/>
              </w:rPr>
              <w:t xml:space="preserve">Last </w:t>
            </w:r>
            <w:r w:rsidR="00E974AA" w:rsidRPr="00D71E5A">
              <w:rPr>
                <w:sz w:val="24"/>
              </w:rPr>
              <w:t>v</w:t>
            </w:r>
            <w:r w:rsidRPr="00D71E5A">
              <w:rPr>
                <w:sz w:val="24"/>
              </w:rPr>
              <w:t xml:space="preserve">aluation </w:t>
            </w:r>
            <w:r w:rsidR="00E974AA" w:rsidRPr="00D71E5A">
              <w:rPr>
                <w:sz w:val="24"/>
              </w:rPr>
              <w:t>y</w:t>
            </w:r>
            <w:r w:rsidRPr="00D71E5A">
              <w:rPr>
                <w:sz w:val="24"/>
              </w:rPr>
              <w:t>ear</w:t>
            </w:r>
          </w:p>
        </w:tc>
        <w:tc>
          <w:tcPr>
            <w:tcW w:w="1632" w:type="dxa"/>
            <w:shd w:val="clear" w:color="auto" w:fill="F2F2F2" w:themeFill="background1" w:themeFillShade="F2"/>
          </w:tcPr>
          <w:p w14:paraId="240D7E90" w14:textId="79F8F9A6" w:rsidR="003675A0" w:rsidRPr="00D71E5A" w:rsidRDefault="003675A0" w:rsidP="00702E57">
            <w:pPr>
              <w:pStyle w:val="Heading4"/>
              <w:spacing w:before="60"/>
              <w:rPr>
                <w:sz w:val="24"/>
              </w:rPr>
            </w:pPr>
            <w:r w:rsidRPr="00D71E5A">
              <w:rPr>
                <w:sz w:val="24"/>
              </w:rPr>
              <w:t xml:space="preserve">Fair </w:t>
            </w:r>
            <w:r w:rsidR="00E974AA" w:rsidRPr="00D71E5A">
              <w:rPr>
                <w:sz w:val="24"/>
              </w:rPr>
              <w:t>v</w:t>
            </w:r>
            <w:r w:rsidRPr="00D71E5A">
              <w:rPr>
                <w:sz w:val="24"/>
              </w:rPr>
              <w:t>alue</w:t>
            </w:r>
          </w:p>
        </w:tc>
      </w:tr>
      <w:tr w:rsidR="003675A0" w:rsidRPr="000B0143" w14:paraId="026601B2" w14:textId="77777777" w:rsidTr="004B7282">
        <w:tc>
          <w:tcPr>
            <w:tcW w:w="2088" w:type="dxa"/>
          </w:tcPr>
          <w:p w14:paraId="587B39DE" w14:textId="77777777" w:rsidR="003675A0" w:rsidRPr="00D71E5A" w:rsidRDefault="003675A0" w:rsidP="00702E57">
            <w:pPr>
              <w:pStyle w:val="Heading4"/>
              <w:spacing w:before="60"/>
              <w:rPr>
                <w:sz w:val="24"/>
              </w:rPr>
            </w:pPr>
            <w:r w:rsidRPr="00D71E5A">
              <w:rPr>
                <w:sz w:val="24"/>
              </w:rPr>
              <w:t>Land</w:t>
            </w:r>
          </w:p>
        </w:tc>
        <w:tc>
          <w:tcPr>
            <w:tcW w:w="1632" w:type="dxa"/>
          </w:tcPr>
          <w:p w14:paraId="0A67D2AB" w14:textId="77777777" w:rsidR="003675A0" w:rsidRPr="00D71E5A" w:rsidRDefault="003675A0" w:rsidP="00702E57">
            <w:pPr>
              <w:pStyle w:val="TableContent"/>
              <w:rPr>
                <w:sz w:val="24"/>
              </w:rPr>
            </w:pPr>
            <w:r w:rsidRPr="00D71E5A">
              <w:rPr>
                <w:sz w:val="24"/>
              </w:rPr>
              <w:t>[3,000]</w:t>
            </w:r>
          </w:p>
        </w:tc>
        <w:tc>
          <w:tcPr>
            <w:tcW w:w="2088" w:type="dxa"/>
          </w:tcPr>
          <w:p w14:paraId="4C099581" w14:textId="77777777" w:rsidR="003675A0" w:rsidRPr="00D71E5A" w:rsidRDefault="003675A0" w:rsidP="00702E57">
            <w:pPr>
              <w:pStyle w:val="TableContent"/>
              <w:rPr>
                <w:sz w:val="24"/>
              </w:rPr>
            </w:pPr>
            <w:r w:rsidRPr="00D71E5A">
              <w:rPr>
                <w:sz w:val="24"/>
              </w:rPr>
              <w:t>[Market value]</w:t>
            </w:r>
          </w:p>
        </w:tc>
        <w:tc>
          <w:tcPr>
            <w:tcW w:w="1632" w:type="dxa"/>
          </w:tcPr>
          <w:p w14:paraId="26B95639" w14:textId="77777777" w:rsidR="003675A0" w:rsidRPr="00D71E5A" w:rsidRDefault="003675A0" w:rsidP="00702E57">
            <w:pPr>
              <w:pStyle w:val="TableContent"/>
              <w:rPr>
                <w:sz w:val="24"/>
              </w:rPr>
            </w:pPr>
            <w:r w:rsidRPr="00D71E5A">
              <w:rPr>
                <w:sz w:val="24"/>
              </w:rPr>
              <w:t>[2022]</w:t>
            </w:r>
          </w:p>
        </w:tc>
        <w:tc>
          <w:tcPr>
            <w:tcW w:w="1632" w:type="dxa"/>
          </w:tcPr>
          <w:p w14:paraId="2F2D92D0" w14:textId="37CD1D43" w:rsidR="003675A0" w:rsidRPr="00D71E5A" w:rsidRDefault="003675A0" w:rsidP="00702E57">
            <w:pPr>
              <w:pStyle w:val="TableContent"/>
              <w:rPr>
                <w:sz w:val="24"/>
              </w:rPr>
            </w:pPr>
            <w:r w:rsidRPr="00D71E5A">
              <w:rPr>
                <w:sz w:val="24"/>
              </w:rPr>
              <w:t>[</w:t>
            </w:r>
            <w:r w:rsidR="00E974AA" w:rsidRPr="00D71E5A">
              <w:rPr>
                <w:sz w:val="24"/>
              </w:rPr>
              <w:t>$</w:t>
            </w:r>
            <w:r w:rsidRPr="00D71E5A">
              <w:rPr>
                <w:sz w:val="24"/>
              </w:rPr>
              <w:t>56 million]</w:t>
            </w:r>
          </w:p>
        </w:tc>
      </w:tr>
      <w:tr w:rsidR="003675A0" w:rsidRPr="000B0143" w14:paraId="61800B49" w14:textId="77777777" w:rsidTr="004B7282">
        <w:tc>
          <w:tcPr>
            <w:tcW w:w="2088" w:type="dxa"/>
          </w:tcPr>
          <w:p w14:paraId="1E5BABC2" w14:textId="77777777" w:rsidR="003675A0" w:rsidRPr="00D71E5A" w:rsidRDefault="003675A0" w:rsidP="00702E57">
            <w:pPr>
              <w:pStyle w:val="Heading4"/>
              <w:spacing w:before="60"/>
              <w:rPr>
                <w:sz w:val="24"/>
              </w:rPr>
            </w:pPr>
            <w:r w:rsidRPr="00D71E5A">
              <w:rPr>
                <w:sz w:val="24"/>
              </w:rPr>
              <w:t>Buildings</w:t>
            </w:r>
          </w:p>
        </w:tc>
        <w:tc>
          <w:tcPr>
            <w:tcW w:w="1632" w:type="dxa"/>
          </w:tcPr>
          <w:p w14:paraId="3DD8FDC2" w14:textId="77777777" w:rsidR="003675A0" w:rsidRPr="00D71E5A" w:rsidRDefault="003675A0" w:rsidP="00702E57">
            <w:pPr>
              <w:pStyle w:val="TableContent"/>
              <w:rPr>
                <w:sz w:val="24"/>
              </w:rPr>
            </w:pPr>
            <w:r w:rsidRPr="00D71E5A">
              <w:rPr>
                <w:sz w:val="24"/>
              </w:rPr>
              <w:t>[600]</w:t>
            </w:r>
          </w:p>
        </w:tc>
        <w:tc>
          <w:tcPr>
            <w:tcW w:w="2088" w:type="dxa"/>
          </w:tcPr>
          <w:p w14:paraId="488BC282" w14:textId="77777777" w:rsidR="003675A0" w:rsidRPr="00D71E5A" w:rsidRDefault="003675A0" w:rsidP="00702E57">
            <w:pPr>
              <w:pStyle w:val="TableContent"/>
              <w:rPr>
                <w:sz w:val="24"/>
              </w:rPr>
            </w:pPr>
            <w:r w:rsidRPr="00D71E5A">
              <w:rPr>
                <w:sz w:val="24"/>
              </w:rPr>
              <w:t>[Market value and Current replacement cost]</w:t>
            </w:r>
          </w:p>
        </w:tc>
        <w:tc>
          <w:tcPr>
            <w:tcW w:w="1632" w:type="dxa"/>
          </w:tcPr>
          <w:p w14:paraId="34B1D68F" w14:textId="77777777" w:rsidR="003675A0" w:rsidRPr="00D71E5A" w:rsidRDefault="003675A0" w:rsidP="00702E57">
            <w:pPr>
              <w:pStyle w:val="TableContent"/>
              <w:rPr>
                <w:sz w:val="24"/>
              </w:rPr>
            </w:pPr>
            <w:r w:rsidRPr="00D71E5A">
              <w:rPr>
                <w:sz w:val="24"/>
              </w:rPr>
              <w:t>[2022]</w:t>
            </w:r>
          </w:p>
        </w:tc>
        <w:tc>
          <w:tcPr>
            <w:tcW w:w="1632" w:type="dxa"/>
          </w:tcPr>
          <w:p w14:paraId="258103EB" w14:textId="067140D7" w:rsidR="003675A0" w:rsidRPr="00D71E5A" w:rsidRDefault="003675A0" w:rsidP="00702E57">
            <w:pPr>
              <w:pStyle w:val="TableContent"/>
              <w:rPr>
                <w:sz w:val="24"/>
              </w:rPr>
            </w:pPr>
            <w:r w:rsidRPr="00D71E5A">
              <w:rPr>
                <w:sz w:val="24"/>
              </w:rPr>
              <w:t>[</w:t>
            </w:r>
            <w:r w:rsidR="00E974AA" w:rsidRPr="00D71E5A">
              <w:rPr>
                <w:sz w:val="24"/>
              </w:rPr>
              <w:t>$</w:t>
            </w:r>
            <w:r w:rsidRPr="00D71E5A">
              <w:rPr>
                <w:sz w:val="24"/>
              </w:rPr>
              <w:t>67 million]</w:t>
            </w:r>
          </w:p>
        </w:tc>
      </w:tr>
      <w:tr w:rsidR="003675A0" w:rsidRPr="000B0143" w14:paraId="28C719E6" w14:textId="77777777" w:rsidTr="004B7282">
        <w:tc>
          <w:tcPr>
            <w:tcW w:w="2088" w:type="dxa"/>
          </w:tcPr>
          <w:p w14:paraId="083DE336" w14:textId="77777777" w:rsidR="003675A0" w:rsidRPr="00D71E5A" w:rsidRDefault="003675A0" w:rsidP="00702E57">
            <w:pPr>
              <w:pStyle w:val="Heading4"/>
              <w:spacing w:before="60"/>
              <w:rPr>
                <w:sz w:val="24"/>
              </w:rPr>
            </w:pPr>
            <w:r w:rsidRPr="00D71E5A">
              <w:rPr>
                <w:sz w:val="24"/>
              </w:rPr>
              <w:t>Other structures</w:t>
            </w:r>
          </w:p>
        </w:tc>
        <w:tc>
          <w:tcPr>
            <w:tcW w:w="1632" w:type="dxa"/>
          </w:tcPr>
          <w:p w14:paraId="4942537A" w14:textId="77777777" w:rsidR="003675A0" w:rsidRPr="00D71E5A" w:rsidRDefault="003675A0" w:rsidP="00702E57">
            <w:pPr>
              <w:pStyle w:val="TableContent"/>
              <w:rPr>
                <w:sz w:val="24"/>
              </w:rPr>
            </w:pPr>
            <w:r w:rsidRPr="00D71E5A">
              <w:rPr>
                <w:sz w:val="24"/>
              </w:rPr>
              <w:t>[350]</w:t>
            </w:r>
          </w:p>
        </w:tc>
        <w:tc>
          <w:tcPr>
            <w:tcW w:w="2088" w:type="dxa"/>
          </w:tcPr>
          <w:p w14:paraId="10894664" w14:textId="77777777" w:rsidR="003675A0" w:rsidRPr="00D71E5A" w:rsidRDefault="003675A0" w:rsidP="00702E57">
            <w:pPr>
              <w:pStyle w:val="TableContent"/>
              <w:rPr>
                <w:sz w:val="24"/>
              </w:rPr>
            </w:pPr>
            <w:r w:rsidRPr="00D71E5A">
              <w:rPr>
                <w:sz w:val="24"/>
              </w:rPr>
              <w:t>[Current replacement cost]</w:t>
            </w:r>
          </w:p>
        </w:tc>
        <w:tc>
          <w:tcPr>
            <w:tcW w:w="1632" w:type="dxa"/>
          </w:tcPr>
          <w:p w14:paraId="7D5E2059" w14:textId="77777777" w:rsidR="003675A0" w:rsidRPr="00D71E5A" w:rsidRDefault="003675A0" w:rsidP="00702E57">
            <w:pPr>
              <w:pStyle w:val="TableContent"/>
              <w:rPr>
                <w:sz w:val="24"/>
              </w:rPr>
            </w:pPr>
            <w:r w:rsidRPr="00D71E5A">
              <w:rPr>
                <w:sz w:val="24"/>
              </w:rPr>
              <w:t>[2023]</w:t>
            </w:r>
          </w:p>
        </w:tc>
        <w:tc>
          <w:tcPr>
            <w:tcW w:w="1632" w:type="dxa"/>
          </w:tcPr>
          <w:p w14:paraId="1F0BF51D" w14:textId="465ADB81" w:rsidR="003675A0" w:rsidRPr="00D71E5A" w:rsidRDefault="003675A0" w:rsidP="00702E57">
            <w:pPr>
              <w:pStyle w:val="TableContent"/>
              <w:rPr>
                <w:sz w:val="24"/>
              </w:rPr>
            </w:pPr>
            <w:r w:rsidRPr="00D71E5A">
              <w:rPr>
                <w:sz w:val="24"/>
              </w:rPr>
              <w:t>[</w:t>
            </w:r>
            <w:r w:rsidR="00E974AA" w:rsidRPr="00D71E5A">
              <w:rPr>
                <w:sz w:val="24"/>
              </w:rPr>
              <w:t>$</w:t>
            </w:r>
            <w:r w:rsidRPr="00D71E5A">
              <w:rPr>
                <w:sz w:val="24"/>
              </w:rPr>
              <w:t>45 million]</w:t>
            </w:r>
          </w:p>
        </w:tc>
      </w:tr>
      <w:tr w:rsidR="003675A0" w:rsidRPr="000B0143" w14:paraId="3DA2284F" w14:textId="77777777" w:rsidTr="004B7282">
        <w:tc>
          <w:tcPr>
            <w:tcW w:w="2088" w:type="dxa"/>
          </w:tcPr>
          <w:p w14:paraId="79396784" w14:textId="77777777" w:rsidR="003675A0" w:rsidRPr="00D71E5A" w:rsidRDefault="003675A0" w:rsidP="00702E57">
            <w:pPr>
              <w:pStyle w:val="Heading4"/>
              <w:spacing w:before="60"/>
              <w:rPr>
                <w:sz w:val="24"/>
              </w:rPr>
            </w:pPr>
            <w:r w:rsidRPr="00D71E5A">
              <w:rPr>
                <w:sz w:val="24"/>
              </w:rPr>
              <w:t>Road infrastructure</w:t>
            </w:r>
          </w:p>
        </w:tc>
        <w:tc>
          <w:tcPr>
            <w:tcW w:w="1632" w:type="dxa"/>
          </w:tcPr>
          <w:p w14:paraId="2A45206D" w14:textId="77777777" w:rsidR="003675A0" w:rsidRPr="00D71E5A" w:rsidRDefault="003675A0" w:rsidP="00702E57">
            <w:pPr>
              <w:pStyle w:val="TableContent"/>
              <w:rPr>
                <w:sz w:val="24"/>
              </w:rPr>
            </w:pPr>
            <w:r w:rsidRPr="00D71E5A">
              <w:rPr>
                <w:sz w:val="24"/>
              </w:rPr>
              <w:t>[25,400]</w:t>
            </w:r>
          </w:p>
        </w:tc>
        <w:tc>
          <w:tcPr>
            <w:tcW w:w="2088" w:type="dxa"/>
          </w:tcPr>
          <w:p w14:paraId="38F9B79C" w14:textId="77777777" w:rsidR="003675A0" w:rsidRPr="00D71E5A" w:rsidRDefault="003675A0" w:rsidP="00702E57">
            <w:pPr>
              <w:pStyle w:val="TableContent"/>
              <w:rPr>
                <w:sz w:val="24"/>
              </w:rPr>
            </w:pPr>
            <w:r w:rsidRPr="00D71E5A">
              <w:rPr>
                <w:sz w:val="24"/>
              </w:rPr>
              <w:t>[Current replacement cost]</w:t>
            </w:r>
          </w:p>
        </w:tc>
        <w:tc>
          <w:tcPr>
            <w:tcW w:w="1632" w:type="dxa"/>
          </w:tcPr>
          <w:p w14:paraId="5F05B67C" w14:textId="77777777" w:rsidR="003675A0" w:rsidRPr="00D71E5A" w:rsidRDefault="003675A0" w:rsidP="00702E57">
            <w:pPr>
              <w:pStyle w:val="TableContent"/>
              <w:rPr>
                <w:sz w:val="24"/>
              </w:rPr>
            </w:pPr>
            <w:r w:rsidRPr="00D71E5A">
              <w:rPr>
                <w:sz w:val="24"/>
              </w:rPr>
              <w:t>[2023]</w:t>
            </w:r>
          </w:p>
        </w:tc>
        <w:tc>
          <w:tcPr>
            <w:tcW w:w="1632" w:type="dxa"/>
          </w:tcPr>
          <w:p w14:paraId="79369294" w14:textId="610FC9F0" w:rsidR="003675A0" w:rsidRPr="00D71E5A" w:rsidRDefault="003675A0" w:rsidP="00702E57">
            <w:pPr>
              <w:pStyle w:val="TableContent"/>
              <w:rPr>
                <w:sz w:val="24"/>
              </w:rPr>
            </w:pPr>
            <w:r w:rsidRPr="00D71E5A">
              <w:rPr>
                <w:sz w:val="24"/>
              </w:rPr>
              <w:t>[</w:t>
            </w:r>
            <w:r w:rsidR="00E974AA" w:rsidRPr="00D71E5A">
              <w:rPr>
                <w:sz w:val="24"/>
              </w:rPr>
              <w:t>$</w:t>
            </w:r>
            <w:r w:rsidRPr="00D71E5A">
              <w:rPr>
                <w:sz w:val="24"/>
              </w:rPr>
              <w:t>470 million]</w:t>
            </w:r>
          </w:p>
        </w:tc>
      </w:tr>
      <w:tr w:rsidR="003675A0" w:rsidRPr="000B0143" w14:paraId="46D7A4FF" w14:textId="77777777" w:rsidTr="004B7282">
        <w:tc>
          <w:tcPr>
            <w:tcW w:w="2088" w:type="dxa"/>
          </w:tcPr>
          <w:p w14:paraId="10F131F3" w14:textId="77777777" w:rsidR="003675A0" w:rsidRPr="00D71E5A" w:rsidRDefault="003675A0" w:rsidP="00702E57">
            <w:pPr>
              <w:pStyle w:val="Heading4"/>
              <w:spacing w:before="60"/>
              <w:rPr>
                <w:sz w:val="24"/>
              </w:rPr>
            </w:pPr>
            <w:r w:rsidRPr="00D71E5A">
              <w:rPr>
                <w:sz w:val="24"/>
              </w:rPr>
              <w:t>Water and sewerage infrastructure</w:t>
            </w:r>
          </w:p>
        </w:tc>
        <w:tc>
          <w:tcPr>
            <w:tcW w:w="1632" w:type="dxa"/>
          </w:tcPr>
          <w:p w14:paraId="1015E330" w14:textId="77777777" w:rsidR="003675A0" w:rsidRPr="00D71E5A" w:rsidRDefault="003675A0" w:rsidP="00702E57">
            <w:pPr>
              <w:pStyle w:val="TableContent"/>
              <w:rPr>
                <w:sz w:val="24"/>
              </w:rPr>
            </w:pPr>
            <w:r w:rsidRPr="00D71E5A">
              <w:rPr>
                <w:sz w:val="24"/>
              </w:rPr>
              <w:t>[32,300]</w:t>
            </w:r>
          </w:p>
        </w:tc>
        <w:tc>
          <w:tcPr>
            <w:tcW w:w="2088" w:type="dxa"/>
          </w:tcPr>
          <w:p w14:paraId="32B96CD9" w14:textId="77777777" w:rsidR="003675A0" w:rsidRPr="00D71E5A" w:rsidRDefault="003675A0" w:rsidP="00702E57">
            <w:pPr>
              <w:pStyle w:val="TableContent"/>
              <w:rPr>
                <w:sz w:val="24"/>
              </w:rPr>
            </w:pPr>
            <w:r w:rsidRPr="00D71E5A">
              <w:rPr>
                <w:sz w:val="24"/>
              </w:rPr>
              <w:t>[Current replacement cost]</w:t>
            </w:r>
          </w:p>
        </w:tc>
        <w:tc>
          <w:tcPr>
            <w:tcW w:w="1632" w:type="dxa"/>
          </w:tcPr>
          <w:p w14:paraId="0E919475" w14:textId="77777777" w:rsidR="003675A0" w:rsidRPr="00D71E5A" w:rsidRDefault="003675A0" w:rsidP="00702E57">
            <w:pPr>
              <w:pStyle w:val="TableContent"/>
              <w:rPr>
                <w:sz w:val="24"/>
              </w:rPr>
            </w:pPr>
            <w:r w:rsidRPr="00D71E5A">
              <w:rPr>
                <w:sz w:val="24"/>
              </w:rPr>
              <w:t>[2020]</w:t>
            </w:r>
          </w:p>
        </w:tc>
        <w:tc>
          <w:tcPr>
            <w:tcW w:w="1632" w:type="dxa"/>
          </w:tcPr>
          <w:p w14:paraId="01F8F4E5" w14:textId="0BD70392" w:rsidR="003675A0" w:rsidRPr="00D71E5A" w:rsidRDefault="003675A0" w:rsidP="00702E57">
            <w:pPr>
              <w:pStyle w:val="TableContent"/>
              <w:rPr>
                <w:sz w:val="24"/>
              </w:rPr>
            </w:pPr>
            <w:r w:rsidRPr="00D71E5A">
              <w:rPr>
                <w:sz w:val="24"/>
              </w:rPr>
              <w:t>[</w:t>
            </w:r>
            <w:r w:rsidR="00E974AA" w:rsidRPr="00D71E5A">
              <w:rPr>
                <w:sz w:val="24"/>
              </w:rPr>
              <w:t>$</w:t>
            </w:r>
            <w:r w:rsidRPr="00D71E5A">
              <w:rPr>
                <w:sz w:val="24"/>
              </w:rPr>
              <w:t>370 million]</w:t>
            </w:r>
          </w:p>
        </w:tc>
      </w:tr>
      <w:tr w:rsidR="003675A0" w:rsidRPr="000B0143" w14:paraId="18ADEFA9" w14:textId="77777777" w:rsidTr="004B7282">
        <w:tc>
          <w:tcPr>
            <w:tcW w:w="2088" w:type="dxa"/>
          </w:tcPr>
          <w:p w14:paraId="59E1A022" w14:textId="77777777" w:rsidR="003675A0" w:rsidRPr="00D71E5A" w:rsidRDefault="003675A0" w:rsidP="00702E57">
            <w:pPr>
              <w:pStyle w:val="Heading4"/>
              <w:spacing w:before="60"/>
              <w:rPr>
                <w:sz w:val="24"/>
              </w:rPr>
            </w:pPr>
            <w:r w:rsidRPr="00D71E5A">
              <w:rPr>
                <w:sz w:val="24"/>
              </w:rPr>
              <w:t>Parks and recreational assets</w:t>
            </w:r>
          </w:p>
        </w:tc>
        <w:tc>
          <w:tcPr>
            <w:tcW w:w="1632" w:type="dxa"/>
          </w:tcPr>
          <w:p w14:paraId="3FC90C7F" w14:textId="77777777" w:rsidR="003675A0" w:rsidRPr="00D71E5A" w:rsidRDefault="003675A0" w:rsidP="00702E57">
            <w:pPr>
              <w:pStyle w:val="TableContent"/>
              <w:rPr>
                <w:sz w:val="24"/>
              </w:rPr>
            </w:pPr>
            <w:r w:rsidRPr="00D71E5A">
              <w:rPr>
                <w:sz w:val="24"/>
              </w:rPr>
              <w:t>[890]</w:t>
            </w:r>
          </w:p>
        </w:tc>
        <w:tc>
          <w:tcPr>
            <w:tcW w:w="2088" w:type="dxa"/>
          </w:tcPr>
          <w:p w14:paraId="1EF13D4E" w14:textId="77777777" w:rsidR="003675A0" w:rsidRPr="00D71E5A" w:rsidRDefault="003675A0" w:rsidP="00702E57">
            <w:pPr>
              <w:pStyle w:val="TableContent"/>
              <w:rPr>
                <w:sz w:val="24"/>
              </w:rPr>
            </w:pPr>
            <w:r w:rsidRPr="00D71E5A">
              <w:rPr>
                <w:sz w:val="24"/>
              </w:rPr>
              <w:t>[Current replacement cost]</w:t>
            </w:r>
          </w:p>
        </w:tc>
        <w:tc>
          <w:tcPr>
            <w:tcW w:w="1632" w:type="dxa"/>
          </w:tcPr>
          <w:p w14:paraId="27C992A8" w14:textId="77777777" w:rsidR="003675A0" w:rsidRPr="00D71E5A" w:rsidRDefault="003675A0" w:rsidP="00702E57">
            <w:pPr>
              <w:pStyle w:val="TableContent"/>
              <w:rPr>
                <w:sz w:val="24"/>
              </w:rPr>
            </w:pPr>
            <w:r w:rsidRPr="00D71E5A">
              <w:rPr>
                <w:sz w:val="24"/>
              </w:rPr>
              <w:t>[2020]</w:t>
            </w:r>
          </w:p>
        </w:tc>
        <w:tc>
          <w:tcPr>
            <w:tcW w:w="1632" w:type="dxa"/>
          </w:tcPr>
          <w:p w14:paraId="7B0C0F25" w14:textId="3F4C45C2" w:rsidR="003675A0" w:rsidRPr="00D71E5A" w:rsidRDefault="003675A0" w:rsidP="00702E57">
            <w:pPr>
              <w:pStyle w:val="TableContent"/>
              <w:rPr>
                <w:sz w:val="24"/>
              </w:rPr>
            </w:pPr>
            <w:r w:rsidRPr="00D71E5A">
              <w:rPr>
                <w:sz w:val="24"/>
              </w:rPr>
              <w:t>[</w:t>
            </w:r>
            <w:r w:rsidR="00E974AA" w:rsidRPr="00D71E5A">
              <w:rPr>
                <w:sz w:val="24"/>
              </w:rPr>
              <w:t>$</w:t>
            </w:r>
            <w:r w:rsidRPr="00D71E5A">
              <w:rPr>
                <w:sz w:val="24"/>
              </w:rPr>
              <w:t>8 million]</w:t>
            </w:r>
          </w:p>
        </w:tc>
      </w:tr>
      <w:tr w:rsidR="003675A0" w:rsidRPr="000B0143" w14:paraId="5BA01A5F" w14:textId="77777777" w:rsidTr="004B7282">
        <w:tc>
          <w:tcPr>
            <w:tcW w:w="2088" w:type="dxa"/>
          </w:tcPr>
          <w:p w14:paraId="63CFEB8D" w14:textId="77777777" w:rsidR="003675A0" w:rsidRPr="00D71E5A" w:rsidRDefault="003675A0" w:rsidP="00702E57">
            <w:pPr>
              <w:pStyle w:val="Heading4"/>
              <w:spacing w:before="60"/>
              <w:rPr>
                <w:sz w:val="24"/>
              </w:rPr>
            </w:pPr>
            <w:r w:rsidRPr="00D71E5A">
              <w:rPr>
                <w:sz w:val="24"/>
              </w:rPr>
              <w:t>Other</w:t>
            </w:r>
          </w:p>
        </w:tc>
        <w:tc>
          <w:tcPr>
            <w:tcW w:w="1632" w:type="dxa"/>
          </w:tcPr>
          <w:p w14:paraId="3A8C732A" w14:textId="77777777" w:rsidR="003675A0" w:rsidRPr="00210950" w:rsidRDefault="003675A0" w:rsidP="00702E57">
            <w:pPr>
              <w:pStyle w:val="TableContent"/>
              <w:rPr>
                <w:w w:val="96"/>
                <w:sz w:val="24"/>
              </w:rPr>
            </w:pPr>
          </w:p>
        </w:tc>
        <w:tc>
          <w:tcPr>
            <w:tcW w:w="2088" w:type="dxa"/>
          </w:tcPr>
          <w:p w14:paraId="392ADE29" w14:textId="77777777" w:rsidR="003675A0" w:rsidRPr="00210950" w:rsidRDefault="003675A0" w:rsidP="00702E57">
            <w:pPr>
              <w:pStyle w:val="TableContent"/>
              <w:rPr>
                <w:w w:val="96"/>
                <w:sz w:val="24"/>
              </w:rPr>
            </w:pPr>
          </w:p>
        </w:tc>
        <w:tc>
          <w:tcPr>
            <w:tcW w:w="1632" w:type="dxa"/>
          </w:tcPr>
          <w:p w14:paraId="3C99A4CF" w14:textId="77777777" w:rsidR="003675A0" w:rsidRPr="00210950" w:rsidRDefault="003675A0" w:rsidP="00702E57">
            <w:pPr>
              <w:pStyle w:val="TableContent"/>
              <w:rPr>
                <w:w w:val="96"/>
                <w:sz w:val="24"/>
              </w:rPr>
            </w:pPr>
          </w:p>
        </w:tc>
        <w:tc>
          <w:tcPr>
            <w:tcW w:w="1632" w:type="dxa"/>
          </w:tcPr>
          <w:p w14:paraId="6D5471D6" w14:textId="77777777" w:rsidR="003675A0" w:rsidRPr="00210950" w:rsidRDefault="003675A0" w:rsidP="00702E57">
            <w:pPr>
              <w:pStyle w:val="TableContent"/>
              <w:rPr>
                <w:w w:val="96"/>
                <w:sz w:val="24"/>
              </w:rPr>
            </w:pPr>
          </w:p>
        </w:tc>
      </w:tr>
    </w:tbl>
    <w:p w14:paraId="2820A3A0" w14:textId="77777777" w:rsidR="003675A0" w:rsidRPr="000B0143" w:rsidRDefault="003675A0" w:rsidP="003675A0">
      <w:pPr>
        <w:spacing w:before="2" w:after="0" w:line="10" w:lineRule="exact"/>
        <w:rPr>
          <w:rFonts w:cs="Arial"/>
        </w:rPr>
      </w:pPr>
    </w:p>
    <w:p w14:paraId="0732074C" w14:textId="77777777" w:rsidR="003675A0" w:rsidRPr="000B0143" w:rsidRDefault="003675A0" w:rsidP="00D70B5C">
      <w:pPr>
        <w:pStyle w:val="BodyText"/>
      </w:pPr>
      <w:r w:rsidRPr="000B0143">
        <w:t xml:space="preserve">The local government must stipulate the valuation basis. </w:t>
      </w:r>
    </w:p>
    <w:p w14:paraId="254E9DBE" w14:textId="77777777" w:rsidR="003675A0" w:rsidRPr="000B0143" w:rsidRDefault="003675A0" w:rsidP="00E207F6">
      <w:pPr>
        <w:pStyle w:val="Heading4"/>
        <w:rPr>
          <w:spacing w:val="3"/>
          <w:w w:val="93"/>
        </w:rPr>
      </w:pPr>
      <w:r w:rsidRPr="000B0143">
        <w:t>4 Definition and prescribed requirements</w:t>
      </w:r>
      <w:r w:rsidRPr="000B0143">
        <w:rPr>
          <w:spacing w:val="3"/>
          <w:w w:val="93"/>
        </w:rPr>
        <w:t xml:space="preserve"> </w:t>
      </w:r>
    </w:p>
    <w:p w14:paraId="54063F2A" w14:textId="77777777" w:rsidR="003675A0" w:rsidRPr="000B0143" w:rsidRDefault="003675A0" w:rsidP="00D71E5A">
      <w:pPr>
        <w:pStyle w:val="TableContent"/>
      </w:pPr>
      <w:r w:rsidRPr="00D71E5A">
        <w:t xml:space="preserve">The valuation must comply with all Australian Accounting Standards and jurisdictional legislation. AAS </w:t>
      </w:r>
      <w:r w:rsidRPr="000B0143">
        <w:t xml:space="preserve">include but are not limited to: </w:t>
      </w:r>
    </w:p>
    <w:tbl>
      <w:tblPr>
        <w:tblStyle w:val="TableGrid"/>
        <w:tblW w:w="9639" w:type="dxa"/>
        <w:tblLook w:val="04A0" w:firstRow="1" w:lastRow="0" w:firstColumn="1" w:lastColumn="0" w:noHBand="0" w:noVBand="1"/>
      </w:tblPr>
      <w:tblGrid>
        <w:gridCol w:w="9639"/>
      </w:tblGrid>
      <w:tr w:rsidR="003675A0" w:rsidRPr="000B0143" w14:paraId="602F6A45" w14:textId="77777777" w:rsidTr="004B7282">
        <w:trPr>
          <w:tblHeader/>
        </w:trPr>
        <w:tc>
          <w:tcPr>
            <w:tcW w:w="9639" w:type="dxa"/>
            <w:shd w:val="clear" w:color="auto" w:fill="F2F2F2" w:themeFill="background1" w:themeFillShade="F2"/>
          </w:tcPr>
          <w:p w14:paraId="0EB2107E" w14:textId="77777777" w:rsidR="003675A0" w:rsidRPr="009A60D6" w:rsidRDefault="003675A0" w:rsidP="009A60D6">
            <w:pPr>
              <w:pStyle w:val="TableContent"/>
              <w:rPr>
                <w:b/>
                <w:bCs/>
                <w:sz w:val="24"/>
              </w:rPr>
            </w:pPr>
            <w:r w:rsidRPr="009A60D6">
              <w:rPr>
                <w:b/>
                <w:bCs/>
                <w:sz w:val="24"/>
              </w:rPr>
              <w:t>AASB Title</w:t>
            </w:r>
          </w:p>
        </w:tc>
      </w:tr>
      <w:tr w:rsidR="003675A0" w:rsidRPr="000B0143" w14:paraId="7FF902CB" w14:textId="77777777" w:rsidTr="004B7282">
        <w:tc>
          <w:tcPr>
            <w:tcW w:w="9639" w:type="dxa"/>
          </w:tcPr>
          <w:p w14:paraId="160CB143" w14:textId="77777777" w:rsidR="003675A0" w:rsidRPr="009A60D6" w:rsidRDefault="003675A0" w:rsidP="009A60D6">
            <w:pPr>
              <w:pStyle w:val="TableContent"/>
              <w:rPr>
                <w:sz w:val="24"/>
                <w:vertAlign w:val="superscript"/>
              </w:rPr>
            </w:pPr>
            <w:r w:rsidRPr="009A60D6">
              <w:rPr>
                <w:sz w:val="24"/>
              </w:rPr>
              <w:t>AASB 13 Fair Value Measurement (2022)</w:t>
            </w:r>
          </w:p>
        </w:tc>
      </w:tr>
      <w:tr w:rsidR="003675A0" w:rsidRPr="000B0143" w14:paraId="3CDB15BF" w14:textId="77777777" w:rsidTr="004B7282">
        <w:tc>
          <w:tcPr>
            <w:tcW w:w="9639" w:type="dxa"/>
          </w:tcPr>
          <w:p w14:paraId="0EED3370" w14:textId="77777777" w:rsidR="003675A0" w:rsidRPr="009A60D6" w:rsidRDefault="003675A0" w:rsidP="009A60D6">
            <w:pPr>
              <w:pStyle w:val="TableContent"/>
              <w:rPr>
                <w:sz w:val="24"/>
                <w:vertAlign w:val="superscript"/>
              </w:rPr>
            </w:pPr>
            <w:r w:rsidRPr="009A60D6">
              <w:rPr>
                <w:sz w:val="24"/>
              </w:rPr>
              <w:t>AASB 116 Property, Plant and Equipment (2022)</w:t>
            </w:r>
          </w:p>
        </w:tc>
      </w:tr>
      <w:tr w:rsidR="003675A0" w:rsidRPr="000B0143" w14:paraId="51AC9FBC" w14:textId="77777777" w:rsidTr="004B7282">
        <w:tc>
          <w:tcPr>
            <w:tcW w:w="9639" w:type="dxa"/>
          </w:tcPr>
          <w:p w14:paraId="3BDE13DB" w14:textId="77777777" w:rsidR="003675A0" w:rsidRPr="009A60D6" w:rsidRDefault="003675A0" w:rsidP="009A60D6">
            <w:pPr>
              <w:pStyle w:val="TableContent"/>
              <w:rPr>
                <w:sz w:val="24"/>
                <w:vertAlign w:val="superscript"/>
              </w:rPr>
            </w:pPr>
            <w:r w:rsidRPr="009A60D6">
              <w:rPr>
                <w:sz w:val="24"/>
              </w:rPr>
              <w:t>AASB 136 Impairment of Assets (2022)</w:t>
            </w:r>
          </w:p>
        </w:tc>
      </w:tr>
      <w:tr w:rsidR="003675A0" w:rsidRPr="000B0143" w14:paraId="43786D7F" w14:textId="77777777" w:rsidTr="004B7282">
        <w:tc>
          <w:tcPr>
            <w:tcW w:w="9639" w:type="dxa"/>
          </w:tcPr>
          <w:p w14:paraId="6678CDB4" w14:textId="77777777" w:rsidR="003675A0" w:rsidRPr="009A60D6" w:rsidRDefault="003675A0" w:rsidP="009A60D6">
            <w:pPr>
              <w:pStyle w:val="TableContent"/>
              <w:rPr>
                <w:sz w:val="24"/>
                <w:vertAlign w:val="superscript"/>
              </w:rPr>
            </w:pPr>
            <w:r w:rsidRPr="009A60D6">
              <w:rPr>
                <w:sz w:val="24"/>
              </w:rPr>
              <w:t>AASB 140 Investment Property (2022)</w:t>
            </w:r>
          </w:p>
        </w:tc>
      </w:tr>
      <w:tr w:rsidR="003675A0" w:rsidRPr="000B0143" w14:paraId="68B49DA6" w14:textId="77777777" w:rsidTr="004B7282">
        <w:tc>
          <w:tcPr>
            <w:tcW w:w="9639" w:type="dxa"/>
          </w:tcPr>
          <w:p w14:paraId="7E0D8BAE" w14:textId="77777777" w:rsidR="003675A0" w:rsidRPr="009A60D6" w:rsidRDefault="003675A0" w:rsidP="009A60D6">
            <w:pPr>
              <w:pStyle w:val="TableContent"/>
              <w:rPr>
                <w:sz w:val="24"/>
              </w:rPr>
            </w:pPr>
            <w:r w:rsidRPr="009A60D6">
              <w:rPr>
                <w:sz w:val="24"/>
              </w:rPr>
              <w:lastRenderedPageBreak/>
              <w:t>AASB 108 Accounting Policies, Changes in Accounting Estimates and Errors (2021)</w:t>
            </w:r>
          </w:p>
        </w:tc>
      </w:tr>
      <w:tr w:rsidR="003675A0" w:rsidRPr="000B0143" w14:paraId="480EAF92" w14:textId="77777777" w:rsidTr="004B7282">
        <w:tc>
          <w:tcPr>
            <w:tcW w:w="9639" w:type="dxa"/>
          </w:tcPr>
          <w:p w14:paraId="7410EADA" w14:textId="77777777" w:rsidR="003675A0" w:rsidRPr="009A60D6" w:rsidRDefault="003675A0" w:rsidP="009A60D6">
            <w:pPr>
              <w:pStyle w:val="TableContent"/>
              <w:rPr>
                <w:sz w:val="24"/>
              </w:rPr>
            </w:pPr>
            <w:r w:rsidRPr="009A60D6">
              <w:rPr>
                <w:sz w:val="24"/>
              </w:rPr>
              <w:t>AASB 5 Non-current Assets Held for Sale and Discontinued Operations (2022)</w:t>
            </w:r>
          </w:p>
        </w:tc>
      </w:tr>
      <w:tr w:rsidR="003675A0" w:rsidRPr="000B0143" w14:paraId="1A72FECB" w14:textId="77777777" w:rsidTr="004B7282">
        <w:tc>
          <w:tcPr>
            <w:tcW w:w="9639" w:type="dxa"/>
          </w:tcPr>
          <w:p w14:paraId="76724FF9" w14:textId="77777777" w:rsidR="003675A0" w:rsidRPr="009A60D6" w:rsidRDefault="003675A0" w:rsidP="009A60D6">
            <w:pPr>
              <w:pStyle w:val="TableContent"/>
              <w:rPr>
                <w:sz w:val="24"/>
              </w:rPr>
            </w:pPr>
            <w:r w:rsidRPr="009A60D6">
              <w:rPr>
                <w:sz w:val="24"/>
              </w:rPr>
              <w:t>AASB 16 Leases (2022)</w:t>
            </w:r>
          </w:p>
        </w:tc>
      </w:tr>
      <w:tr w:rsidR="003675A0" w:rsidRPr="000B0143" w14:paraId="0C120E6B" w14:textId="77777777" w:rsidTr="004B7282">
        <w:tc>
          <w:tcPr>
            <w:tcW w:w="9639" w:type="dxa"/>
          </w:tcPr>
          <w:p w14:paraId="48A5649F" w14:textId="77777777" w:rsidR="003675A0" w:rsidRPr="009A60D6" w:rsidRDefault="003675A0" w:rsidP="009A60D6">
            <w:pPr>
              <w:pStyle w:val="TableContent"/>
              <w:rPr>
                <w:sz w:val="24"/>
              </w:rPr>
            </w:pPr>
            <w:r w:rsidRPr="009A60D6">
              <w:rPr>
                <w:sz w:val="24"/>
              </w:rPr>
              <w:t>AASB 1051 Land Under Roads (2020)</w:t>
            </w:r>
          </w:p>
        </w:tc>
      </w:tr>
    </w:tbl>
    <w:p w14:paraId="78153C17" w14:textId="77777777" w:rsidR="003675A0" w:rsidRPr="000B0143" w:rsidRDefault="003675A0" w:rsidP="00607263">
      <w:pPr>
        <w:pStyle w:val="Heading4"/>
      </w:pPr>
      <w:r w:rsidRPr="000B0143">
        <w:t>5 Specific requirements of the contract</w:t>
      </w:r>
    </w:p>
    <w:p w14:paraId="61AF2647" w14:textId="77777777" w:rsidR="003675A0" w:rsidRPr="000B0143" w:rsidRDefault="003675A0" w:rsidP="00D70B5C">
      <w:pPr>
        <w:pStyle w:val="BodyText"/>
      </w:pPr>
      <w:r w:rsidRPr="000B0143">
        <w:rPr>
          <w:spacing w:val="2"/>
        </w:rPr>
        <w:t>Co</w:t>
      </w:r>
      <w:r w:rsidRPr="000B0143">
        <w:t>m</w:t>
      </w:r>
      <w:r w:rsidRPr="000B0143">
        <w:rPr>
          <w:spacing w:val="4"/>
        </w:rPr>
        <w:t>p</w:t>
      </w:r>
      <w:r w:rsidRPr="000B0143">
        <w:t>rehensive</w:t>
      </w:r>
      <w:r w:rsidRPr="000B0143">
        <w:rPr>
          <w:spacing w:val="-11"/>
        </w:rPr>
        <w:t xml:space="preserve"> </w:t>
      </w:r>
      <w:r w:rsidRPr="000B0143">
        <w:t>valua</w:t>
      </w:r>
      <w:r w:rsidRPr="000B0143">
        <w:rPr>
          <w:spacing w:val="5"/>
        </w:rPr>
        <w:t>t</w:t>
      </w:r>
      <w:r w:rsidRPr="000B0143">
        <w:rPr>
          <w:spacing w:val="2"/>
        </w:rPr>
        <w:t>i</w:t>
      </w:r>
      <w:r w:rsidRPr="000B0143">
        <w:t>ons</w:t>
      </w:r>
    </w:p>
    <w:p w14:paraId="175C6F9A" w14:textId="5E482F3A" w:rsidR="003675A0" w:rsidRPr="000B0143" w:rsidRDefault="00D70B5C">
      <w:pPr>
        <w:pStyle w:val="BodyText"/>
        <w:numPr>
          <w:ilvl w:val="0"/>
          <w:numId w:val="130"/>
        </w:numPr>
      </w:pPr>
      <w:r>
        <w:t>A</w:t>
      </w:r>
      <w:r w:rsidR="003675A0" w:rsidRPr="000B0143">
        <w:t>ll assets are to be revalued at fair value in full compliance with the prescribed requirements and relevant guides as listed in the section ‘Services to be provided’</w:t>
      </w:r>
      <w:r>
        <w:t>.</w:t>
      </w:r>
    </w:p>
    <w:p w14:paraId="50321972" w14:textId="0962A85A" w:rsidR="003675A0" w:rsidRPr="000B0143" w:rsidRDefault="00D70B5C">
      <w:pPr>
        <w:pStyle w:val="BodyText"/>
        <w:numPr>
          <w:ilvl w:val="0"/>
          <w:numId w:val="130"/>
        </w:numPr>
      </w:pPr>
      <w:r>
        <w:t>T</w:t>
      </w:r>
      <w:r w:rsidR="003675A0" w:rsidRPr="000B0143">
        <w:t>his includes valuing each asset as appropriate using the market, income or cost approach. With respect to the cost approach, this includes:</w:t>
      </w:r>
    </w:p>
    <w:p w14:paraId="2D071497" w14:textId="77777777" w:rsidR="003675A0" w:rsidRPr="000B0143" w:rsidRDefault="003675A0">
      <w:pPr>
        <w:pStyle w:val="BodyText"/>
        <w:numPr>
          <w:ilvl w:val="0"/>
          <w:numId w:val="118"/>
        </w:numPr>
      </w:pPr>
      <w:r w:rsidRPr="000B0143">
        <w:t>identifying all relevant costs</w:t>
      </w:r>
    </w:p>
    <w:p w14:paraId="03ADA719" w14:textId="77777777" w:rsidR="003675A0" w:rsidRPr="000B0143" w:rsidRDefault="003675A0">
      <w:pPr>
        <w:pStyle w:val="BodyText"/>
        <w:numPr>
          <w:ilvl w:val="0"/>
          <w:numId w:val="118"/>
        </w:numPr>
      </w:pPr>
      <w:r w:rsidRPr="000B0143">
        <w:t>determining replacement cost for each component</w:t>
      </w:r>
    </w:p>
    <w:p w14:paraId="37F00D13" w14:textId="28E13553" w:rsidR="003675A0" w:rsidRPr="000B0143" w:rsidRDefault="003675A0">
      <w:pPr>
        <w:pStyle w:val="BodyText"/>
        <w:numPr>
          <w:ilvl w:val="0"/>
          <w:numId w:val="118"/>
        </w:numPr>
      </w:pPr>
      <w:r w:rsidRPr="000B0143">
        <w:t>adjusting for the differences in service potential between subject asset and modern equivalent or reference asset</w:t>
      </w:r>
      <w:r w:rsidR="00D70B5C">
        <w:t>;</w:t>
      </w:r>
      <w:r w:rsidRPr="000B0143">
        <w:t xml:space="preserve"> and</w:t>
      </w:r>
    </w:p>
    <w:p w14:paraId="0F326513" w14:textId="77777777" w:rsidR="003675A0" w:rsidRPr="000B0143" w:rsidRDefault="003675A0">
      <w:pPr>
        <w:pStyle w:val="BodyText"/>
        <w:numPr>
          <w:ilvl w:val="0"/>
          <w:numId w:val="118"/>
        </w:numPr>
      </w:pPr>
      <w:r w:rsidRPr="000B0143">
        <w:t>determining remaining service potential based on condition and obsolescence consistent with the entity’s asset management strategies and other relevant factors.</w:t>
      </w:r>
    </w:p>
    <w:p w14:paraId="1B5C5535" w14:textId="7565CCC0" w:rsidR="003675A0" w:rsidRPr="000B0143" w:rsidRDefault="00D70B5C">
      <w:pPr>
        <w:pStyle w:val="BodyText"/>
        <w:numPr>
          <w:ilvl w:val="0"/>
          <w:numId w:val="119"/>
        </w:numPr>
      </w:pPr>
      <w:r>
        <w:t>T</w:t>
      </w:r>
      <w:r w:rsidR="003675A0" w:rsidRPr="000B0143">
        <w:t>he valuation is to be supported by a valuation report which incorporates a valuation certificate, detailed description of the methodology employed, and all relevant information required to enable the entity to comply with AASB 13 Fair Value Measurement (2022) disclosure requirements</w:t>
      </w:r>
      <w:r>
        <w:t>.</w:t>
      </w:r>
    </w:p>
    <w:p w14:paraId="403D9AC9" w14:textId="35D7575F" w:rsidR="003675A0" w:rsidRPr="000B0143" w:rsidRDefault="003675A0">
      <w:pPr>
        <w:pStyle w:val="BodyText"/>
        <w:numPr>
          <w:ilvl w:val="0"/>
          <w:numId w:val="119"/>
        </w:numPr>
      </w:pPr>
      <w:r w:rsidRPr="000B0143">
        <w:t>‘</w:t>
      </w:r>
      <w:r w:rsidR="00D70B5C">
        <w:t>F</w:t>
      </w:r>
      <w:r w:rsidRPr="000B0143">
        <w:t xml:space="preserve">air value’ means </w:t>
      </w:r>
      <w:r w:rsidR="00080CFC">
        <w:t>‘</w:t>
      </w:r>
      <w:r w:rsidRPr="000B0143">
        <w:t>the price that would be received to sell and asset or paid to transfer a liability in an orderly transaction between market participants at the measurement date</w:t>
      </w:r>
      <w:r w:rsidR="00E911A8">
        <w:t>’</w:t>
      </w:r>
      <w:r w:rsidRPr="000B0143">
        <w:t xml:space="preserve"> </w:t>
      </w:r>
      <w:r w:rsidR="00AA4563">
        <w:t>[</w:t>
      </w:r>
      <w:r w:rsidR="008A019A">
        <w:t>AASB 13 Fair Value Measurement (2022:7, par.9)</w:t>
      </w:r>
      <w:r w:rsidR="00AA4563">
        <w:t>]</w:t>
      </w:r>
      <w:r w:rsidRPr="000B0143">
        <w:t>.</w:t>
      </w:r>
    </w:p>
    <w:p w14:paraId="1667E445" w14:textId="77777777" w:rsidR="003675A0" w:rsidRPr="000B0143" w:rsidRDefault="003675A0" w:rsidP="00D70B5C">
      <w:pPr>
        <w:pStyle w:val="BodyText"/>
      </w:pPr>
      <w:r w:rsidRPr="000B0143">
        <w:t>Determining the fair value measurement requires an entity in conjunction with the valuer to determine all the following:</w:t>
      </w:r>
    </w:p>
    <w:p w14:paraId="2AACD6FA" w14:textId="6BE26BFB" w:rsidR="003675A0" w:rsidRPr="000B0143" w:rsidRDefault="00D70B5C">
      <w:pPr>
        <w:pStyle w:val="BodyText"/>
        <w:numPr>
          <w:ilvl w:val="0"/>
          <w:numId w:val="144"/>
        </w:numPr>
      </w:pPr>
      <w:r>
        <w:t>T</w:t>
      </w:r>
      <w:r w:rsidR="003675A0" w:rsidRPr="000B0143">
        <w:t>he particular asset that is the subject of the measurement (consistently with its unit of account)</w:t>
      </w:r>
      <w:r>
        <w:t>.</w:t>
      </w:r>
    </w:p>
    <w:p w14:paraId="43BFF93B" w14:textId="547C83AE" w:rsidR="003675A0" w:rsidRPr="000B0143" w:rsidRDefault="00D70B5C">
      <w:pPr>
        <w:pStyle w:val="BodyText"/>
        <w:numPr>
          <w:ilvl w:val="0"/>
          <w:numId w:val="145"/>
        </w:numPr>
      </w:pPr>
      <w:r>
        <w:t>F</w:t>
      </w:r>
      <w:r w:rsidR="003675A0" w:rsidRPr="000B0143">
        <w:t>or a non-financial asset, the valuation premise that is appropriate for the measurement [consistently with its ‘highest and best use’ (AASB 13 Fair Value Measurement (2022:8, par. 27)]</w:t>
      </w:r>
      <w:r>
        <w:t>.</w:t>
      </w:r>
    </w:p>
    <w:p w14:paraId="36C9200E" w14:textId="162A6F4F" w:rsidR="003675A0" w:rsidRPr="000B0143" w:rsidRDefault="00D70B5C">
      <w:pPr>
        <w:pStyle w:val="BodyText"/>
        <w:numPr>
          <w:ilvl w:val="0"/>
          <w:numId w:val="145"/>
        </w:numPr>
      </w:pPr>
      <w:r>
        <w:t>T</w:t>
      </w:r>
      <w:r w:rsidR="003675A0" w:rsidRPr="000B0143">
        <w:t>he principal (or most advantageous) market for the asset or liability</w:t>
      </w:r>
      <w:r>
        <w:t>.</w:t>
      </w:r>
    </w:p>
    <w:p w14:paraId="5CDF87D6" w14:textId="24421313" w:rsidR="003675A0" w:rsidRDefault="00D70B5C">
      <w:pPr>
        <w:pStyle w:val="BodyText"/>
        <w:numPr>
          <w:ilvl w:val="0"/>
          <w:numId w:val="145"/>
        </w:numPr>
      </w:pPr>
      <w:r>
        <w:lastRenderedPageBreak/>
        <w:t>T</w:t>
      </w:r>
      <w:r w:rsidR="003675A0" w:rsidRPr="000B0143">
        <w:t xml:space="preserve">he valuation technique(s) appropriate for the measurement, considering the availability of data with which to develop inputs that represent the assumptions that market participants would use when pricing the asset or liability and the level of the fair value hierarchy within which the inputs are categorised. </w:t>
      </w:r>
    </w:p>
    <w:p w14:paraId="066AF2EA" w14:textId="2BB61ECF" w:rsidR="003675A0" w:rsidRPr="00F66D09" w:rsidRDefault="00D70B5C">
      <w:pPr>
        <w:pStyle w:val="BodyText"/>
        <w:numPr>
          <w:ilvl w:val="0"/>
          <w:numId w:val="129"/>
        </w:numPr>
      </w:pPr>
      <w:r>
        <w:t>F</w:t>
      </w:r>
      <w:r w:rsidR="003675A0" w:rsidRPr="00F66D09">
        <w:t>air value will be determined as follows:</w:t>
      </w:r>
    </w:p>
    <w:p w14:paraId="4FF5AA23" w14:textId="77777777" w:rsidR="003675A0" w:rsidRPr="00F66D09" w:rsidRDefault="003675A0">
      <w:pPr>
        <w:pStyle w:val="BodyText"/>
        <w:numPr>
          <w:ilvl w:val="0"/>
          <w:numId w:val="131"/>
        </w:numPr>
      </w:pPr>
      <w:r w:rsidRPr="00F66D09">
        <w:t>where there is a quoted or an active and open market, using the market approach (designated approach for land)</w:t>
      </w:r>
    </w:p>
    <w:p w14:paraId="1E8CE439" w14:textId="04C8AE6A" w:rsidR="003675A0" w:rsidRPr="00F66D09" w:rsidRDefault="003675A0">
      <w:pPr>
        <w:pStyle w:val="BodyText"/>
        <w:numPr>
          <w:ilvl w:val="0"/>
          <w:numId w:val="131"/>
        </w:numPr>
      </w:pPr>
      <w:r w:rsidRPr="00F66D09">
        <w:t>where the value of the asset is primarily driven by its income/profit-generating capability, using the income approach</w:t>
      </w:r>
      <w:r w:rsidR="00D70B5C">
        <w:t>;</w:t>
      </w:r>
      <w:r w:rsidRPr="00F66D09">
        <w:t xml:space="preserve"> and</w:t>
      </w:r>
    </w:p>
    <w:p w14:paraId="1E1C1A94" w14:textId="77777777" w:rsidR="003675A0" w:rsidRPr="00F66D09" w:rsidRDefault="003675A0">
      <w:pPr>
        <w:pStyle w:val="BodyText"/>
        <w:numPr>
          <w:ilvl w:val="0"/>
          <w:numId w:val="131"/>
        </w:numPr>
      </w:pPr>
      <w:r w:rsidRPr="00F66D09">
        <w:t>where appropriate, using the cost approach.</w:t>
      </w:r>
    </w:p>
    <w:p w14:paraId="37345843" w14:textId="14062094" w:rsidR="003675A0" w:rsidRPr="000B0143" w:rsidRDefault="00D70B5C">
      <w:pPr>
        <w:pStyle w:val="BodyText"/>
        <w:numPr>
          <w:ilvl w:val="0"/>
          <w:numId w:val="120"/>
        </w:numPr>
      </w:pPr>
      <w:r>
        <w:t>A</w:t>
      </w:r>
      <w:r w:rsidR="003675A0" w:rsidRPr="000B0143">
        <w:t>ll assets above the revaluation threshold</w:t>
      </w:r>
      <w:r>
        <w:t>,</w:t>
      </w:r>
      <w:r w:rsidR="003675A0" w:rsidRPr="000B0143">
        <w:t xml:space="preserve"> and irrespective of valuation technique, are to be disaggregated in accordance with the requirements of the accounting standards at a level that enables determination of depreciation expense for each part as well as integration into the entity’s asset management framework</w:t>
      </w:r>
      <w:r>
        <w:t>.</w:t>
      </w:r>
    </w:p>
    <w:p w14:paraId="6E2ADA87" w14:textId="4C510EDB" w:rsidR="003675A0" w:rsidRPr="000B0143" w:rsidRDefault="00D70B5C">
      <w:pPr>
        <w:pStyle w:val="BodyText"/>
        <w:numPr>
          <w:ilvl w:val="0"/>
          <w:numId w:val="120"/>
        </w:numPr>
      </w:pPr>
      <w:r>
        <w:t>A</w:t>
      </w:r>
      <w:r w:rsidR="003675A0" w:rsidRPr="000B0143">
        <w:t>ll valuations are to be completed with an effective date of [dd mmm year]</w:t>
      </w:r>
      <w:r>
        <w:t>.</w:t>
      </w:r>
    </w:p>
    <w:p w14:paraId="7D0E6539" w14:textId="108057E8" w:rsidR="003675A0" w:rsidRPr="000B0143" w:rsidRDefault="00D70B5C">
      <w:pPr>
        <w:pStyle w:val="BodyText"/>
        <w:numPr>
          <w:ilvl w:val="0"/>
          <w:numId w:val="120"/>
        </w:numPr>
      </w:pPr>
      <w:r>
        <w:t>A</w:t>
      </w:r>
      <w:r w:rsidR="003675A0" w:rsidRPr="000B0143">
        <w:t>ll valuations are to be supported by sufficient and appropriate evidence to enable the local government to satisfy its legal obligations</w:t>
      </w:r>
      <w:r>
        <w:t>.</w:t>
      </w:r>
    </w:p>
    <w:p w14:paraId="2C4E4966" w14:textId="48E9324B" w:rsidR="003675A0" w:rsidRPr="000B0143" w:rsidRDefault="00D70B5C">
      <w:pPr>
        <w:pStyle w:val="BodyText"/>
        <w:numPr>
          <w:ilvl w:val="0"/>
          <w:numId w:val="121"/>
        </w:numPr>
      </w:pPr>
      <w:r>
        <w:rPr>
          <w:spacing w:val="8"/>
        </w:rPr>
        <w:t>A</w:t>
      </w:r>
      <w:r w:rsidR="003675A0" w:rsidRPr="000B0143">
        <w:rPr>
          <w:spacing w:val="8"/>
        </w:rPr>
        <w:t xml:space="preserve">ccess to </w:t>
      </w:r>
      <w:r w:rsidR="003675A0" w:rsidRPr="000B0143">
        <w:t>a copy of the complete set of the valuer’s working papers (or alternatively sufficient access to the valuer’s working papers for review)</w:t>
      </w:r>
      <w:r>
        <w:t>.</w:t>
      </w:r>
    </w:p>
    <w:p w14:paraId="5262941D" w14:textId="3C59A4E2" w:rsidR="003675A0" w:rsidRPr="000B0143" w:rsidRDefault="00D70B5C">
      <w:pPr>
        <w:pStyle w:val="BodyText"/>
        <w:numPr>
          <w:ilvl w:val="0"/>
          <w:numId w:val="121"/>
        </w:numPr>
      </w:pPr>
      <w:r>
        <w:t>W</w:t>
      </w:r>
      <w:r w:rsidR="003675A0" w:rsidRPr="000B0143">
        <w:t>here indicated, insurance valuations are also to be provided for each asset. In determining the insurance valuation, adequate allowances will be made for:</w:t>
      </w:r>
    </w:p>
    <w:p w14:paraId="2AD8F002" w14:textId="77777777" w:rsidR="003675A0" w:rsidRPr="000B0143" w:rsidRDefault="003675A0">
      <w:pPr>
        <w:pStyle w:val="BodyText"/>
        <w:numPr>
          <w:ilvl w:val="0"/>
          <w:numId w:val="146"/>
        </w:numPr>
        <w:ind w:left="1134" w:hanging="425"/>
      </w:pPr>
      <w:r w:rsidRPr="000B0143">
        <w:t>cost increases during the rebuilding period</w:t>
      </w:r>
    </w:p>
    <w:p w14:paraId="5F7C3D8A" w14:textId="77777777" w:rsidR="003675A0" w:rsidRPr="000B0143" w:rsidRDefault="003675A0">
      <w:pPr>
        <w:pStyle w:val="BodyText"/>
        <w:numPr>
          <w:ilvl w:val="0"/>
          <w:numId w:val="146"/>
        </w:numPr>
        <w:ind w:left="1134" w:hanging="425"/>
      </w:pPr>
      <w:r w:rsidRPr="000B0143">
        <w:t>cost of demolition and removal of debris</w:t>
      </w:r>
    </w:p>
    <w:p w14:paraId="3C51B58B" w14:textId="77777777" w:rsidR="003675A0" w:rsidRPr="000B0143" w:rsidRDefault="003675A0">
      <w:pPr>
        <w:pStyle w:val="BodyText"/>
        <w:numPr>
          <w:ilvl w:val="0"/>
          <w:numId w:val="146"/>
        </w:numPr>
        <w:ind w:left="1134" w:hanging="425"/>
      </w:pPr>
      <w:r w:rsidRPr="000B0143">
        <w:t>cost of all relevant professional fees including, but not limited to, architect’s, engineer’s, solicitor’s, surveyor’s and planning consultant’s</w:t>
      </w:r>
    </w:p>
    <w:p w14:paraId="25AE6A3E" w14:textId="58030FFD" w:rsidR="003675A0" w:rsidRPr="000B0143" w:rsidRDefault="003675A0">
      <w:pPr>
        <w:pStyle w:val="BodyText"/>
        <w:numPr>
          <w:ilvl w:val="0"/>
          <w:numId w:val="146"/>
        </w:numPr>
        <w:ind w:left="1134" w:hanging="425"/>
      </w:pPr>
      <w:r w:rsidRPr="000B0143">
        <w:t>any foreseeable associated or incidental costs</w:t>
      </w:r>
      <w:r w:rsidR="00D70B5C">
        <w:t>;</w:t>
      </w:r>
      <w:r w:rsidRPr="000B0143">
        <w:t xml:space="preserve"> and</w:t>
      </w:r>
    </w:p>
    <w:p w14:paraId="2F2E90B6" w14:textId="77777777" w:rsidR="003675A0" w:rsidRPr="000B0143" w:rsidRDefault="003675A0">
      <w:pPr>
        <w:pStyle w:val="BodyText"/>
        <w:numPr>
          <w:ilvl w:val="0"/>
          <w:numId w:val="146"/>
        </w:numPr>
        <w:ind w:left="1134" w:hanging="425"/>
      </w:pPr>
      <w:r w:rsidRPr="000B0143">
        <w:t>any additional costs due to planning restrictions or changes in regulations relating to fire, flood and occupational health and safety legislation.</w:t>
      </w:r>
    </w:p>
    <w:p w14:paraId="680F2797" w14:textId="77777777" w:rsidR="00EC2E0A" w:rsidRDefault="00EC2E0A">
      <w:pPr>
        <w:spacing w:after="0" w:line="240" w:lineRule="auto"/>
        <w:rPr>
          <w:rFonts w:cs="Arial"/>
          <w:lang w:val="en-GB"/>
        </w:rPr>
      </w:pPr>
      <w:r>
        <w:br w:type="page"/>
      </w:r>
    </w:p>
    <w:p w14:paraId="287254D5" w14:textId="5274DB55" w:rsidR="003675A0" w:rsidRPr="000B0143" w:rsidRDefault="003675A0" w:rsidP="00250A48">
      <w:pPr>
        <w:pStyle w:val="Heading4"/>
      </w:pPr>
      <w:r w:rsidRPr="000B0143">
        <w:lastRenderedPageBreak/>
        <w:t>6 Evaluation criteria</w:t>
      </w:r>
    </w:p>
    <w:p w14:paraId="2DDD0C4E" w14:textId="08894EBB" w:rsidR="009E0670" w:rsidRDefault="003675A0" w:rsidP="00D70B5C">
      <w:pPr>
        <w:pStyle w:val="BodyText"/>
      </w:pPr>
      <w:r w:rsidRPr="00D71E5A">
        <w:t>T</w:t>
      </w:r>
      <w:r w:rsidRPr="000B0143">
        <w:t>he</w:t>
      </w:r>
      <w:r w:rsidRPr="00D71E5A">
        <w:t xml:space="preserve"> evaluation criteria </w:t>
      </w:r>
      <w:proofErr w:type="gramStart"/>
      <w:r w:rsidRPr="00D71E5A">
        <w:t>include</w:t>
      </w:r>
      <w:r w:rsidR="00D70B5C">
        <w:t>s</w:t>
      </w:r>
      <w:proofErr w:type="gramEnd"/>
      <w:r w:rsidRPr="00D71E5A">
        <w:t xml:space="preserve"> </w:t>
      </w:r>
      <w:r w:rsidRPr="000B0143">
        <w:t>a</w:t>
      </w:r>
      <w:r w:rsidRPr="00D71E5A">
        <w:t xml:space="preserve"> </w:t>
      </w:r>
      <w:r w:rsidRPr="000B0143">
        <w:t>r</w:t>
      </w:r>
      <w:r w:rsidRPr="00D71E5A">
        <w:t>a</w:t>
      </w:r>
      <w:r w:rsidRPr="000B0143">
        <w:t>n</w:t>
      </w:r>
      <w:r w:rsidRPr="00D71E5A">
        <w:t>g</w:t>
      </w:r>
      <w:r w:rsidRPr="000B0143">
        <w:t xml:space="preserve">e </w:t>
      </w:r>
      <w:r w:rsidRPr="00D71E5A">
        <w:t>o</w:t>
      </w:r>
      <w:r w:rsidRPr="000B0143">
        <w:t>f</w:t>
      </w:r>
      <w:r w:rsidRPr="00D71E5A">
        <w:t xml:space="preserve"> mandatory a</w:t>
      </w:r>
      <w:r w:rsidRPr="000B0143">
        <w:t>nd</w:t>
      </w:r>
      <w:r w:rsidRPr="00D71E5A">
        <w:t xml:space="preserve"> qualitative criteria</w:t>
      </w:r>
      <w:r w:rsidRPr="000B0143">
        <w:t>.</w:t>
      </w:r>
    </w:p>
    <w:p w14:paraId="758F98D0" w14:textId="55440768" w:rsidR="003675A0" w:rsidRPr="000B0143" w:rsidRDefault="003675A0" w:rsidP="00D70B5C">
      <w:pPr>
        <w:pStyle w:val="BodyText"/>
      </w:pPr>
      <w:r w:rsidRPr="00D71E5A">
        <w:t>The criteria a</w:t>
      </w:r>
      <w:r w:rsidRPr="000B0143">
        <w:t>nd</w:t>
      </w:r>
      <w:r w:rsidRPr="00D71E5A">
        <w:t xml:space="preserve"> their respective weightings ar</w:t>
      </w:r>
      <w:r w:rsidRPr="000B0143">
        <w:t>e</w:t>
      </w:r>
      <w:r w:rsidRPr="00D71E5A">
        <w:t xml:space="preserve"> </w:t>
      </w:r>
      <w:r w:rsidRPr="000B0143">
        <w:t>as</w:t>
      </w:r>
      <w:r w:rsidRPr="00D71E5A">
        <w:t xml:space="preserve"> f</w:t>
      </w:r>
      <w:r w:rsidRPr="000B0143">
        <w:t>o</w:t>
      </w:r>
      <w:r w:rsidRPr="00D71E5A">
        <w:t>llo</w:t>
      </w:r>
      <w:r w:rsidRPr="000B0143">
        <w:t>w</w:t>
      </w:r>
      <w:r w:rsidRPr="00D71E5A">
        <w:t>s</w:t>
      </w:r>
      <w:r w:rsidRPr="000B0143">
        <w:t xml:space="preserve">. </w:t>
      </w:r>
      <w:r w:rsidRPr="00D71E5A">
        <w:t>Please ensure y</w:t>
      </w:r>
      <w:r w:rsidRPr="000B0143">
        <w:t>our</w:t>
      </w:r>
      <w:r w:rsidRPr="00D71E5A">
        <w:t xml:space="preserve"> proposal specifically addresses e</w:t>
      </w:r>
      <w:r w:rsidRPr="000B0143">
        <w:t>a</w:t>
      </w:r>
      <w:r w:rsidRPr="00D71E5A">
        <w:t>c</w:t>
      </w:r>
      <w:r w:rsidRPr="000B0143">
        <w:t xml:space="preserve">h </w:t>
      </w:r>
      <w:r w:rsidRPr="00D71E5A">
        <w:t>criterion</w:t>
      </w:r>
      <w:r w:rsidRPr="000B0143">
        <w:t>.</w:t>
      </w:r>
    </w:p>
    <w:tbl>
      <w:tblPr>
        <w:tblStyle w:val="TableGrid"/>
        <w:tblW w:w="9639" w:type="dxa"/>
        <w:tblLook w:val="04A0" w:firstRow="1" w:lastRow="0" w:firstColumn="1" w:lastColumn="0" w:noHBand="0" w:noVBand="1"/>
      </w:tblPr>
      <w:tblGrid>
        <w:gridCol w:w="1808"/>
        <w:gridCol w:w="6024"/>
        <w:gridCol w:w="1807"/>
      </w:tblGrid>
      <w:tr w:rsidR="003675A0" w:rsidRPr="00CB5278" w14:paraId="5175230A" w14:textId="77777777" w:rsidTr="004B7282">
        <w:tc>
          <w:tcPr>
            <w:tcW w:w="1701" w:type="dxa"/>
            <w:shd w:val="clear" w:color="auto" w:fill="F2F2F2" w:themeFill="background1" w:themeFillShade="F2"/>
          </w:tcPr>
          <w:p w14:paraId="20E669FC" w14:textId="77777777" w:rsidR="003675A0" w:rsidRPr="00BE5FB5" w:rsidRDefault="003675A0" w:rsidP="00BE5FB5">
            <w:pPr>
              <w:pStyle w:val="TableContent"/>
              <w:rPr>
                <w:b/>
                <w:bCs/>
                <w:sz w:val="24"/>
              </w:rPr>
            </w:pPr>
            <w:r w:rsidRPr="00BE5FB5">
              <w:rPr>
                <w:b/>
                <w:bCs/>
                <w:sz w:val="24"/>
              </w:rPr>
              <w:t>Criteria</w:t>
            </w:r>
          </w:p>
        </w:tc>
        <w:tc>
          <w:tcPr>
            <w:tcW w:w="5670" w:type="dxa"/>
            <w:shd w:val="clear" w:color="auto" w:fill="F2F2F2" w:themeFill="background1" w:themeFillShade="F2"/>
          </w:tcPr>
          <w:p w14:paraId="427CBD4A" w14:textId="77777777" w:rsidR="003675A0" w:rsidRPr="00BE5FB5" w:rsidRDefault="003675A0" w:rsidP="00BE5FB5">
            <w:pPr>
              <w:pStyle w:val="TableContent"/>
              <w:rPr>
                <w:b/>
                <w:bCs/>
                <w:sz w:val="24"/>
              </w:rPr>
            </w:pPr>
            <w:r w:rsidRPr="00BE5FB5">
              <w:rPr>
                <w:b/>
                <w:bCs/>
                <w:sz w:val="24"/>
              </w:rPr>
              <w:t>Type</w:t>
            </w:r>
          </w:p>
        </w:tc>
        <w:tc>
          <w:tcPr>
            <w:tcW w:w="1701" w:type="dxa"/>
            <w:shd w:val="clear" w:color="auto" w:fill="F2F2F2" w:themeFill="background1" w:themeFillShade="F2"/>
          </w:tcPr>
          <w:p w14:paraId="4676AA6E" w14:textId="77777777" w:rsidR="003675A0" w:rsidRPr="00BE5FB5" w:rsidRDefault="003675A0" w:rsidP="00BE5FB5">
            <w:pPr>
              <w:pStyle w:val="TableContent"/>
              <w:rPr>
                <w:b/>
                <w:bCs/>
                <w:sz w:val="24"/>
              </w:rPr>
            </w:pPr>
            <w:r w:rsidRPr="00BE5FB5">
              <w:rPr>
                <w:b/>
                <w:bCs/>
                <w:sz w:val="24"/>
              </w:rPr>
              <w:t>Weight</w:t>
            </w:r>
          </w:p>
        </w:tc>
      </w:tr>
      <w:tr w:rsidR="003675A0" w:rsidRPr="000B0143" w14:paraId="37DE6969" w14:textId="77777777" w:rsidTr="004B7282">
        <w:tc>
          <w:tcPr>
            <w:tcW w:w="1701" w:type="dxa"/>
          </w:tcPr>
          <w:p w14:paraId="15CE11C0" w14:textId="05E96BD7" w:rsidR="003675A0" w:rsidRPr="00EC2E0A" w:rsidRDefault="00B72C7F" w:rsidP="00B72C7F">
            <w:pPr>
              <w:pStyle w:val="TableContent"/>
              <w:jc w:val="center"/>
              <w:rPr>
                <w:b/>
                <w:bCs/>
                <w:color w:val="231F20"/>
                <w:sz w:val="24"/>
              </w:rPr>
            </w:pPr>
            <w:proofErr w:type="spellStart"/>
            <w:r>
              <w:rPr>
                <w:b/>
                <w:bCs/>
                <w:color w:val="231F20"/>
                <w:sz w:val="24"/>
              </w:rPr>
              <w:t>i</w:t>
            </w:r>
            <w:proofErr w:type="spellEnd"/>
          </w:p>
        </w:tc>
        <w:tc>
          <w:tcPr>
            <w:tcW w:w="5670" w:type="dxa"/>
          </w:tcPr>
          <w:p w14:paraId="1D8BA16F" w14:textId="77777777" w:rsidR="003675A0" w:rsidRPr="00BE5FB5" w:rsidRDefault="003675A0" w:rsidP="00BE5FB5">
            <w:pPr>
              <w:pStyle w:val="TableContent"/>
              <w:rPr>
                <w:color w:val="231F20"/>
                <w:sz w:val="24"/>
              </w:rPr>
            </w:pPr>
            <w:r w:rsidRPr="00BE5FB5">
              <w:rPr>
                <w:color w:val="231F20"/>
                <w:sz w:val="24"/>
              </w:rPr>
              <w:t>Meets timelines</w:t>
            </w:r>
          </w:p>
        </w:tc>
        <w:tc>
          <w:tcPr>
            <w:tcW w:w="1701" w:type="dxa"/>
          </w:tcPr>
          <w:p w14:paraId="10BCD906" w14:textId="77777777" w:rsidR="003675A0" w:rsidRPr="00BE5FB5" w:rsidRDefault="003675A0" w:rsidP="00BE5FB5">
            <w:pPr>
              <w:pStyle w:val="TableContent"/>
              <w:rPr>
                <w:color w:val="231F20"/>
                <w:sz w:val="24"/>
              </w:rPr>
            </w:pPr>
            <w:r w:rsidRPr="00BE5FB5">
              <w:rPr>
                <w:color w:val="231F20"/>
                <w:sz w:val="24"/>
              </w:rPr>
              <w:t>[Yes/no]</w:t>
            </w:r>
          </w:p>
        </w:tc>
      </w:tr>
      <w:tr w:rsidR="003675A0" w:rsidRPr="000B0143" w14:paraId="54775A06" w14:textId="77777777" w:rsidTr="004B7282">
        <w:tc>
          <w:tcPr>
            <w:tcW w:w="1701" w:type="dxa"/>
          </w:tcPr>
          <w:p w14:paraId="6A7EBDC1" w14:textId="1FAB0919" w:rsidR="003675A0" w:rsidRPr="00EC2E0A" w:rsidRDefault="00B72C7F" w:rsidP="00B72C7F">
            <w:pPr>
              <w:pStyle w:val="TableContent"/>
              <w:jc w:val="center"/>
              <w:rPr>
                <w:b/>
                <w:bCs/>
                <w:color w:val="231F20"/>
                <w:sz w:val="24"/>
              </w:rPr>
            </w:pPr>
            <w:r>
              <w:rPr>
                <w:b/>
                <w:bCs/>
                <w:color w:val="231F20"/>
                <w:sz w:val="24"/>
              </w:rPr>
              <w:t>ii</w:t>
            </w:r>
          </w:p>
        </w:tc>
        <w:tc>
          <w:tcPr>
            <w:tcW w:w="5670" w:type="dxa"/>
          </w:tcPr>
          <w:p w14:paraId="1B428270" w14:textId="77777777" w:rsidR="003675A0" w:rsidRPr="00BE5FB5" w:rsidRDefault="003675A0" w:rsidP="00BE5FB5">
            <w:pPr>
              <w:pStyle w:val="TableContent"/>
              <w:rPr>
                <w:color w:val="231F20"/>
                <w:sz w:val="24"/>
              </w:rPr>
            </w:pPr>
            <w:r w:rsidRPr="00BE5FB5">
              <w:rPr>
                <w:color w:val="231F20"/>
                <w:sz w:val="24"/>
              </w:rPr>
              <w:t>Insurance coverage</w:t>
            </w:r>
          </w:p>
        </w:tc>
        <w:tc>
          <w:tcPr>
            <w:tcW w:w="1701" w:type="dxa"/>
          </w:tcPr>
          <w:p w14:paraId="6192B6B0" w14:textId="7461C27F" w:rsidR="003675A0" w:rsidRPr="00BE5FB5" w:rsidRDefault="00E974AA" w:rsidP="00BE5FB5">
            <w:pPr>
              <w:pStyle w:val="TableContent"/>
              <w:rPr>
                <w:color w:val="231F20"/>
                <w:sz w:val="24"/>
              </w:rPr>
            </w:pPr>
            <w:r>
              <w:rPr>
                <w:color w:val="231F20"/>
                <w:sz w:val="24"/>
              </w:rPr>
              <w:t>[</w:t>
            </w:r>
            <w:r w:rsidR="003675A0" w:rsidRPr="00BE5FB5">
              <w:rPr>
                <w:color w:val="231F20"/>
                <w:sz w:val="24"/>
              </w:rPr>
              <w:t>Yes/no</w:t>
            </w:r>
            <w:r>
              <w:rPr>
                <w:color w:val="231F20"/>
                <w:sz w:val="24"/>
              </w:rPr>
              <w:t>]</w:t>
            </w:r>
          </w:p>
        </w:tc>
      </w:tr>
      <w:tr w:rsidR="003675A0" w:rsidRPr="000B0143" w14:paraId="654D5D3C" w14:textId="77777777" w:rsidTr="004B7282">
        <w:tc>
          <w:tcPr>
            <w:tcW w:w="1701" w:type="dxa"/>
          </w:tcPr>
          <w:p w14:paraId="01C57B17" w14:textId="0F99D7BD" w:rsidR="003675A0" w:rsidRPr="00EC2E0A" w:rsidRDefault="00B72C7F" w:rsidP="00B72C7F">
            <w:pPr>
              <w:pStyle w:val="TableContent"/>
              <w:jc w:val="center"/>
              <w:rPr>
                <w:b/>
                <w:bCs/>
                <w:color w:val="231F20"/>
                <w:sz w:val="24"/>
              </w:rPr>
            </w:pPr>
            <w:r>
              <w:rPr>
                <w:b/>
                <w:bCs/>
                <w:color w:val="231F20"/>
                <w:sz w:val="24"/>
              </w:rPr>
              <w:t>iii</w:t>
            </w:r>
          </w:p>
        </w:tc>
        <w:tc>
          <w:tcPr>
            <w:tcW w:w="5670" w:type="dxa"/>
          </w:tcPr>
          <w:p w14:paraId="100FCBD8" w14:textId="77777777" w:rsidR="003675A0" w:rsidRPr="00BE5FB5" w:rsidRDefault="003675A0" w:rsidP="00BE5FB5">
            <w:pPr>
              <w:pStyle w:val="TableContent"/>
              <w:rPr>
                <w:color w:val="231F20"/>
                <w:sz w:val="24"/>
              </w:rPr>
            </w:pPr>
            <w:r w:rsidRPr="00BE5FB5">
              <w:rPr>
                <w:color w:val="231F20"/>
                <w:sz w:val="24"/>
              </w:rPr>
              <w:t>Value for money</w:t>
            </w:r>
          </w:p>
        </w:tc>
        <w:tc>
          <w:tcPr>
            <w:tcW w:w="1701" w:type="dxa"/>
          </w:tcPr>
          <w:p w14:paraId="490BD092" w14:textId="77777777" w:rsidR="003675A0" w:rsidRPr="00BE5FB5" w:rsidRDefault="003675A0" w:rsidP="00BE5FB5">
            <w:pPr>
              <w:pStyle w:val="TableContent"/>
              <w:rPr>
                <w:color w:val="231F20"/>
                <w:sz w:val="24"/>
              </w:rPr>
            </w:pPr>
            <w:r w:rsidRPr="00BE5FB5">
              <w:rPr>
                <w:color w:val="231F20"/>
                <w:sz w:val="24"/>
              </w:rPr>
              <w:t>[20%]</w:t>
            </w:r>
          </w:p>
        </w:tc>
      </w:tr>
      <w:tr w:rsidR="003675A0" w:rsidRPr="000B0143" w14:paraId="2A1D14CB" w14:textId="77777777" w:rsidTr="004B7282">
        <w:tc>
          <w:tcPr>
            <w:tcW w:w="1701" w:type="dxa"/>
          </w:tcPr>
          <w:p w14:paraId="63FEABB9" w14:textId="31B3DF12" w:rsidR="003675A0" w:rsidRPr="00EC2E0A" w:rsidRDefault="00B72C7F" w:rsidP="00B72C7F">
            <w:pPr>
              <w:pStyle w:val="TableContent"/>
              <w:jc w:val="center"/>
              <w:rPr>
                <w:b/>
                <w:bCs/>
                <w:color w:val="231F20"/>
                <w:sz w:val="24"/>
              </w:rPr>
            </w:pPr>
            <w:r>
              <w:rPr>
                <w:b/>
                <w:bCs/>
                <w:color w:val="231F20"/>
                <w:sz w:val="24"/>
              </w:rPr>
              <w:t>iv</w:t>
            </w:r>
          </w:p>
        </w:tc>
        <w:tc>
          <w:tcPr>
            <w:tcW w:w="5670" w:type="dxa"/>
          </w:tcPr>
          <w:p w14:paraId="3C0ECBBF" w14:textId="77777777" w:rsidR="003675A0" w:rsidRPr="00BE5FB5" w:rsidRDefault="003675A0" w:rsidP="00BE5FB5">
            <w:pPr>
              <w:pStyle w:val="TableContent"/>
              <w:rPr>
                <w:color w:val="231F20"/>
                <w:sz w:val="24"/>
              </w:rPr>
            </w:pPr>
            <w:r w:rsidRPr="00BE5FB5">
              <w:rPr>
                <w:color w:val="231F20"/>
                <w:sz w:val="24"/>
              </w:rPr>
              <w:t>Methodology (including full compliance and timeframe)</w:t>
            </w:r>
          </w:p>
        </w:tc>
        <w:tc>
          <w:tcPr>
            <w:tcW w:w="1701" w:type="dxa"/>
          </w:tcPr>
          <w:p w14:paraId="1EAB3BAD" w14:textId="77777777" w:rsidR="003675A0" w:rsidRPr="00BE5FB5" w:rsidRDefault="003675A0" w:rsidP="00BE5FB5">
            <w:pPr>
              <w:pStyle w:val="TableContent"/>
              <w:rPr>
                <w:color w:val="231F20"/>
                <w:sz w:val="24"/>
              </w:rPr>
            </w:pPr>
            <w:r w:rsidRPr="00BE5FB5">
              <w:rPr>
                <w:color w:val="231F20"/>
                <w:sz w:val="24"/>
              </w:rPr>
              <w:t>[40%]</w:t>
            </w:r>
          </w:p>
        </w:tc>
      </w:tr>
      <w:tr w:rsidR="003675A0" w:rsidRPr="000B0143" w14:paraId="72F5A065" w14:textId="77777777" w:rsidTr="004B7282">
        <w:tc>
          <w:tcPr>
            <w:tcW w:w="1701" w:type="dxa"/>
          </w:tcPr>
          <w:p w14:paraId="38B38B62" w14:textId="6FE7FF1C" w:rsidR="003675A0" w:rsidRPr="00EC2E0A" w:rsidRDefault="00B72C7F" w:rsidP="00B72C7F">
            <w:pPr>
              <w:pStyle w:val="TableContent"/>
              <w:jc w:val="center"/>
              <w:rPr>
                <w:b/>
                <w:bCs/>
                <w:color w:val="231F20"/>
                <w:sz w:val="24"/>
              </w:rPr>
            </w:pPr>
            <w:r>
              <w:rPr>
                <w:b/>
                <w:bCs/>
                <w:color w:val="231F20"/>
                <w:sz w:val="24"/>
              </w:rPr>
              <w:t>v</w:t>
            </w:r>
          </w:p>
        </w:tc>
        <w:tc>
          <w:tcPr>
            <w:tcW w:w="5670" w:type="dxa"/>
          </w:tcPr>
          <w:p w14:paraId="5AF70E0F" w14:textId="77777777" w:rsidR="003675A0" w:rsidRPr="00BE5FB5" w:rsidRDefault="003675A0" w:rsidP="00BE5FB5">
            <w:pPr>
              <w:pStyle w:val="TableContent"/>
              <w:rPr>
                <w:color w:val="231F20"/>
                <w:sz w:val="24"/>
              </w:rPr>
            </w:pPr>
            <w:r w:rsidRPr="00BE5FB5">
              <w:rPr>
                <w:color w:val="231F20"/>
                <w:sz w:val="24"/>
              </w:rPr>
              <w:t>Relevant skills</w:t>
            </w:r>
          </w:p>
        </w:tc>
        <w:tc>
          <w:tcPr>
            <w:tcW w:w="1701" w:type="dxa"/>
          </w:tcPr>
          <w:p w14:paraId="52E33F06" w14:textId="77777777" w:rsidR="003675A0" w:rsidRPr="00BE5FB5" w:rsidRDefault="003675A0" w:rsidP="00BE5FB5">
            <w:pPr>
              <w:pStyle w:val="TableContent"/>
              <w:rPr>
                <w:color w:val="231F20"/>
                <w:sz w:val="24"/>
              </w:rPr>
            </w:pPr>
            <w:r w:rsidRPr="00BE5FB5">
              <w:rPr>
                <w:color w:val="231F20"/>
                <w:sz w:val="24"/>
              </w:rPr>
              <w:t>[20%]</w:t>
            </w:r>
          </w:p>
        </w:tc>
      </w:tr>
      <w:tr w:rsidR="003675A0" w:rsidRPr="000B0143" w14:paraId="30DE60C2" w14:textId="77777777" w:rsidTr="004B7282">
        <w:tc>
          <w:tcPr>
            <w:tcW w:w="1701" w:type="dxa"/>
          </w:tcPr>
          <w:p w14:paraId="54172D04" w14:textId="09DA7FD1" w:rsidR="003675A0" w:rsidRPr="00EC2E0A" w:rsidRDefault="00B72C7F" w:rsidP="00B72C7F">
            <w:pPr>
              <w:pStyle w:val="TableContent"/>
              <w:jc w:val="center"/>
              <w:rPr>
                <w:b/>
                <w:bCs/>
                <w:color w:val="231F20"/>
                <w:sz w:val="24"/>
              </w:rPr>
            </w:pPr>
            <w:r>
              <w:rPr>
                <w:b/>
                <w:bCs/>
                <w:color w:val="231F20"/>
                <w:sz w:val="24"/>
              </w:rPr>
              <w:t>vi</w:t>
            </w:r>
          </w:p>
        </w:tc>
        <w:tc>
          <w:tcPr>
            <w:tcW w:w="5670" w:type="dxa"/>
          </w:tcPr>
          <w:p w14:paraId="1826C2B4" w14:textId="77777777" w:rsidR="003675A0" w:rsidRPr="00BE5FB5" w:rsidRDefault="003675A0" w:rsidP="00BE5FB5">
            <w:pPr>
              <w:pStyle w:val="TableContent"/>
              <w:rPr>
                <w:color w:val="231F20"/>
                <w:sz w:val="24"/>
              </w:rPr>
            </w:pPr>
            <w:r w:rsidRPr="00BE5FB5">
              <w:rPr>
                <w:color w:val="231F20"/>
                <w:sz w:val="24"/>
              </w:rPr>
              <w:t>Relevant experience</w:t>
            </w:r>
          </w:p>
        </w:tc>
        <w:tc>
          <w:tcPr>
            <w:tcW w:w="1701" w:type="dxa"/>
          </w:tcPr>
          <w:p w14:paraId="22083B79" w14:textId="77777777" w:rsidR="003675A0" w:rsidRPr="00BE5FB5" w:rsidRDefault="003675A0" w:rsidP="00BE5FB5">
            <w:pPr>
              <w:pStyle w:val="TableContent"/>
              <w:rPr>
                <w:color w:val="231F20"/>
                <w:sz w:val="24"/>
              </w:rPr>
            </w:pPr>
            <w:r w:rsidRPr="00BE5FB5">
              <w:rPr>
                <w:color w:val="231F20"/>
                <w:sz w:val="24"/>
              </w:rPr>
              <w:t>[15%]</w:t>
            </w:r>
          </w:p>
        </w:tc>
      </w:tr>
      <w:tr w:rsidR="003675A0" w:rsidRPr="000B0143" w14:paraId="6A30D7CC" w14:textId="77777777" w:rsidTr="004B7282">
        <w:tc>
          <w:tcPr>
            <w:tcW w:w="1701" w:type="dxa"/>
          </w:tcPr>
          <w:p w14:paraId="5E32B71C" w14:textId="5BF56551" w:rsidR="003675A0" w:rsidRPr="00EC2E0A" w:rsidRDefault="00B72C7F" w:rsidP="00B72C7F">
            <w:pPr>
              <w:pStyle w:val="TableContent"/>
              <w:jc w:val="center"/>
              <w:rPr>
                <w:b/>
                <w:bCs/>
                <w:color w:val="231F20"/>
                <w:sz w:val="24"/>
              </w:rPr>
            </w:pPr>
            <w:r>
              <w:rPr>
                <w:b/>
                <w:bCs/>
                <w:color w:val="231F20"/>
                <w:sz w:val="24"/>
              </w:rPr>
              <w:t>vii</w:t>
            </w:r>
          </w:p>
        </w:tc>
        <w:tc>
          <w:tcPr>
            <w:tcW w:w="5670" w:type="dxa"/>
          </w:tcPr>
          <w:p w14:paraId="5AA795B2" w14:textId="77777777" w:rsidR="003675A0" w:rsidRPr="00BE5FB5" w:rsidRDefault="003675A0" w:rsidP="00BE5FB5">
            <w:pPr>
              <w:pStyle w:val="TableContent"/>
              <w:rPr>
                <w:color w:val="231F20"/>
                <w:sz w:val="24"/>
              </w:rPr>
            </w:pPr>
            <w:r w:rsidRPr="00BE5FB5">
              <w:rPr>
                <w:color w:val="231F20"/>
                <w:sz w:val="24"/>
              </w:rPr>
              <w:t>Quality assurance</w:t>
            </w:r>
          </w:p>
        </w:tc>
        <w:tc>
          <w:tcPr>
            <w:tcW w:w="1701" w:type="dxa"/>
          </w:tcPr>
          <w:p w14:paraId="6A26B669" w14:textId="77777777" w:rsidR="003675A0" w:rsidRPr="00BE5FB5" w:rsidRDefault="003675A0" w:rsidP="00BE5FB5">
            <w:pPr>
              <w:pStyle w:val="TableContent"/>
              <w:rPr>
                <w:color w:val="231F20"/>
                <w:sz w:val="24"/>
              </w:rPr>
            </w:pPr>
            <w:r w:rsidRPr="00BE5FB5">
              <w:rPr>
                <w:color w:val="231F20"/>
                <w:sz w:val="24"/>
              </w:rPr>
              <w:t>[5%]</w:t>
            </w:r>
          </w:p>
        </w:tc>
      </w:tr>
      <w:tr w:rsidR="003675A0" w:rsidRPr="000B0143" w14:paraId="6856A5AE" w14:textId="77777777" w:rsidTr="004B7282">
        <w:tc>
          <w:tcPr>
            <w:tcW w:w="1701" w:type="dxa"/>
          </w:tcPr>
          <w:p w14:paraId="6ED39E66" w14:textId="77777777" w:rsidR="003675A0" w:rsidRPr="00BE5FB5" w:rsidRDefault="003675A0" w:rsidP="00BE5FB5">
            <w:pPr>
              <w:pStyle w:val="TableContent"/>
              <w:rPr>
                <w:color w:val="231F20"/>
                <w:sz w:val="24"/>
              </w:rPr>
            </w:pPr>
          </w:p>
        </w:tc>
        <w:tc>
          <w:tcPr>
            <w:tcW w:w="5670" w:type="dxa"/>
          </w:tcPr>
          <w:p w14:paraId="4770A178" w14:textId="77777777" w:rsidR="003675A0" w:rsidRPr="00BE5FB5" w:rsidRDefault="003675A0" w:rsidP="00BE5FB5">
            <w:pPr>
              <w:pStyle w:val="TableContent"/>
              <w:rPr>
                <w:color w:val="231F20"/>
                <w:sz w:val="24"/>
              </w:rPr>
            </w:pPr>
          </w:p>
        </w:tc>
        <w:tc>
          <w:tcPr>
            <w:tcW w:w="1701" w:type="dxa"/>
          </w:tcPr>
          <w:p w14:paraId="46EF6085" w14:textId="77777777" w:rsidR="003675A0" w:rsidRPr="00BE5FB5" w:rsidRDefault="003675A0" w:rsidP="00BE5FB5">
            <w:pPr>
              <w:pStyle w:val="TableContent"/>
              <w:rPr>
                <w:color w:val="231F20"/>
                <w:sz w:val="24"/>
              </w:rPr>
            </w:pPr>
            <w:r w:rsidRPr="00BE5FB5">
              <w:rPr>
                <w:color w:val="231F20"/>
                <w:sz w:val="24"/>
              </w:rPr>
              <w:t>100%</w:t>
            </w:r>
          </w:p>
        </w:tc>
      </w:tr>
    </w:tbl>
    <w:p w14:paraId="42A5FC77" w14:textId="77777777" w:rsidR="002769D3" w:rsidRDefault="002769D3" w:rsidP="003675A0">
      <w:pPr>
        <w:spacing w:after="160" w:line="278" w:lineRule="auto"/>
        <w:rPr>
          <w:rFonts w:cs="Arial"/>
          <w:color w:val="231F20"/>
        </w:rPr>
      </w:pPr>
    </w:p>
    <w:p w14:paraId="42C875E3" w14:textId="77777777" w:rsidR="003675A0" w:rsidRPr="00CB5278" w:rsidRDefault="003675A0" w:rsidP="00D70B5C">
      <w:pPr>
        <w:pStyle w:val="BodyText"/>
      </w:pPr>
      <w:r w:rsidRPr="00D71E5A">
        <w:t>The non-price criteria ar</w:t>
      </w:r>
      <w:r w:rsidRPr="00CB5278">
        <w:t>e</w:t>
      </w:r>
      <w:r w:rsidRPr="00D71E5A">
        <w:t xml:space="preserve"> described </w:t>
      </w:r>
      <w:r w:rsidRPr="00CB5278">
        <w:t>as</w:t>
      </w:r>
      <w:r w:rsidRPr="00D71E5A">
        <w:t xml:space="preserve"> f</w:t>
      </w:r>
      <w:r w:rsidRPr="00CB5278">
        <w:t>o</w:t>
      </w:r>
      <w:r w:rsidRPr="00D71E5A">
        <w:t>llo</w:t>
      </w:r>
      <w:r w:rsidRPr="00CB5278">
        <w:t>w</w:t>
      </w:r>
      <w:r w:rsidRPr="00D71E5A">
        <w:t>s</w:t>
      </w:r>
      <w:r w:rsidRPr="00CB5278">
        <w:t>:</w:t>
      </w:r>
    </w:p>
    <w:p w14:paraId="6A4D75E0" w14:textId="3F997E66" w:rsidR="0008337C" w:rsidRPr="0008337C" w:rsidRDefault="003675A0">
      <w:pPr>
        <w:pStyle w:val="BodyText"/>
        <w:numPr>
          <w:ilvl w:val="0"/>
          <w:numId w:val="147"/>
        </w:numPr>
      </w:pPr>
      <w:r w:rsidRPr="0008337C">
        <w:t>Meets timelines</w:t>
      </w:r>
      <w:r w:rsidR="009E0670" w:rsidRPr="0008337C">
        <w:t xml:space="preserve"> </w:t>
      </w:r>
    </w:p>
    <w:p w14:paraId="2AFFEC2E" w14:textId="394A167C" w:rsidR="003675A0" w:rsidRPr="00CB5278" w:rsidRDefault="003675A0" w:rsidP="00D70B5C">
      <w:pPr>
        <w:pStyle w:val="BodyText"/>
      </w:pPr>
      <w:r w:rsidRPr="00D71E5A">
        <w:t>The specification requires t</w:t>
      </w:r>
      <w:r w:rsidRPr="00CB5278">
        <w:t>he</w:t>
      </w:r>
      <w:r w:rsidRPr="00D71E5A">
        <w:t xml:space="preserve"> </w:t>
      </w:r>
      <w:r w:rsidRPr="00CB5278">
        <w:t>dra</w:t>
      </w:r>
      <w:r w:rsidRPr="00D71E5A">
        <w:t>f</w:t>
      </w:r>
      <w:r w:rsidRPr="00CB5278">
        <w:t>t</w:t>
      </w:r>
      <w:r w:rsidRPr="00D71E5A">
        <w:t xml:space="preserve"> t</w:t>
      </w:r>
      <w:r w:rsidRPr="00CB5278">
        <w:t>o</w:t>
      </w:r>
      <w:r w:rsidRPr="00D71E5A">
        <w:t xml:space="preserve"> b</w:t>
      </w:r>
      <w:r w:rsidRPr="00CB5278">
        <w:t>e</w:t>
      </w:r>
      <w:r w:rsidRPr="00D71E5A">
        <w:t xml:space="preserve"> delivered b</w:t>
      </w:r>
      <w:r w:rsidRPr="00CB5278">
        <w:t>y</w:t>
      </w:r>
      <w:r w:rsidRPr="00D71E5A">
        <w:t xml:space="preserve"> [</w:t>
      </w:r>
      <w:r w:rsidRPr="00CB5278">
        <w:t>da</w:t>
      </w:r>
      <w:r w:rsidRPr="00D71E5A">
        <w:t>t</w:t>
      </w:r>
      <w:r w:rsidRPr="00CB5278">
        <w:t xml:space="preserve">e </w:t>
      </w:r>
      <w:r w:rsidRPr="00D71E5A">
        <w:t>f</w:t>
      </w:r>
      <w:r w:rsidRPr="00CB5278">
        <w:t>or</w:t>
      </w:r>
      <w:r w:rsidRPr="00D71E5A">
        <w:t xml:space="preserve"> </w:t>
      </w:r>
      <w:r w:rsidRPr="00CB5278">
        <w:t>dra</w:t>
      </w:r>
      <w:r w:rsidRPr="00D71E5A">
        <w:t>f</w:t>
      </w:r>
      <w:r w:rsidRPr="00CB5278">
        <w:t>t</w:t>
      </w:r>
      <w:r w:rsidRPr="00D71E5A">
        <w:t xml:space="preserve"> re</w:t>
      </w:r>
      <w:r w:rsidRPr="00CB5278">
        <w:t>po</w:t>
      </w:r>
      <w:r w:rsidRPr="00D71E5A">
        <w:t>rt</w:t>
      </w:r>
      <w:r w:rsidRPr="00CB5278">
        <w:t>]</w:t>
      </w:r>
      <w:r w:rsidRPr="00D71E5A">
        <w:t xml:space="preserve"> with t</w:t>
      </w:r>
      <w:r w:rsidRPr="00CB5278">
        <w:t>he</w:t>
      </w:r>
      <w:r w:rsidRPr="00D71E5A">
        <w:t xml:space="preserve"> final re</w:t>
      </w:r>
      <w:r w:rsidRPr="00CB5278">
        <w:t>po</w:t>
      </w:r>
      <w:r w:rsidRPr="00D71E5A">
        <w:t>r</w:t>
      </w:r>
      <w:r w:rsidRPr="00CB5278">
        <w:t>t</w:t>
      </w:r>
      <w:r w:rsidRPr="00D71E5A">
        <w:t xml:space="preserve"> t</w:t>
      </w:r>
      <w:r w:rsidRPr="00CB5278">
        <w:t>o</w:t>
      </w:r>
      <w:r w:rsidRPr="00D71E5A">
        <w:t xml:space="preserve"> b</w:t>
      </w:r>
      <w:r w:rsidRPr="00CB5278">
        <w:t>e</w:t>
      </w:r>
      <w:r w:rsidRPr="00D71E5A">
        <w:t xml:space="preserve"> delivered b</w:t>
      </w:r>
      <w:r w:rsidRPr="00CB5278">
        <w:t>y</w:t>
      </w:r>
      <w:r w:rsidRPr="00D71E5A">
        <w:t xml:space="preserve"> [</w:t>
      </w:r>
      <w:r w:rsidRPr="00CB5278">
        <w:t>da</w:t>
      </w:r>
      <w:r w:rsidRPr="00D71E5A">
        <w:t>t</w:t>
      </w:r>
      <w:r w:rsidRPr="00CB5278">
        <w:t xml:space="preserve">e </w:t>
      </w:r>
      <w:r w:rsidRPr="00D71E5A">
        <w:t>f</w:t>
      </w:r>
      <w:r w:rsidRPr="00CB5278">
        <w:t>or</w:t>
      </w:r>
      <w:r w:rsidRPr="00D71E5A">
        <w:t xml:space="preserve"> final re</w:t>
      </w:r>
      <w:r w:rsidRPr="00CB5278">
        <w:t>po</w:t>
      </w:r>
      <w:r w:rsidRPr="00D71E5A">
        <w:t>rt]</w:t>
      </w:r>
      <w:r w:rsidRPr="00CB5278">
        <w:t>.</w:t>
      </w:r>
    </w:p>
    <w:p w14:paraId="37146220" w14:textId="77777777" w:rsidR="003675A0" w:rsidRPr="00CB5278" w:rsidRDefault="003675A0" w:rsidP="00D70B5C">
      <w:pPr>
        <w:pStyle w:val="BodyText"/>
      </w:pPr>
      <w:r w:rsidRPr="00D71E5A">
        <w:t>The response f</w:t>
      </w:r>
      <w:r w:rsidRPr="00CB5278">
        <w:t>or</w:t>
      </w:r>
      <w:r w:rsidRPr="00D71E5A">
        <w:t xml:space="preserve"> this criterion is either Yes </w:t>
      </w:r>
      <w:r w:rsidRPr="00CB5278">
        <w:t>or</w:t>
      </w:r>
      <w:r w:rsidRPr="00D71E5A">
        <w:t xml:space="preserve"> </w:t>
      </w:r>
      <w:r w:rsidRPr="00CB5278">
        <w:t>N</w:t>
      </w:r>
      <w:r w:rsidRPr="00D71E5A">
        <w:t>o</w:t>
      </w:r>
      <w:r w:rsidRPr="00CB5278">
        <w:t>.</w:t>
      </w:r>
    </w:p>
    <w:p w14:paraId="24052F0F" w14:textId="3DA80460" w:rsidR="003675A0" w:rsidRPr="00003730" w:rsidRDefault="003675A0">
      <w:pPr>
        <w:pStyle w:val="BodyText"/>
        <w:numPr>
          <w:ilvl w:val="0"/>
          <w:numId w:val="147"/>
        </w:numPr>
      </w:pPr>
      <w:r w:rsidRPr="0008337C">
        <w:t>Insurance coverage</w:t>
      </w:r>
    </w:p>
    <w:p w14:paraId="1E560E8A" w14:textId="77777777" w:rsidR="009E0670" w:rsidRDefault="003675A0" w:rsidP="00D70B5C">
      <w:pPr>
        <w:pStyle w:val="BodyText"/>
      </w:pPr>
      <w:r w:rsidRPr="00D71E5A">
        <w:t>The following insurance coverage information is required. Please provide t</w:t>
      </w:r>
      <w:r w:rsidRPr="00CB5278">
        <w:t xml:space="preserve">he </w:t>
      </w:r>
      <w:r w:rsidRPr="00D71E5A">
        <w:t>following information a</w:t>
      </w:r>
      <w:r w:rsidRPr="00CB5278">
        <w:t>nd</w:t>
      </w:r>
      <w:r w:rsidRPr="00D71E5A">
        <w:t xml:space="preserve"> indicate w</w:t>
      </w:r>
      <w:r w:rsidRPr="00CB5278">
        <w:t>he</w:t>
      </w:r>
      <w:r w:rsidRPr="00D71E5A">
        <w:t>t</w:t>
      </w:r>
      <w:r w:rsidRPr="00CB5278">
        <w:t>h</w:t>
      </w:r>
      <w:r w:rsidRPr="00D71E5A">
        <w:t>e</w:t>
      </w:r>
      <w:r w:rsidRPr="00CB5278">
        <w:t>r</w:t>
      </w:r>
      <w:r w:rsidRPr="00D71E5A">
        <w:t xml:space="preserve"> y</w:t>
      </w:r>
      <w:r w:rsidRPr="00CB5278">
        <w:t>ou</w:t>
      </w:r>
      <w:r w:rsidRPr="00D71E5A">
        <w:t xml:space="preserve"> satisfy t</w:t>
      </w:r>
      <w:r w:rsidRPr="00CB5278">
        <w:t>he</w:t>
      </w:r>
      <w:r w:rsidRPr="00D71E5A">
        <w:t xml:space="preserve"> minimum requirements with </w:t>
      </w:r>
      <w:r w:rsidRPr="00CB5278">
        <w:t>a</w:t>
      </w:r>
      <w:r w:rsidRPr="00D71E5A">
        <w:t xml:space="preserve"> Yes </w:t>
      </w:r>
      <w:r w:rsidRPr="00CB5278">
        <w:t>or</w:t>
      </w:r>
      <w:r w:rsidRPr="00D71E5A">
        <w:t xml:space="preserve"> </w:t>
      </w:r>
      <w:r w:rsidRPr="00CB5278">
        <w:t>N</w:t>
      </w:r>
      <w:r w:rsidRPr="00D71E5A">
        <w:t>o</w:t>
      </w:r>
      <w:r w:rsidRPr="00CB5278">
        <w:t xml:space="preserve">. Insurance coverage amounts should be in line with the local government’s risk profile and appropriate policies. </w:t>
      </w:r>
    </w:p>
    <w:p w14:paraId="75EB0639" w14:textId="67C226C4" w:rsidR="003675A0" w:rsidRPr="00CB5278" w:rsidRDefault="003675A0" w:rsidP="00D70B5C">
      <w:pPr>
        <w:pStyle w:val="BodyText"/>
      </w:pPr>
      <w:r w:rsidRPr="00CB5278">
        <w:t>Insurance coverage must include:</w:t>
      </w:r>
    </w:p>
    <w:p w14:paraId="545AA640" w14:textId="77777777" w:rsidR="003675A0" w:rsidRPr="00CB5278" w:rsidRDefault="003675A0">
      <w:pPr>
        <w:pStyle w:val="BodyText"/>
        <w:numPr>
          <w:ilvl w:val="0"/>
          <w:numId w:val="122"/>
        </w:numPr>
      </w:pPr>
      <w:r w:rsidRPr="00CB5278">
        <w:t>public liability</w:t>
      </w:r>
    </w:p>
    <w:p w14:paraId="34A8D4AB" w14:textId="169E0C0A" w:rsidR="003675A0" w:rsidRPr="00250A48" w:rsidRDefault="003675A0">
      <w:pPr>
        <w:pStyle w:val="BodyText"/>
        <w:numPr>
          <w:ilvl w:val="0"/>
          <w:numId w:val="122"/>
        </w:numPr>
      </w:pPr>
      <w:r w:rsidRPr="00CB5278">
        <w:t>professional indemnity</w:t>
      </w:r>
      <w:r w:rsidR="00D70B5C">
        <w:t>;</w:t>
      </w:r>
      <w:r w:rsidRPr="00CB5278">
        <w:t xml:space="preserve"> </w:t>
      </w:r>
      <w:r w:rsidRPr="00250A48">
        <w:t>and</w:t>
      </w:r>
    </w:p>
    <w:p w14:paraId="4BF381C8" w14:textId="77777777" w:rsidR="003675A0" w:rsidRPr="00CB5278" w:rsidRDefault="003675A0">
      <w:pPr>
        <w:pStyle w:val="BodyText"/>
        <w:numPr>
          <w:ilvl w:val="0"/>
          <w:numId w:val="122"/>
        </w:numPr>
      </w:pPr>
      <w:r w:rsidRPr="00CB5278">
        <w:t>workers’ compensation.</w:t>
      </w:r>
    </w:p>
    <w:p w14:paraId="57C6B171" w14:textId="77777777" w:rsidR="003675A0" w:rsidRPr="00CB5278" w:rsidRDefault="003675A0" w:rsidP="00D70B5C">
      <w:pPr>
        <w:pStyle w:val="BodyText"/>
      </w:pPr>
      <w:r w:rsidRPr="00D71E5A">
        <w:t>F</w:t>
      </w:r>
      <w:r w:rsidRPr="00CB5278">
        <w:t>or</w:t>
      </w:r>
      <w:r w:rsidRPr="00D71E5A">
        <w:t xml:space="preserve"> e</w:t>
      </w:r>
      <w:r w:rsidRPr="00CB5278">
        <w:t>a</w:t>
      </w:r>
      <w:r w:rsidRPr="00D71E5A">
        <w:t>c</w:t>
      </w:r>
      <w:r w:rsidRPr="00CB5278">
        <w:t>h</w:t>
      </w:r>
      <w:r w:rsidRPr="00D71E5A">
        <w:t xml:space="preserve"> policy please advise:</w:t>
      </w:r>
    </w:p>
    <w:p w14:paraId="7C922971" w14:textId="77777777" w:rsidR="003675A0" w:rsidRPr="00D71E5A" w:rsidRDefault="003675A0">
      <w:pPr>
        <w:pStyle w:val="BodyText"/>
        <w:numPr>
          <w:ilvl w:val="0"/>
          <w:numId w:val="122"/>
        </w:numPr>
      </w:pPr>
      <w:r w:rsidRPr="00D71E5A">
        <w:t>amount of coverage held</w:t>
      </w:r>
    </w:p>
    <w:p w14:paraId="0E4CDBC0" w14:textId="77777777" w:rsidR="003675A0" w:rsidRPr="00D71E5A" w:rsidRDefault="003675A0">
      <w:pPr>
        <w:pStyle w:val="BodyText"/>
        <w:numPr>
          <w:ilvl w:val="0"/>
          <w:numId w:val="122"/>
        </w:numPr>
      </w:pPr>
      <w:r w:rsidRPr="00D71E5A">
        <w:t>name of insurer</w:t>
      </w:r>
    </w:p>
    <w:p w14:paraId="3597066E" w14:textId="77777777" w:rsidR="003675A0" w:rsidRPr="00D71E5A" w:rsidRDefault="003675A0">
      <w:pPr>
        <w:pStyle w:val="BodyText"/>
        <w:numPr>
          <w:ilvl w:val="0"/>
          <w:numId w:val="122"/>
        </w:numPr>
      </w:pPr>
      <w:r w:rsidRPr="00D71E5A">
        <w:lastRenderedPageBreak/>
        <w:t>policy number</w:t>
      </w:r>
    </w:p>
    <w:p w14:paraId="7DDE6DD8" w14:textId="77777777" w:rsidR="003675A0" w:rsidRPr="00D71E5A" w:rsidRDefault="003675A0">
      <w:pPr>
        <w:pStyle w:val="BodyText"/>
        <w:numPr>
          <w:ilvl w:val="0"/>
          <w:numId w:val="122"/>
        </w:numPr>
      </w:pPr>
      <w:r w:rsidRPr="00D71E5A">
        <w:t>expiry date</w:t>
      </w:r>
    </w:p>
    <w:p w14:paraId="5928E709" w14:textId="4840A6A3" w:rsidR="003675A0" w:rsidRPr="00D71E5A" w:rsidRDefault="003675A0">
      <w:pPr>
        <w:pStyle w:val="BodyText"/>
        <w:numPr>
          <w:ilvl w:val="0"/>
          <w:numId w:val="122"/>
        </w:numPr>
      </w:pPr>
      <w:r w:rsidRPr="00D71E5A">
        <w:t>excess</w:t>
      </w:r>
      <w:r w:rsidR="00D70B5C">
        <w:t>;</w:t>
      </w:r>
      <w:r w:rsidRPr="00D71E5A">
        <w:t xml:space="preserve"> and</w:t>
      </w:r>
    </w:p>
    <w:p w14:paraId="11342FF2" w14:textId="77777777" w:rsidR="003675A0" w:rsidRPr="00D71E5A" w:rsidRDefault="003675A0">
      <w:pPr>
        <w:pStyle w:val="BodyText"/>
        <w:numPr>
          <w:ilvl w:val="0"/>
          <w:numId w:val="122"/>
        </w:numPr>
      </w:pPr>
      <w:r w:rsidRPr="00D71E5A">
        <w:t>whether you satisfy the minimum requirements (Yes or No).</w:t>
      </w:r>
    </w:p>
    <w:p w14:paraId="1A200B11" w14:textId="00C5C7A0" w:rsidR="003675A0" w:rsidRPr="00D71E5A" w:rsidRDefault="003675A0">
      <w:pPr>
        <w:pStyle w:val="BodyText"/>
        <w:numPr>
          <w:ilvl w:val="0"/>
          <w:numId w:val="147"/>
        </w:numPr>
      </w:pPr>
      <w:r w:rsidRPr="0008337C">
        <w:t>Value for money</w:t>
      </w:r>
      <w:r w:rsidRPr="00D71E5A">
        <w:t xml:space="preserve"> (20%)</w:t>
      </w:r>
    </w:p>
    <w:p w14:paraId="5A554ED6" w14:textId="77777777" w:rsidR="003675A0" w:rsidRPr="00D71E5A" w:rsidRDefault="003675A0" w:rsidP="00D70B5C">
      <w:pPr>
        <w:pStyle w:val="BodyText"/>
      </w:pPr>
      <w:r w:rsidRPr="00D71E5A">
        <w:t>Cost is a major consideration in valuations performed by external consultants. Consequently, quotations should be obtained from several external consultants and compared.</w:t>
      </w:r>
    </w:p>
    <w:p w14:paraId="15BE4269" w14:textId="4E6E7787" w:rsidR="003675A0" w:rsidRPr="00CB5278" w:rsidRDefault="003675A0">
      <w:pPr>
        <w:pStyle w:val="BodyText"/>
        <w:numPr>
          <w:ilvl w:val="0"/>
          <w:numId w:val="147"/>
        </w:numPr>
      </w:pPr>
      <w:r w:rsidRPr="00B72C7F">
        <w:t>Methodology</w:t>
      </w:r>
      <w:r w:rsidRPr="00D71E5A">
        <w:t xml:space="preserve"> </w:t>
      </w:r>
      <w:r w:rsidRPr="00CB5278">
        <w:t>(including full compliance and timeframe (40%)</w:t>
      </w:r>
      <w:r w:rsidR="00D70B5C">
        <w:t>).</w:t>
      </w:r>
    </w:p>
    <w:p w14:paraId="3F066161" w14:textId="77777777" w:rsidR="003675A0" w:rsidRPr="00D71E5A" w:rsidRDefault="003675A0" w:rsidP="00D70B5C">
      <w:pPr>
        <w:pStyle w:val="BodyText"/>
      </w:pPr>
      <w:r w:rsidRPr="00D71E5A">
        <w:t xml:space="preserve">Proposals should include </w:t>
      </w:r>
      <w:r w:rsidRPr="00CB5278">
        <w:t>a</w:t>
      </w:r>
      <w:r w:rsidRPr="00D71E5A">
        <w:t xml:space="preserve"> discussion o</w:t>
      </w:r>
      <w:r w:rsidRPr="00CB5278">
        <w:t>f:</w:t>
      </w:r>
    </w:p>
    <w:p w14:paraId="72D298A8" w14:textId="77777777" w:rsidR="003675A0" w:rsidRPr="00CB5278" w:rsidRDefault="003675A0">
      <w:pPr>
        <w:pStyle w:val="BodyText"/>
        <w:numPr>
          <w:ilvl w:val="0"/>
          <w:numId w:val="122"/>
        </w:numPr>
      </w:pPr>
      <w:r w:rsidRPr="00D71E5A">
        <w:t>t</w:t>
      </w:r>
      <w:r w:rsidRPr="00CB5278">
        <w:t>he</w:t>
      </w:r>
      <w:r w:rsidRPr="00D71E5A">
        <w:t xml:space="preserve"> valuati</w:t>
      </w:r>
      <w:r w:rsidRPr="00CB5278">
        <w:t>o</w:t>
      </w:r>
      <w:r w:rsidRPr="00D71E5A">
        <w:t>n methodology t</w:t>
      </w:r>
      <w:r w:rsidRPr="00CB5278">
        <w:t>o</w:t>
      </w:r>
      <w:r w:rsidRPr="00D71E5A">
        <w:t xml:space="preserve"> b</w:t>
      </w:r>
      <w:r w:rsidRPr="00CB5278">
        <w:t>e</w:t>
      </w:r>
      <w:r w:rsidRPr="00D71E5A">
        <w:t xml:space="preserve"> </w:t>
      </w:r>
      <w:r w:rsidRPr="00CB5278">
        <w:t>us</w:t>
      </w:r>
      <w:r w:rsidRPr="00D71E5A">
        <w:t>e</w:t>
      </w:r>
      <w:r w:rsidRPr="00CB5278">
        <w:t>d</w:t>
      </w:r>
    </w:p>
    <w:p w14:paraId="14375DBE" w14:textId="77777777" w:rsidR="003675A0" w:rsidRPr="00CB5278" w:rsidRDefault="003675A0">
      <w:pPr>
        <w:pStyle w:val="BodyText"/>
        <w:numPr>
          <w:ilvl w:val="0"/>
          <w:numId w:val="122"/>
        </w:numPr>
      </w:pPr>
      <w:r w:rsidRPr="00CB5278">
        <w:t>explanation of how methodology complies with AAS requirements</w:t>
      </w:r>
    </w:p>
    <w:p w14:paraId="2B140D7A" w14:textId="7EEC46E3" w:rsidR="003675A0" w:rsidRPr="00CB5278" w:rsidRDefault="003675A0">
      <w:pPr>
        <w:pStyle w:val="BodyText"/>
        <w:numPr>
          <w:ilvl w:val="0"/>
          <w:numId w:val="122"/>
        </w:numPr>
      </w:pPr>
      <w:r w:rsidRPr="00D71E5A">
        <w:t>t</w:t>
      </w:r>
      <w:r w:rsidRPr="00CB5278">
        <w:t>he</w:t>
      </w:r>
      <w:r w:rsidRPr="00D71E5A">
        <w:t xml:space="preserve"> </w:t>
      </w:r>
      <w:r w:rsidRPr="00CB5278">
        <w:t>p</w:t>
      </w:r>
      <w:r w:rsidRPr="00D71E5A">
        <w:t>r</w:t>
      </w:r>
      <w:r w:rsidRPr="00CB5278">
        <w:t>opos</w:t>
      </w:r>
      <w:r w:rsidRPr="00D71E5A">
        <w:t>e</w:t>
      </w:r>
      <w:r w:rsidRPr="00CB5278">
        <w:t>d</w:t>
      </w:r>
      <w:r w:rsidRPr="00D71E5A">
        <w:t xml:space="preserve"> </w:t>
      </w:r>
      <w:r w:rsidRPr="00CB5278">
        <w:t>p</w:t>
      </w:r>
      <w:r w:rsidRPr="00D71E5A">
        <w:t>roces</w:t>
      </w:r>
      <w:r w:rsidRPr="00CB5278">
        <w:t>s</w:t>
      </w:r>
      <w:r w:rsidRPr="00D71E5A">
        <w:t xml:space="preserve"> t</w:t>
      </w:r>
      <w:r w:rsidRPr="00CB5278">
        <w:t xml:space="preserve">o </w:t>
      </w:r>
      <w:r w:rsidRPr="00D71E5A">
        <w:t>b</w:t>
      </w:r>
      <w:r w:rsidRPr="00CB5278">
        <w:t>e</w:t>
      </w:r>
      <w:r w:rsidRPr="00D71E5A">
        <w:t xml:space="preserve"> followed</w:t>
      </w:r>
      <w:r w:rsidR="00D70B5C">
        <w:t>;</w:t>
      </w:r>
      <w:r w:rsidRPr="00D71E5A">
        <w:t xml:space="preserve"> and</w:t>
      </w:r>
    </w:p>
    <w:p w14:paraId="3B55D7CA" w14:textId="77777777" w:rsidR="003675A0" w:rsidRPr="00CB5278" w:rsidRDefault="003675A0">
      <w:pPr>
        <w:pStyle w:val="BodyText"/>
        <w:numPr>
          <w:ilvl w:val="0"/>
          <w:numId w:val="122"/>
        </w:numPr>
      </w:pPr>
      <w:r w:rsidRPr="00CB5278">
        <w:t>outputs that will be provided by the valuation process.</w:t>
      </w:r>
    </w:p>
    <w:p w14:paraId="67442B62" w14:textId="77777777" w:rsidR="003675A0" w:rsidRPr="00CB5278" w:rsidRDefault="003675A0" w:rsidP="00D70B5C">
      <w:pPr>
        <w:pStyle w:val="BodyText"/>
      </w:pPr>
      <w:r w:rsidRPr="00D71E5A">
        <w:t>Details o</w:t>
      </w:r>
      <w:r w:rsidRPr="00CB5278">
        <w:t>f</w:t>
      </w:r>
      <w:r w:rsidRPr="00D71E5A">
        <w:t xml:space="preserve"> all </w:t>
      </w:r>
      <w:r w:rsidRPr="00CB5278">
        <w:t>o</w:t>
      </w:r>
      <w:r w:rsidRPr="00D71E5A">
        <w:t>ut</w:t>
      </w:r>
      <w:r w:rsidRPr="00CB5278">
        <w:t>p</w:t>
      </w:r>
      <w:r w:rsidRPr="00D71E5A">
        <w:t>u</w:t>
      </w:r>
      <w:r w:rsidRPr="00CB5278">
        <w:t xml:space="preserve">ts </w:t>
      </w:r>
      <w:r w:rsidRPr="00D71E5A">
        <w:t>should b</w:t>
      </w:r>
      <w:r w:rsidRPr="00CB5278">
        <w:t>e</w:t>
      </w:r>
      <w:r w:rsidRPr="00D71E5A">
        <w:t xml:space="preserve"> te</w:t>
      </w:r>
      <w:r w:rsidRPr="00CB5278">
        <w:t>n</w:t>
      </w:r>
      <w:r w:rsidRPr="00D71E5A">
        <w:t>dere</w:t>
      </w:r>
      <w:r w:rsidRPr="00CB5278">
        <w:t>d</w:t>
      </w:r>
      <w:r w:rsidRPr="00D71E5A">
        <w:t xml:space="preserve"> </w:t>
      </w:r>
      <w:r w:rsidRPr="00CB5278">
        <w:t>as</w:t>
      </w:r>
      <w:r w:rsidRPr="00D71E5A">
        <w:t xml:space="preserve"> </w:t>
      </w:r>
      <w:r w:rsidRPr="00CB5278">
        <w:t>p</w:t>
      </w:r>
      <w:r w:rsidRPr="00D71E5A">
        <w:t>ar</w:t>
      </w:r>
      <w:r w:rsidRPr="00CB5278">
        <w:t>t</w:t>
      </w:r>
      <w:r w:rsidRPr="00D71E5A">
        <w:t xml:space="preserve"> o</w:t>
      </w:r>
      <w:r w:rsidRPr="00CB5278">
        <w:t xml:space="preserve">f </w:t>
      </w:r>
      <w:r w:rsidRPr="00D71E5A">
        <w:t>y</w:t>
      </w:r>
      <w:r w:rsidRPr="00CB5278">
        <w:t>our</w:t>
      </w:r>
      <w:r w:rsidRPr="00D71E5A">
        <w:t xml:space="preserve"> </w:t>
      </w:r>
      <w:r w:rsidRPr="00CB5278">
        <w:t>p</w:t>
      </w:r>
      <w:r w:rsidRPr="00D71E5A">
        <w:t>roposal</w:t>
      </w:r>
      <w:r w:rsidRPr="00CB5278">
        <w:t>.</w:t>
      </w:r>
    </w:p>
    <w:p w14:paraId="3D4147FC" w14:textId="77777777" w:rsidR="003675A0" w:rsidRPr="00CB5278" w:rsidRDefault="003675A0" w:rsidP="00D70B5C">
      <w:pPr>
        <w:pStyle w:val="BodyText"/>
      </w:pPr>
      <w:r w:rsidRPr="00D71E5A">
        <w:t>Examples o</w:t>
      </w:r>
      <w:r w:rsidRPr="00CB5278">
        <w:t>f</w:t>
      </w:r>
      <w:r w:rsidRPr="00D71E5A">
        <w:t xml:space="preserve"> t</w:t>
      </w:r>
      <w:r w:rsidRPr="00CB5278">
        <w:t>he</w:t>
      </w:r>
      <w:r w:rsidRPr="00D71E5A">
        <w:t xml:space="preserve"> </w:t>
      </w:r>
      <w:r w:rsidRPr="00CB5278">
        <w:t>p</w:t>
      </w:r>
      <w:r w:rsidRPr="00D71E5A">
        <w:t>r</w:t>
      </w:r>
      <w:r w:rsidRPr="00CB5278">
        <w:t>opos</w:t>
      </w:r>
      <w:r w:rsidRPr="00D71E5A">
        <w:t>e</w:t>
      </w:r>
      <w:r w:rsidRPr="00CB5278">
        <w:t>d</w:t>
      </w:r>
      <w:r w:rsidRPr="00D71E5A">
        <w:t xml:space="preserve"> reporting f</w:t>
      </w:r>
      <w:r w:rsidRPr="00CB5278">
        <w:t>o</w:t>
      </w:r>
      <w:r w:rsidRPr="00D71E5A">
        <w:t>r</w:t>
      </w:r>
      <w:r w:rsidRPr="00CB5278">
        <w:t xml:space="preserve">mat or links to appropriate files </w:t>
      </w:r>
      <w:r w:rsidRPr="00D71E5A">
        <w:t>s</w:t>
      </w:r>
      <w:r w:rsidRPr="00CB5278">
        <w:t>hould</w:t>
      </w:r>
      <w:r w:rsidRPr="00D71E5A">
        <w:t xml:space="preserve"> b</w:t>
      </w:r>
      <w:r w:rsidRPr="00CB5278">
        <w:t xml:space="preserve">e </w:t>
      </w:r>
      <w:r w:rsidRPr="00D71E5A">
        <w:t xml:space="preserve">included </w:t>
      </w:r>
      <w:r w:rsidRPr="00CB5278">
        <w:t>as</w:t>
      </w:r>
      <w:r w:rsidRPr="00D71E5A">
        <w:t xml:space="preserve"> </w:t>
      </w:r>
      <w:r w:rsidRPr="00CB5278">
        <w:t>p</w:t>
      </w:r>
      <w:r w:rsidRPr="00D71E5A">
        <w:t>ar</w:t>
      </w:r>
      <w:r w:rsidRPr="00CB5278">
        <w:t>t</w:t>
      </w:r>
      <w:r w:rsidRPr="00D71E5A">
        <w:t xml:space="preserve"> o</w:t>
      </w:r>
      <w:r w:rsidRPr="00CB5278">
        <w:t>f</w:t>
      </w:r>
      <w:r w:rsidRPr="00D71E5A">
        <w:t xml:space="preserve"> t</w:t>
      </w:r>
      <w:r w:rsidRPr="00CB5278">
        <w:t>he</w:t>
      </w:r>
      <w:r w:rsidRPr="00D71E5A">
        <w:t xml:space="preserve"> fe</w:t>
      </w:r>
      <w:r w:rsidRPr="00CB5278">
        <w:t>e</w:t>
      </w:r>
      <w:r w:rsidRPr="00D71E5A">
        <w:t xml:space="preserve"> pr</w:t>
      </w:r>
      <w:r w:rsidRPr="00CB5278">
        <w:t>o</w:t>
      </w:r>
      <w:r w:rsidRPr="00D71E5A">
        <w:t>p</w:t>
      </w:r>
      <w:r w:rsidRPr="00CB5278">
        <w:t>o</w:t>
      </w:r>
      <w:r w:rsidRPr="00D71E5A">
        <w:t>sal</w:t>
      </w:r>
      <w:r w:rsidRPr="00CB5278">
        <w:t>.</w:t>
      </w:r>
    </w:p>
    <w:p w14:paraId="0C737248" w14:textId="05C01186" w:rsidR="003675A0" w:rsidRPr="00CB5278" w:rsidRDefault="003675A0" w:rsidP="00D70B5C">
      <w:pPr>
        <w:pStyle w:val="BodyText"/>
      </w:pPr>
      <w:r w:rsidRPr="00D71E5A">
        <w:t>It is critical t</w:t>
      </w:r>
      <w:r w:rsidRPr="00CB5278">
        <w:t>hat</w:t>
      </w:r>
      <w:r w:rsidRPr="00D71E5A">
        <w:t xml:space="preserve"> this section </w:t>
      </w:r>
      <w:r w:rsidRPr="00CB5278">
        <w:t>add</w:t>
      </w:r>
      <w:r w:rsidRPr="00D71E5A">
        <w:t>res</w:t>
      </w:r>
      <w:r w:rsidRPr="00CB5278">
        <w:t>s</w:t>
      </w:r>
      <w:r w:rsidR="00D70B5C">
        <w:t>es</w:t>
      </w:r>
      <w:r w:rsidRPr="00D71E5A">
        <w:t xml:space="preserve"> t</w:t>
      </w:r>
      <w:r w:rsidRPr="00CB5278">
        <w:t>he</w:t>
      </w:r>
      <w:r w:rsidRPr="00D71E5A">
        <w:t xml:space="preserve"> items identified in services t</w:t>
      </w:r>
      <w:r w:rsidRPr="00CB5278">
        <w:t>o</w:t>
      </w:r>
      <w:r w:rsidRPr="00D71E5A">
        <w:t xml:space="preserve"> b</w:t>
      </w:r>
      <w:r w:rsidRPr="00CB5278">
        <w:t>e</w:t>
      </w:r>
      <w:r w:rsidRPr="00D71E5A">
        <w:t xml:space="preserve"> provided a</w:t>
      </w:r>
      <w:r w:rsidRPr="00CB5278">
        <w:t>nd</w:t>
      </w:r>
      <w:r w:rsidRPr="00D71E5A">
        <w:t xml:space="preserve"> specific requirements o</w:t>
      </w:r>
      <w:r w:rsidRPr="00CB5278">
        <w:t>f</w:t>
      </w:r>
      <w:r w:rsidRPr="00D71E5A">
        <w:t xml:space="preserve"> t</w:t>
      </w:r>
      <w:r w:rsidRPr="00CB5278">
        <w:t xml:space="preserve">he </w:t>
      </w:r>
      <w:r w:rsidRPr="00D71E5A">
        <w:t>c</w:t>
      </w:r>
      <w:r w:rsidRPr="00CB5278">
        <w:t>on</w:t>
      </w:r>
      <w:r w:rsidRPr="00D71E5A">
        <w:t>t</w:t>
      </w:r>
      <w:r w:rsidRPr="00CB5278">
        <w:t>ract</w:t>
      </w:r>
      <w:r w:rsidRPr="00D71E5A">
        <w:t xml:space="preserve"> sections</w:t>
      </w:r>
      <w:r w:rsidRPr="00CB5278">
        <w:t>.</w:t>
      </w:r>
    </w:p>
    <w:p w14:paraId="7DAE332B" w14:textId="6800FCE2" w:rsidR="003675A0" w:rsidRPr="00CB5278" w:rsidRDefault="003675A0">
      <w:pPr>
        <w:pStyle w:val="BodyText"/>
        <w:numPr>
          <w:ilvl w:val="0"/>
          <w:numId w:val="147"/>
        </w:numPr>
      </w:pPr>
      <w:r w:rsidRPr="0008337C">
        <w:t>Relevant skills</w:t>
      </w:r>
      <w:r w:rsidRPr="00CB5278">
        <w:t xml:space="preserve"> (20%)</w:t>
      </w:r>
    </w:p>
    <w:p w14:paraId="1EEDF84D" w14:textId="346CEFFD" w:rsidR="003675A0" w:rsidRPr="00CB5278" w:rsidRDefault="003675A0" w:rsidP="00D70B5C">
      <w:pPr>
        <w:pStyle w:val="BodyText"/>
      </w:pPr>
      <w:r w:rsidRPr="00D71E5A">
        <w:t>Proposals s</w:t>
      </w:r>
      <w:r w:rsidRPr="00CB5278">
        <w:t>hould</w:t>
      </w:r>
      <w:r w:rsidRPr="00D71E5A">
        <w:t xml:space="preserve"> include detail</w:t>
      </w:r>
      <w:r w:rsidR="00D70B5C">
        <w:t>s</w:t>
      </w:r>
      <w:r w:rsidRPr="00D71E5A">
        <w:t xml:space="preserve"> of the relevant qualifications a</w:t>
      </w:r>
      <w:r w:rsidRPr="00CB5278">
        <w:t>nd</w:t>
      </w:r>
      <w:r w:rsidRPr="00D71E5A">
        <w:t xml:space="preserve"> expertise f</w:t>
      </w:r>
      <w:r w:rsidRPr="00CB5278">
        <w:t>or</w:t>
      </w:r>
      <w:r w:rsidRPr="00D71E5A">
        <w:t xml:space="preserve"> all tea</w:t>
      </w:r>
      <w:r w:rsidRPr="00CB5278">
        <w:t>m</w:t>
      </w:r>
      <w:r w:rsidRPr="00D71E5A">
        <w:t xml:space="preserve"> </w:t>
      </w:r>
      <w:r w:rsidRPr="00CB5278">
        <w:t>m</w:t>
      </w:r>
      <w:r w:rsidRPr="00D71E5A">
        <w:t>e</w:t>
      </w:r>
      <w:r w:rsidRPr="00CB5278">
        <w:t>m</w:t>
      </w:r>
      <w:r w:rsidRPr="00D71E5A">
        <w:t>ber</w:t>
      </w:r>
      <w:r w:rsidRPr="00CB5278">
        <w:t>s</w:t>
      </w:r>
      <w:r w:rsidRPr="00D71E5A">
        <w:t xml:space="preserve"> includin</w:t>
      </w:r>
      <w:r w:rsidRPr="00CB5278">
        <w:t>g sub</w:t>
      </w:r>
      <w:r w:rsidRPr="00D71E5A">
        <w:t>c</w:t>
      </w:r>
      <w:r w:rsidRPr="00CB5278">
        <w:t>on</w:t>
      </w:r>
      <w:r w:rsidRPr="00D71E5A">
        <w:t>t</w:t>
      </w:r>
      <w:r w:rsidRPr="00CB5278">
        <w:t>rac</w:t>
      </w:r>
      <w:r w:rsidRPr="00D71E5A">
        <w:t>t</w:t>
      </w:r>
      <w:r w:rsidRPr="00CB5278">
        <w:t>o</w:t>
      </w:r>
      <w:r w:rsidRPr="00D71E5A">
        <w:t>rs</w:t>
      </w:r>
      <w:r w:rsidRPr="00CB5278">
        <w:t>.</w:t>
      </w:r>
      <w:r w:rsidRPr="00D71E5A">
        <w:t xml:space="preserve"> Where </w:t>
      </w:r>
      <w:r w:rsidRPr="00CB5278">
        <w:t>sub</w:t>
      </w:r>
      <w:r w:rsidRPr="00D71E5A">
        <w:t>c</w:t>
      </w:r>
      <w:r w:rsidRPr="00CB5278">
        <w:t>on</w:t>
      </w:r>
      <w:r w:rsidRPr="00D71E5A">
        <w:t>t</w:t>
      </w:r>
      <w:r w:rsidRPr="00CB5278">
        <w:t>rac</w:t>
      </w:r>
      <w:r w:rsidRPr="00D71E5A">
        <w:t>t</w:t>
      </w:r>
      <w:r w:rsidRPr="00CB5278">
        <w:t>o</w:t>
      </w:r>
      <w:r w:rsidRPr="00D71E5A">
        <w:t>r</w:t>
      </w:r>
      <w:r w:rsidRPr="00CB5278">
        <w:t>s</w:t>
      </w:r>
      <w:r w:rsidRPr="00D71E5A">
        <w:t xml:space="preserve"> ar</w:t>
      </w:r>
      <w:r w:rsidRPr="00CB5278">
        <w:t>e</w:t>
      </w:r>
      <w:r w:rsidRPr="00D71E5A">
        <w:t xml:space="preserve"> </w:t>
      </w:r>
      <w:r w:rsidRPr="00CB5278">
        <w:t>us</w:t>
      </w:r>
      <w:r w:rsidRPr="00D71E5A">
        <w:t>ed</w:t>
      </w:r>
      <w:r w:rsidRPr="00CB5278">
        <w:t>,</w:t>
      </w:r>
      <w:r w:rsidRPr="00D71E5A">
        <w:t xml:space="preserve"> y</w:t>
      </w:r>
      <w:r w:rsidRPr="00CB5278">
        <w:t xml:space="preserve">our </w:t>
      </w:r>
      <w:r w:rsidRPr="00D71E5A">
        <w:t>quotation should clearly identify t</w:t>
      </w:r>
      <w:r w:rsidRPr="00CB5278">
        <w:t>hat</w:t>
      </w:r>
      <w:r w:rsidRPr="00D71E5A">
        <w:t xml:space="preserve"> </w:t>
      </w:r>
      <w:r w:rsidRPr="00CB5278">
        <w:t>p</w:t>
      </w:r>
      <w:r w:rsidRPr="00D71E5A">
        <w:t>ar</w:t>
      </w:r>
      <w:r w:rsidRPr="00CB5278">
        <w:t>t</w:t>
      </w:r>
      <w:r w:rsidRPr="00D71E5A">
        <w:t xml:space="preserve"> o</w:t>
      </w:r>
      <w:r w:rsidRPr="00CB5278">
        <w:t>f</w:t>
      </w:r>
      <w:r w:rsidRPr="00D71E5A">
        <w:t xml:space="preserve"> t</w:t>
      </w:r>
      <w:r w:rsidRPr="00CB5278">
        <w:t>he</w:t>
      </w:r>
      <w:r w:rsidRPr="00D71E5A">
        <w:t xml:space="preserve"> pr</w:t>
      </w:r>
      <w:r w:rsidRPr="00CB5278">
        <w:t>o</w:t>
      </w:r>
      <w:r w:rsidRPr="00D71E5A">
        <w:t>ject t</w:t>
      </w:r>
      <w:r w:rsidRPr="00CB5278">
        <w:t>o</w:t>
      </w:r>
      <w:r w:rsidRPr="00D71E5A">
        <w:t xml:space="preserve"> b</w:t>
      </w:r>
      <w:r w:rsidRPr="00CB5278">
        <w:t>e</w:t>
      </w:r>
      <w:r w:rsidRPr="00D71E5A">
        <w:t xml:space="preserve"> undertaken b</w:t>
      </w:r>
      <w:r w:rsidRPr="00CB5278">
        <w:t>y</w:t>
      </w:r>
      <w:r w:rsidRPr="00D71E5A">
        <w:t xml:space="preserve"> t</w:t>
      </w:r>
      <w:r w:rsidRPr="00CB5278">
        <w:t>he</w:t>
      </w:r>
      <w:r w:rsidRPr="00D71E5A">
        <w:t xml:space="preserve"> </w:t>
      </w:r>
      <w:r w:rsidRPr="00CB5278">
        <w:t>sub</w:t>
      </w:r>
      <w:r w:rsidRPr="00D71E5A">
        <w:t>c</w:t>
      </w:r>
      <w:r w:rsidRPr="00CB5278">
        <w:t>on</w:t>
      </w:r>
      <w:r w:rsidRPr="00D71E5A">
        <w:t>t</w:t>
      </w:r>
      <w:r w:rsidRPr="00CB5278">
        <w:t>rac</w:t>
      </w:r>
      <w:r w:rsidRPr="00D71E5A">
        <w:t>t</w:t>
      </w:r>
      <w:r w:rsidRPr="00CB5278">
        <w:t>o</w:t>
      </w:r>
      <w:r w:rsidRPr="00D71E5A">
        <w:t>rs</w:t>
      </w:r>
      <w:r w:rsidRPr="00CB5278">
        <w:t>.</w:t>
      </w:r>
    </w:p>
    <w:p w14:paraId="2A5B693B" w14:textId="25A79EB8" w:rsidR="003675A0" w:rsidRPr="00CB5278" w:rsidRDefault="003675A0">
      <w:pPr>
        <w:pStyle w:val="BodyText"/>
        <w:numPr>
          <w:ilvl w:val="0"/>
          <w:numId w:val="147"/>
        </w:numPr>
      </w:pPr>
      <w:r w:rsidRPr="0008337C">
        <w:t>Relevant experience</w:t>
      </w:r>
      <w:r w:rsidRPr="00CB5278">
        <w:t xml:space="preserve"> (15%)</w:t>
      </w:r>
    </w:p>
    <w:p w14:paraId="0FE0CC4F" w14:textId="77777777" w:rsidR="003675A0" w:rsidRPr="00CB5278" w:rsidRDefault="003675A0" w:rsidP="00D70B5C">
      <w:pPr>
        <w:pStyle w:val="BodyText"/>
      </w:pPr>
      <w:r w:rsidRPr="00D71E5A">
        <w:t>Proposals s</w:t>
      </w:r>
      <w:r w:rsidRPr="00CB5278">
        <w:t>hould</w:t>
      </w:r>
      <w:r w:rsidRPr="00D71E5A">
        <w:t xml:space="preserve"> outline y</w:t>
      </w:r>
      <w:r w:rsidRPr="00CB5278">
        <w:t>our</w:t>
      </w:r>
      <w:r w:rsidRPr="00D71E5A">
        <w:t xml:space="preserve"> experience a</w:t>
      </w:r>
      <w:r w:rsidRPr="00CB5278">
        <w:t>nd</w:t>
      </w:r>
      <w:r w:rsidRPr="00D71E5A">
        <w:t xml:space="preserve"> re</w:t>
      </w:r>
      <w:r w:rsidRPr="00CB5278">
        <w:t>p</w:t>
      </w:r>
      <w:r w:rsidRPr="00D71E5A">
        <w:t>u</w:t>
      </w:r>
      <w:r w:rsidRPr="00CB5278">
        <w:t>ta</w:t>
      </w:r>
      <w:r w:rsidRPr="00D71E5A">
        <w:t>t</w:t>
      </w:r>
      <w:r w:rsidRPr="00CB5278">
        <w:t xml:space="preserve">ion </w:t>
      </w:r>
      <w:r w:rsidRPr="00D71E5A">
        <w:t>with respe</w:t>
      </w:r>
      <w:r w:rsidRPr="00CB5278">
        <w:t>ct</w:t>
      </w:r>
      <w:r w:rsidRPr="00D71E5A">
        <w:t xml:space="preserve"> to</w:t>
      </w:r>
      <w:r w:rsidRPr="00CB5278">
        <w:t>:</w:t>
      </w:r>
    </w:p>
    <w:p w14:paraId="3E0ABE4D" w14:textId="77777777" w:rsidR="003675A0" w:rsidRPr="00CB5278" w:rsidRDefault="003675A0">
      <w:pPr>
        <w:pStyle w:val="BodyText"/>
        <w:numPr>
          <w:ilvl w:val="0"/>
          <w:numId w:val="122"/>
        </w:numPr>
      </w:pPr>
      <w:r w:rsidRPr="00D71E5A">
        <w:t>valuation o</w:t>
      </w:r>
      <w:r w:rsidRPr="00CB5278">
        <w:t>f</w:t>
      </w:r>
      <w:r w:rsidRPr="00D71E5A">
        <w:t xml:space="preserve"> thes</w:t>
      </w:r>
      <w:r w:rsidRPr="00CB5278">
        <w:t>e</w:t>
      </w:r>
      <w:r w:rsidRPr="00D71E5A">
        <w:t xml:space="preserve"> type</w:t>
      </w:r>
      <w:r w:rsidRPr="00CB5278">
        <w:t>s</w:t>
      </w:r>
      <w:r w:rsidRPr="00D71E5A">
        <w:t xml:space="preserve"> o</w:t>
      </w:r>
      <w:r w:rsidRPr="00CB5278">
        <w:t>f</w:t>
      </w:r>
      <w:r w:rsidRPr="00D71E5A">
        <w:t xml:space="preserve"> ass</w:t>
      </w:r>
      <w:r w:rsidRPr="00CB5278">
        <w:t>e</w:t>
      </w:r>
      <w:r w:rsidRPr="00D71E5A">
        <w:t>ts</w:t>
      </w:r>
    </w:p>
    <w:p w14:paraId="3D337461" w14:textId="523F7A20" w:rsidR="003675A0" w:rsidRPr="00CB5278" w:rsidRDefault="003675A0">
      <w:pPr>
        <w:pStyle w:val="BodyText"/>
        <w:numPr>
          <w:ilvl w:val="0"/>
          <w:numId w:val="122"/>
        </w:numPr>
      </w:pPr>
      <w:r w:rsidRPr="00CB5278">
        <w:t>valuation experience and performance with the</w:t>
      </w:r>
      <w:r w:rsidRPr="00D71E5A">
        <w:t xml:space="preserve"> secto</w:t>
      </w:r>
      <w:r w:rsidRPr="00CB5278">
        <w:t>r</w:t>
      </w:r>
      <w:r w:rsidR="00D70B5C">
        <w:t>;</w:t>
      </w:r>
      <w:r w:rsidRPr="00CB5278">
        <w:t xml:space="preserve"> and</w:t>
      </w:r>
    </w:p>
    <w:p w14:paraId="7A046FFF" w14:textId="77777777" w:rsidR="003675A0" w:rsidRPr="00CB5278" w:rsidRDefault="003675A0">
      <w:pPr>
        <w:pStyle w:val="BodyText"/>
        <w:numPr>
          <w:ilvl w:val="0"/>
          <w:numId w:val="122"/>
        </w:numPr>
      </w:pPr>
      <w:r w:rsidRPr="00D71E5A">
        <w:t>provision o</w:t>
      </w:r>
      <w:r w:rsidRPr="00CB5278">
        <w:t>f</w:t>
      </w:r>
      <w:r w:rsidRPr="00D71E5A">
        <w:t xml:space="preserve"> advice, consulting a</w:t>
      </w:r>
      <w:r w:rsidRPr="00CB5278">
        <w:t>nd</w:t>
      </w:r>
      <w:r w:rsidRPr="00D71E5A">
        <w:t xml:space="preserve"> training with respe</w:t>
      </w:r>
      <w:r w:rsidRPr="00CB5278">
        <w:t>ct</w:t>
      </w:r>
      <w:r w:rsidRPr="00D71E5A">
        <w:t xml:space="preserve"> t</w:t>
      </w:r>
      <w:r w:rsidRPr="00CB5278">
        <w:t>o</w:t>
      </w:r>
      <w:r w:rsidRPr="00D71E5A">
        <w:t xml:space="preserve"> </w:t>
      </w:r>
      <w:r w:rsidRPr="00CB5278">
        <w:t>a</w:t>
      </w:r>
      <w:r w:rsidRPr="00D71E5A">
        <w:t>s</w:t>
      </w:r>
      <w:r w:rsidRPr="00CB5278">
        <w:t>set</w:t>
      </w:r>
      <w:r w:rsidRPr="00D71E5A">
        <w:t xml:space="preserve"> valuation.</w:t>
      </w:r>
    </w:p>
    <w:p w14:paraId="174983C6" w14:textId="77777777" w:rsidR="003675A0" w:rsidRPr="00CB5278" w:rsidRDefault="003675A0" w:rsidP="00D70B5C">
      <w:pPr>
        <w:pStyle w:val="BodyText"/>
      </w:pPr>
      <w:r w:rsidRPr="00CB5278">
        <w:t>The</w:t>
      </w:r>
      <w:r w:rsidRPr="00D71E5A">
        <w:t xml:space="preserve"> proposal should also outline details o</w:t>
      </w:r>
      <w:r w:rsidRPr="00CB5278">
        <w:t xml:space="preserve">f </w:t>
      </w:r>
      <w:r w:rsidRPr="00D71E5A">
        <w:t>an</w:t>
      </w:r>
      <w:r w:rsidRPr="00CB5278">
        <w:t>y</w:t>
      </w:r>
      <w:r w:rsidRPr="00D71E5A">
        <w:t xml:space="preserve"> ot</w:t>
      </w:r>
      <w:r w:rsidRPr="00CB5278">
        <w:t>h</w:t>
      </w:r>
      <w:r w:rsidRPr="00D71E5A">
        <w:t>e</w:t>
      </w:r>
      <w:r w:rsidRPr="00CB5278">
        <w:t>r</w:t>
      </w:r>
      <w:r w:rsidRPr="00D71E5A">
        <w:t xml:space="preserve"> experience </w:t>
      </w:r>
      <w:r w:rsidRPr="00CB5278">
        <w:t>or</w:t>
      </w:r>
      <w:r w:rsidRPr="00D71E5A">
        <w:t xml:space="preserve"> expertise t</w:t>
      </w:r>
      <w:r w:rsidRPr="00CB5278">
        <w:t>hat</w:t>
      </w:r>
      <w:r w:rsidRPr="00D71E5A">
        <w:t xml:space="preserve"> </w:t>
      </w:r>
      <w:r w:rsidRPr="00CB5278">
        <w:t>m</w:t>
      </w:r>
      <w:r w:rsidRPr="00D71E5A">
        <w:t>a</w:t>
      </w:r>
      <w:r w:rsidRPr="00CB5278">
        <w:t>y</w:t>
      </w:r>
      <w:r w:rsidRPr="00D71E5A">
        <w:t xml:space="preserve"> b</w:t>
      </w:r>
      <w:r w:rsidRPr="00CB5278">
        <w:t>e</w:t>
      </w:r>
      <w:r w:rsidRPr="00D71E5A">
        <w:t xml:space="preserve"> relevant </w:t>
      </w:r>
      <w:r w:rsidRPr="00CB5278">
        <w:t xml:space="preserve">or </w:t>
      </w:r>
      <w:r w:rsidRPr="00D71E5A">
        <w:t>provide t</w:t>
      </w:r>
      <w:r w:rsidRPr="00CB5278">
        <w:t>he</w:t>
      </w:r>
      <w:r w:rsidRPr="00D71E5A">
        <w:t xml:space="preserve"> potential t</w:t>
      </w:r>
      <w:r w:rsidRPr="00CB5278">
        <w:t>o</w:t>
      </w:r>
      <w:r w:rsidRPr="00D71E5A">
        <w:t xml:space="preserve"> </w:t>
      </w:r>
      <w:r w:rsidRPr="00CB5278">
        <w:t>add</w:t>
      </w:r>
      <w:r w:rsidRPr="00D71E5A">
        <w:t xml:space="preserve"> ext</w:t>
      </w:r>
      <w:r w:rsidRPr="00CB5278">
        <w:t>ra</w:t>
      </w:r>
      <w:r w:rsidRPr="00D71E5A">
        <w:t xml:space="preserve"> value t</w:t>
      </w:r>
      <w:r w:rsidRPr="00CB5278">
        <w:t>o</w:t>
      </w:r>
      <w:r w:rsidRPr="00D71E5A">
        <w:t xml:space="preserve"> [name o</w:t>
      </w:r>
      <w:r w:rsidRPr="00CB5278">
        <w:t>f</w:t>
      </w:r>
      <w:r w:rsidRPr="00D71E5A">
        <w:t xml:space="preserve"> entity] </w:t>
      </w:r>
      <w:r w:rsidRPr="00CB5278">
        <w:t>because of</w:t>
      </w:r>
      <w:r w:rsidRPr="00D71E5A">
        <w:t xml:space="preserve"> being awarde</w:t>
      </w:r>
      <w:r w:rsidRPr="00CB5278">
        <w:t>d</w:t>
      </w:r>
      <w:r w:rsidRPr="00D71E5A">
        <w:t xml:space="preserve"> this c</w:t>
      </w:r>
      <w:r w:rsidRPr="00CB5278">
        <w:t>on</w:t>
      </w:r>
      <w:r w:rsidRPr="00D71E5A">
        <w:t>t</w:t>
      </w:r>
      <w:r w:rsidRPr="00CB5278">
        <w:t>rac</w:t>
      </w:r>
      <w:r w:rsidRPr="00D71E5A">
        <w:t>t</w:t>
      </w:r>
      <w:r w:rsidRPr="00CB5278">
        <w:t>.</w:t>
      </w:r>
    </w:p>
    <w:p w14:paraId="2D39F6AB" w14:textId="77777777" w:rsidR="00BB1A85" w:rsidRDefault="00BB1A85">
      <w:pPr>
        <w:spacing w:after="0" w:line="240" w:lineRule="auto"/>
        <w:rPr>
          <w:rFonts w:cs="Arial"/>
          <w:lang w:val="en-GB"/>
        </w:rPr>
      </w:pPr>
      <w:r>
        <w:br w:type="page"/>
      </w:r>
    </w:p>
    <w:p w14:paraId="7A50F966" w14:textId="73819DF5" w:rsidR="003675A0" w:rsidRPr="00CB5278" w:rsidRDefault="003675A0">
      <w:pPr>
        <w:pStyle w:val="BodyText"/>
        <w:numPr>
          <w:ilvl w:val="0"/>
          <w:numId w:val="147"/>
        </w:numPr>
      </w:pPr>
      <w:r w:rsidRPr="0008337C">
        <w:lastRenderedPageBreak/>
        <w:t>Quality assurance</w:t>
      </w:r>
      <w:r w:rsidRPr="00CB5278">
        <w:t xml:space="preserve"> (5%)</w:t>
      </w:r>
    </w:p>
    <w:p w14:paraId="4FB8709A" w14:textId="71C4AFD7" w:rsidR="003508CA" w:rsidRPr="00CB5278" w:rsidRDefault="003675A0" w:rsidP="00D70B5C">
      <w:pPr>
        <w:pStyle w:val="BodyText"/>
      </w:pPr>
      <w:r w:rsidRPr="00D71E5A">
        <w:t>Proposals should indicate th</w:t>
      </w:r>
      <w:r w:rsidRPr="00CB5278">
        <w:t>e</w:t>
      </w:r>
      <w:r w:rsidRPr="00D71E5A">
        <w:t xml:space="preserve"> processes the</w:t>
      </w:r>
      <w:r w:rsidRPr="00CB5278">
        <w:t>y</w:t>
      </w:r>
      <w:r w:rsidRPr="00D71E5A">
        <w:t xml:space="preserve"> have in place t</w:t>
      </w:r>
      <w:r w:rsidRPr="00CB5278">
        <w:t>o</w:t>
      </w:r>
      <w:r w:rsidRPr="00D71E5A">
        <w:t xml:space="preserve"> ensure </w:t>
      </w:r>
      <w:r w:rsidRPr="00CB5278">
        <w:t>a</w:t>
      </w:r>
      <w:r w:rsidRPr="00D71E5A">
        <w:t xml:space="preserve"> high level o</w:t>
      </w:r>
      <w:r w:rsidRPr="00CB5278">
        <w:t>f</w:t>
      </w:r>
      <w:r w:rsidRPr="00D71E5A">
        <w:t xml:space="preserve"> quality assurance. Entities with independent third-party ISO:900</w:t>
      </w:r>
      <w:r w:rsidRPr="00CB5278">
        <w:t xml:space="preserve">1 </w:t>
      </w:r>
      <w:r w:rsidRPr="00D71E5A">
        <w:t>quality manageme</w:t>
      </w:r>
      <w:r w:rsidRPr="00CB5278">
        <w:t xml:space="preserve">nt </w:t>
      </w:r>
      <w:r w:rsidRPr="00D71E5A">
        <w:t>will b</w:t>
      </w:r>
      <w:r w:rsidRPr="00CB5278">
        <w:t>e</w:t>
      </w:r>
      <w:r w:rsidRPr="00D71E5A">
        <w:t xml:space="preserve"> </w:t>
      </w:r>
      <w:r w:rsidRPr="00CB5278">
        <w:t>a</w:t>
      </w:r>
      <w:r w:rsidRPr="00D71E5A">
        <w:t>fforde</w:t>
      </w:r>
      <w:r w:rsidRPr="00CB5278">
        <w:t>d</w:t>
      </w:r>
      <w:r w:rsidRPr="00D71E5A">
        <w:t xml:space="preserve"> full mar</w:t>
      </w:r>
      <w:r w:rsidRPr="00CB5278">
        <w:t>k</w:t>
      </w:r>
      <w:r w:rsidRPr="00D71E5A">
        <w:t>s</w:t>
      </w:r>
      <w:r w:rsidRPr="00CB5278">
        <w:t>. Entities without ISO:9001 quality management certification will be limited to a maximum score of 50% of the weighting.</w:t>
      </w:r>
    </w:p>
    <w:p w14:paraId="3FE9584F" w14:textId="77777777" w:rsidR="003675A0" w:rsidRPr="00CB5278" w:rsidRDefault="003675A0" w:rsidP="006218C2">
      <w:pPr>
        <w:pStyle w:val="Heading4"/>
      </w:pPr>
      <w:r w:rsidRPr="00CB5278">
        <w:t>7 Pricing schedule</w:t>
      </w:r>
    </w:p>
    <w:p w14:paraId="75ED937B" w14:textId="77777777" w:rsidR="003675A0" w:rsidRPr="00CB5278" w:rsidRDefault="003675A0" w:rsidP="00D70B5C">
      <w:pPr>
        <w:pStyle w:val="BodyText"/>
      </w:pPr>
      <w:r w:rsidRPr="009F5A5C">
        <w:t>All c</w:t>
      </w:r>
      <w:r w:rsidRPr="00CB5278">
        <w:t>osts</w:t>
      </w:r>
      <w:r w:rsidRPr="009F5A5C">
        <w:t xml:space="preserve"> a</w:t>
      </w:r>
      <w:r w:rsidRPr="00CB5278">
        <w:t>re</w:t>
      </w:r>
      <w:r w:rsidRPr="009F5A5C">
        <w:t xml:space="preserve"> t</w:t>
      </w:r>
      <w:r w:rsidRPr="00CB5278">
        <w:t>o</w:t>
      </w:r>
      <w:r w:rsidRPr="009F5A5C">
        <w:t xml:space="preserve"> b</w:t>
      </w:r>
      <w:r w:rsidRPr="00CB5278">
        <w:t>e</w:t>
      </w:r>
      <w:r w:rsidRPr="009F5A5C">
        <w:t xml:space="preserve"> </w:t>
      </w:r>
      <w:r w:rsidRPr="00CB5278">
        <w:t>qu</w:t>
      </w:r>
      <w:r w:rsidRPr="009F5A5C">
        <w:t>ote</w:t>
      </w:r>
      <w:r w:rsidRPr="00CB5278">
        <w:t>d</w:t>
      </w:r>
      <w:r w:rsidRPr="009F5A5C">
        <w:t xml:space="preserve"> </w:t>
      </w:r>
      <w:r w:rsidRPr="00CB5278">
        <w:t>as</w:t>
      </w:r>
      <w:r w:rsidRPr="009F5A5C">
        <w:t xml:space="preserve"> </w:t>
      </w:r>
      <w:r w:rsidRPr="00CB5278">
        <w:t>a</w:t>
      </w:r>
      <w:r w:rsidRPr="009F5A5C">
        <w:t xml:space="preserve"> </w:t>
      </w:r>
      <w:r w:rsidRPr="00CB5278">
        <w:t>f</w:t>
      </w:r>
      <w:r w:rsidRPr="009F5A5C">
        <w:t>ixe</w:t>
      </w:r>
      <w:r w:rsidRPr="00CB5278">
        <w:t>d</w:t>
      </w:r>
      <w:r w:rsidRPr="009F5A5C">
        <w:t xml:space="preserve"> price (inclusive</w:t>
      </w:r>
      <w:r w:rsidRPr="00CB5278">
        <w:t xml:space="preserve"> </w:t>
      </w:r>
      <w:r w:rsidRPr="009F5A5C">
        <w:t>of travel</w:t>
      </w:r>
      <w:r w:rsidRPr="00CB5278">
        <w:t xml:space="preserve">, </w:t>
      </w:r>
      <w:r w:rsidRPr="009F5A5C">
        <w:t>ancillary costs, a</w:t>
      </w:r>
      <w:r w:rsidRPr="00CB5278">
        <w:t>nd</w:t>
      </w:r>
      <w:r w:rsidRPr="009F5A5C">
        <w:t xml:space="preserve"> </w:t>
      </w:r>
      <w:r w:rsidRPr="00CB5278">
        <w:t>t</w:t>
      </w:r>
      <w:r w:rsidRPr="009F5A5C">
        <w:t>a</w:t>
      </w:r>
      <w:r w:rsidRPr="00CB5278">
        <w:t>x</w:t>
      </w:r>
      <w:r w:rsidRPr="009F5A5C">
        <w:t>)</w:t>
      </w:r>
      <w:r w:rsidRPr="00CB5278">
        <w:t xml:space="preserve"> </w:t>
      </w:r>
      <w:r w:rsidRPr="009F5A5C">
        <w:t xml:space="preserve">using </w:t>
      </w:r>
      <w:r w:rsidRPr="00CB5278">
        <w:t>the</w:t>
      </w:r>
      <w:r w:rsidRPr="009F5A5C">
        <w:t xml:space="preserve"> following schedule: </w:t>
      </w:r>
    </w:p>
    <w:tbl>
      <w:tblPr>
        <w:tblW w:w="9639"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390"/>
        <w:gridCol w:w="1574"/>
        <w:gridCol w:w="2675"/>
      </w:tblGrid>
      <w:tr w:rsidR="003675A0" w:rsidRPr="00CB5278" w14:paraId="34FF3442" w14:textId="77777777">
        <w:trPr>
          <w:cantSplit/>
        </w:trPr>
        <w:tc>
          <w:tcPr>
            <w:tcW w:w="5073" w:type="dxa"/>
            <w:shd w:val="clear" w:color="auto" w:fill="F2F2F2" w:themeFill="background1" w:themeFillShade="F2"/>
          </w:tcPr>
          <w:p w14:paraId="363FCC25" w14:textId="77777777" w:rsidR="003675A0" w:rsidRPr="00F84AE4" w:rsidRDefault="003675A0" w:rsidP="00BB1A85">
            <w:pPr>
              <w:pStyle w:val="TableContent"/>
              <w:rPr>
                <w:b/>
                <w:bCs/>
                <w:lang w:val="en-US"/>
              </w:rPr>
            </w:pPr>
            <w:r w:rsidRPr="00F84AE4">
              <w:rPr>
                <w:b/>
                <w:bCs/>
              </w:rPr>
              <w:t>Activity</w:t>
            </w:r>
          </w:p>
        </w:tc>
        <w:tc>
          <w:tcPr>
            <w:tcW w:w="1481" w:type="dxa"/>
            <w:shd w:val="clear" w:color="auto" w:fill="F2F2F2" w:themeFill="background1" w:themeFillShade="F2"/>
          </w:tcPr>
          <w:p w14:paraId="48878806" w14:textId="77777777" w:rsidR="003675A0" w:rsidRPr="00D71E5A" w:rsidRDefault="003675A0" w:rsidP="00BB1A85">
            <w:pPr>
              <w:pStyle w:val="TableContent"/>
              <w:rPr>
                <w:b/>
                <w:bCs/>
              </w:rPr>
            </w:pPr>
            <w:r w:rsidRPr="00D71E5A">
              <w:rPr>
                <w:b/>
                <w:bCs/>
              </w:rPr>
              <w:t>Rate</w:t>
            </w:r>
          </w:p>
        </w:tc>
        <w:tc>
          <w:tcPr>
            <w:tcW w:w="2518" w:type="dxa"/>
            <w:shd w:val="clear" w:color="auto" w:fill="F2F2F2" w:themeFill="background1" w:themeFillShade="F2"/>
            <w:hideMark/>
          </w:tcPr>
          <w:p w14:paraId="127A2D31" w14:textId="77777777" w:rsidR="003675A0" w:rsidRPr="00D71E5A" w:rsidRDefault="003675A0" w:rsidP="00BB1A85">
            <w:pPr>
              <w:pStyle w:val="TableContent"/>
              <w:rPr>
                <w:b/>
                <w:bCs/>
              </w:rPr>
            </w:pPr>
            <w:r w:rsidRPr="00D71E5A">
              <w:rPr>
                <w:b/>
                <w:bCs/>
              </w:rPr>
              <w:t>Price</w:t>
            </w:r>
          </w:p>
          <w:p w14:paraId="74247090" w14:textId="77777777" w:rsidR="003675A0" w:rsidRPr="00D71E5A" w:rsidRDefault="003675A0" w:rsidP="00BB1A85">
            <w:pPr>
              <w:pStyle w:val="TableContent"/>
              <w:rPr>
                <w:b/>
                <w:bCs/>
              </w:rPr>
            </w:pPr>
            <w:r w:rsidRPr="00D71E5A">
              <w:rPr>
                <w:b/>
                <w:bCs/>
              </w:rPr>
              <w:t>(Inclusive of travel, ancillary costs and tax)</w:t>
            </w:r>
          </w:p>
        </w:tc>
      </w:tr>
      <w:tr w:rsidR="003675A0" w:rsidRPr="00CB5278" w14:paraId="340E6BCC" w14:textId="77777777">
        <w:trPr>
          <w:cantSplit/>
        </w:trPr>
        <w:tc>
          <w:tcPr>
            <w:tcW w:w="5073" w:type="dxa"/>
          </w:tcPr>
          <w:p w14:paraId="3D8489D7" w14:textId="77777777" w:rsidR="003675A0" w:rsidRPr="00D71E5A" w:rsidRDefault="003675A0" w:rsidP="00D70B5C">
            <w:pPr>
              <w:pStyle w:val="BodyText"/>
            </w:pPr>
            <w:r w:rsidRPr="00D71E5A">
              <w:t>Valuation of assets</w:t>
            </w:r>
          </w:p>
        </w:tc>
        <w:tc>
          <w:tcPr>
            <w:tcW w:w="1481" w:type="dxa"/>
          </w:tcPr>
          <w:p w14:paraId="20A8C9FC" w14:textId="77777777" w:rsidR="003675A0" w:rsidRPr="00D71E5A" w:rsidRDefault="003675A0" w:rsidP="00D70B5C">
            <w:pPr>
              <w:pStyle w:val="BodyText"/>
            </w:pPr>
            <w:r w:rsidRPr="00D71E5A">
              <w:t>Total</w:t>
            </w:r>
          </w:p>
        </w:tc>
        <w:tc>
          <w:tcPr>
            <w:tcW w:w="2518" w:type="dxa"/>
          </w:tcPr>
          <w:p w14:paraId="065989F7" w14:textId="77777777" w:rsidR="003675A0" w:rsidRPr="00CB5278" w:rsidRDefault="003675A0" w:rsidP="00BB1A85">
            <w:pPr>
              <w:pStyle w:val="TableContent"/>
              <w:rPr>
                <w:lang w:val="en-US"/>
              </w:rPr>
            </w:pPr>
          </w:p>
        </w:tc>
      </w:tr>
      <w:tr w:rsidR="003675A0" w:rsidRPr="00CB5278" w14:paraId="2386A190" w14:textId="77777777">
        <w:trPr>
          <w:cantSplit/>
        </w:trPr>
        <w:tc>
          <w:tcPr>
            <w:tcW w:w="5073" w:type="dxa"/>
          </w:tcPr>
          <w:p w14:paraId="284A4B40" w14:textId="77777777" w:rsidR="003675A0" w:rsidRPr="00CB5278" w:rsidRDefault="003675A0" w:rsidP="00D70B5C">
            <w:pPr>
              <w:pStyle w:val="BodyText"/>
            </w:pPr>
            <w:r w:rsidRPr="00D71E5A">
              <w:t>Provision of ad hoc advice</w:t>
            </w:r>
          </w:p>
          <w:p w14:paraId="45359D6F" w14:textId="77777777" w:rsidR="003675A0" w:rsidRPr="00D71E5A" w:rsidRDefault="003675A0" w:rsidP="00D70B5C">
            <w:pPr>
              <w:pStyle w:val="BodyText"/>
            </w:pPr>
            <w:r w:rsidRPr="00D71E5A">
              <w:t>(email and phone support)</w:t>
            </w:r>
          </w:p>
        </w:tc>
        <w:tc>
          <w:tcPr>
            <w:tcW w:w="1481" w:type="dxa"/>
          </w:tcPr>
          <w:p w14:paraId="34E5743B" w14:textId="77777777" w:rsidR="003675A0" w:rsidRPr="00D71E5A" w:rsidRDefault="003675A0" w:rsidP="00D70B5C">
            <w:pPr>
              <w:pStyle w:val="BodyText"/>
            </w:pPr>
            <w:r w:rsidRPr="00D71E5A">
              <w:t>x</w:t>
            </w:r>
          </w:p>
        </w:tc>
        <w:tc>
          <w:tcPr>
            <w:tcW w:w="2518" w:type="dxa"/>
          </w:tcPr>
          <w:p w14:paraId="61A8CB28" w14:textId="77777777" w:rsidR="003675A0" w:rsidRPr="00CB5278" w:rsidRDefault="003675A0" w:rsidP="00BB1A85">
            <w:pPr>
              <w:pStyle w:val="TableContent"/>
              <w:rPr>
                <w:lang w:val="en-US"/>
              </w:rPr>
            </w:pPr>
          </w:p>
        </w:tc>
      </w:tr>
    </w:tbl>
    <w:p w14:paraId="7EF0D797" w14:textId="77777777" w:rsidR="003675A0" w:rsidRPr="00CB5278" w:rsidRDefault="003675A0" w:rsidP="00D70B5C">
      <w:pPr>
        <w:pStyle w:val="BodyText"/>
      </w:pPr>
      <w:r w:rsidRPr="00D71E5A">
        <w:t>D</w:t>
      </w:r>
      <w:r w:rsidRPr="00CB5278">
        <w:t>a</w:t>
      </w:r>
      <w:r w:rsidRPr="00D71E5A">
        <w:t>t</w:t>
      </w:r>
      <w:r w:rsidRPr="00CB5278">
        <w:t>e</w:t>
      </w:r>
      <w:r w:rsidRPr="00D71E5A">
        <w:t xml:space="preserve"> issued: [d</w:t>
      </w:r>
      <w:r w:rsidRPr="00CB5278">
        <w:t>a</w:t>
      </w:r>
      <w:r w:rsidRPr="00D71E5A">
        <w:t>t</w:t>
      </w:r>
      <w:r w:rsidRPr="00CB5278">
        <w:t>e</w:t>
      </w:r>
      <w:r w:rsidRPr="00D71E5A">
        <w:t xml:space="preserve"> o</w:t>
      </w:r>
      <w:r w:rsidRPr="00CB5278">
        <w:t>f</w:t>
      </w:r>
      <w:r w:rsidRPr="00D71E5A">
        <w:t xml:space="preserve"> issue]</w:t>
      </w:r>
    </w:p>
    <w:p w14:paraId="788BCA97" w14:textId="77777777" w:rsidR="003675A0" w:rsidRPr="00FA1558" w:rsidRDefault="003675A0" w:rsidP="003675A0">
      <w:pPr>
        <w:spacing w:after="0"/>
        <w:rPr>
          <w:rFonts w:cs="Arial"/>
        </w:rPr>
        <w:sectPr w:rsidR="003675A0" w:rsidRPr="00FA1558" w:rsidSect="00F57F84">
          <w:pgSz w:w="11920" w:h="16840"/>
          <w:pgMar w:top="1440" w:right="863" w:bottom="1440" w:left="1440" w:header="720" w:footer="282" w:gutter="0"/>
          <w:cols w:space="720"/>
        </w:sectPr>
      </w:pPr>
    </w:p>
    <w:tbl>
      <w:tblPr>
        <w:tblStyle w:val="TableGrid"/>
        <w:tblW w:w="13892" w:type="dxa"/>
        <w:tblLook w:val="04A0" w:firstRow="1" w:lastRow="0" w:firstColumn="1" w:lastColumn="0" w:noHBand="0" w:noVBand="1"/>
      </w:tblPr>
      <w:tblGrid>
        <w:gridCol w:w="13892"/>
      </w:tblGrid>
      <w:tr w:rsidR="003675A0" w:rsidRPr="00CB5278" w14:paraId="50F26662" w14:textId="77777777" w:rsidTr="004B7282">
        <w:tc>
          <w:tcPr>
            <w:tcW w:w="13950" w:type="dxa"/>
          </w:tcPr>
          <w:p w14:paraId="25E8041C" w14:textId="77777777" w:rsidR="003675A0" w:rsidRPr="001F420D" w:rsidRDefault="003675A0" w:rsidP="001F420D">
            <w:pPr>
              <w:pStyle w:val="TableContent"/>
              <w:rPr>
                <w:b/>
                <w:bCs/>
                <w:sz w:val="24"/>
              </w:rPr>
            </w:pPr>
            <w:r w:rsidRPr="001F420D">
              <w:rPr>
                <w:b/>
                <w:bCs/>
                <w:sz w:val="24"/>
              </w:rPr>
              <w:lastRenderedPageBreak/>
              <w:t xml:space="preserve">A local government may have its own evaluation process: These templates are merely examples which may be used. </w:t>
            </w:r>
          </w:p>
        </w:tc>
      </w:tr>
    </w:tbl>
    <w:p w14:paraId="7E4EB0FD" w14:textId="77777777" w:rsidR="003675A0" w:rsidRPr="00CB5278" w:rsidRDefault="36C68F44" w:rsidP="00D70B5C">
      <w:pPr>
        <w:pStyle w:val="BodyText"/>
      </w:pPr>
      <w:r>
        <w:t>Option 1: RFQ evaluation template</w:t>
      </w:r>
    </w:p>
    <w:p w14:paraId="2BE8CFA0" w14:textId="77777777" w:rsidR="003675A0" w:rsidRPr="00CB5278" w:rsidRDefault="003675A0" w:rsidP="00D70B5C">
      <w:pPr>
        <w:pStyle w:val="BodyText"/>
      </w:pPr>
      <w:r w:rsidRPr="00CB5278">
        <w:t>Names of assessors:</w:t>
      </w:r>
    </w:p>
    <w:p w14:paraId="1D71EE64" w14:textId="77777777" w:rsidR="003675A0" w:rsidRPr="00CB5278" w:rsidRDefault="003675A0" w:rsidP="00D70B5C">
      <w:pPr>
        <w:pStyle w:val="BodyText"/>
      </w:pPr>
      <w:r w:rsidRPr="00CB5278">
        <w:t>Position:</w:t>
      </w:r>
    </w:p>
    <w:p w14:paraId="36D32DD2" w14:textId="77777777" w:rsidR="003675A0" w:rsidRPr="00CB5278" w:rsidRDefault="003675A0" w:rsidP="00D70B5C">
      <w:pPr>
        <w:pStyle w:val="BodyText"/>
      </w:pPr>
      <w:r w:rsidRPr="00CB5278">
        <w:t>Date:</w:t>
      </w:r>
    </w:p>
    <w:p w14:paraId="5E91B3AB" w14:textId="77777777" w:rsidR="003675A0" w:rsidRPr="00CB5278" w:rsidRDefault="003675A0" w:rsidP="00D70B5C">
      <w:pPr>
        <w:pStyle w:val="BodyText"/>
      </w:pPr>
      <w:r w:rsidRPr="00CB5278">
        <w:t>Ref: Provision of asset valuation services</w:t>
      </w:r>
    </w:p>
    <w:tbl>
      <w:tblPr>
        <w:tblStyle w:val="TableGrid"/>
        <w:tblW w:w="13892" w:type="dxa"/>
        <w:tblLook w:val="04A0" w:firstRow="1" w:lastRow="0" w:firstColumn="1" w:lastColumn="0" w:noHBand="0" w:noVBand="1"/>
      </w:tblPr>
      <w:tblGrid>
        <w:gridCol w:w="1067"/>
        <w:gridCol w:w="6876"/>
        <w:gridCol w:w="1097"/>
        <w:gridCol w:w="3741"/>
        <w:gridCol w:w="1111"/>
      </w:tblGrid>
      <w:tr w:rsidR="003675A0" w:rsidRPr="00CB5278" w14:paraId="467A2014" w14:textId="77777777" w:rsidTr="004B7282">
        <w:trPr>
          <w:tblHeader/>
        </w:trPr>
        <w:tc>
          <w:tcPr>
            <w:tcW w:w="1067" w:type="dxa"/>
            <w:tcBorders>
              <w:bottom w:val="single" w:sz="4" w:space="0" w:color="auto"/>
            </w:tcBorders>
            <w:shd w:val="clear" w:color="auto" w:fill="F2F2F2" w:themeFill="background1" w:themeFillShade="F2"/>
          </w:tcPr>
          <w:p w14:paraId="16A693EB" w14:textId="77777777" w:rsidR="003675A0" w:rsidRPr="00C01C0D" w:rsidRDefault="003675A0" w:rsidP="00C01C0D">
            <w:pPr>
              <w:pStyle w:val="TableContent"/>
              <w:rPr>
                <w:b/>
                <w:bCs/>
                <w:sz w:val="24"/>
              </w:rPr>
            </w:pPr>
            <w:r w:rsidRPr="00C01C0D">
              <w:rPr>
                <w:b/>
                <w:bCs/>
                <w:sz w:val="24"/>
              </w:rPr>
              <w:t>#</w:t>
            </w:r>
          </w:p>
        </w:tc>
        <w:tc>
          <w:tcPr>
            <w:tcW w:w="6876" w:type="dxa"/>
            <w:tcBorders>
              <w:bottom w:val="single" w:sz="4" w:space="0" w:color="auto"/>
            </w:tcBorders>
            <w:shd w:val="clear" w:color="auto" w:fill="F2F2F2" w:themeFill="background1" w:themeFillShade="F2"/>
          </w:tcPr>
          <w:p w14:paraId="0F856E53" w14:textId="77777777" w:rsidR="003675A0" w:rsidRPr="00C01C0D" w:rsidRDefault="003675A0" w:rsidP="00C01C0D">
            <w:pPr>
              <w:pStyle w:val="TableContent"/>
              <w:rPr>
                <w:b/>
                <w:bCs/>
                <w:sz w:val="24"/>
              </w:rPr>
            </w:pPr>
            <w:r w:rsidRPr="00C01C0D">
              <w:rPr>
                <w:b/>
                <w:bCs/>
                <w:sz w:val="24"/>
              </w:rPr>
              <w:t>Criteria</w:t>
            </w:r>
          </w:p>
        </w:tc>
        <w:tc>
          <w:tcPr>
            <w:tcW w:w="1097" w:type="dxa"/>
            <w:tcBorders>
              <w:bottom w:val="single" w:sz="4" w:space="0" w:color="auto"/>
            </w:tcBorders>
            <w:shd w:val="clear" w:color="auto" w:fill="F2F2F2" w:themeFill="background1" w:themeFillShade="F2"/>
          </w:tcPr>
          <w:p w14:paraId="0CE6125D" w14:textId="77777777" w:rsidR="003675A0" w:rsidRPr="00C01C0D" w:rsidRDefault="003675A0" w:rsidP="00C01C0D">
            <w:pPr>
              <w:pStyle w:val="TableContent"/>
              <w:rPr>
                <w:b/>
                <w:bCs/>
                <w:sz w:val="24"/>
              </w:rPr>
            </w:pPr>
            <w:r w:rsidRPr="00C01C0D">
              <w:rPr>
                <w:b/>
                <w:bCs/>
                <w:sz w:val="24"/>
              </w:rPr>
              <w:t>Okay</w:t>
            </w:r>
          </w:p>
        </w:tc>
        <w:tc>
          <w:tcPr>
            <w:tcW w:w="3741" w:type="dxa"/>
            <w:tcBorders>
              <w:bottom w:val="single" w:sz="4" w:space="0" w:color="auto"/>
            </w:tcBorders>
            <w:shd w:val="clear" w:color="auto" w:fill="F2F2F2" w:themeFill="background1" w:themeFillShade="F2"/>
          </w:tcPr>
          <w:p w14:paraId="715B33B4" w14:textId="77777777" w:rsidR="003675A0" w:rsidRPr="00C01C0D" w:rsidRDefault="003675A0" w:rsidP="00C01C0D">
            <w:pPr>
              <w:pStyle w:val="TableContent"/>
              <w:rPr>
                <w:b/>
                <w:bCs/>
                <w:sz w:val="24"/>
              </w:rPr>
            </w:pPr>
            <w:r w:rsidRPr="00C01C0D">
              <w:rPr>
                <w:b/>
                <w:bCs/>
                <w:sz w:val="24"/>
              </w:rPr>
              <w:t>Comments</w:t>
            </w:r>
          </w:p>
        </w:tc>
        <w:tc>
          <w:tcPr>
            <w:tcW w:w="1111" w:type="dxa"/>
            <w:tcBorders>
              <w:bottom w:val="single" w:sz="4" w:space="0" w:color="auto"/>
            </w:tcBorders>
            <w:shd w:val="clear" w:color="auto" w:fill="F2F2F2" w:themeFill="background1" w:themeFillShade="F2"/>
          </w:tcPr>
          <w:p w14:paraId="52DB69E4" w14:textId="77777777" w:rsidR="003675A0" w:rsidRPr="00C01C0D" w:rsidRDefault="003675A0" w:rsidP="00C01C0D">
            <w:pPr>
              <w:pStyle w:val="TableContent"/>
              <w:rPr>
                <w:b/>
                <w:bCs/>
                <w:sz w:val="24"/>
              </w:rPr>
            </w:pPr>
            <w:r w:rsidRPr="00C01C0D">
              <w:rPr>
                <w:b/>
                <w:bCs/>
                <w:sz w:val="24"/>
              </w:rPr>
              <w:t>Score</w:t>
            </w:r>
          </w:p>
        </w:tc>
      </w:tr>
      <w:tr w:rsidR="003675A0" w:rsidRPr="00CB5278" w14:paraId="2F12F62D" w14:textId="77777777" w:rsidTr="004B7282">
        <w:tc>
          <w:tcPr>
            <w:tcW w:w="1067" w:type="dxa"/>
            <w:vAlign w:val="center"/>
          </w:tcPr>
          <w:p w14:paraId="562D6758" w14:textId="77777777" w:rsidR="003675A0" w:rsidRPr="00C01C0D" w:rsidRDefault="003675A0" w:rsidP="00C01C0D">
            <w:pPr>
              <w:pStyle w:val="TableContent"/>
              <w:rPr>
                <w:b/>
                <w:bCs/>
                <w:sz w:val="24"/>
              </w:rPr>
            </w:pPr>
            <w:r w:rsidRPr="00C01C0D">
              <w:rPr>
                <w:b/>
                <w:bCs/>
                <w:sz w:val="24"/>
              </w:rPr>
              <w:t>1</w:t>
            </w:r>
          </w:p>
        </w:tc>
        <w:tc>
          <w:tcPr>
            <w:tcW w:w="6876" w:type="dxa"/>
            <w:vAlign w:val="center"/>
          </w:tcPr>
          <w:p w14:paraId="26E29122" w14:textId="77777777" w:rsidR="003675A0" w:rsidRPr="00C01C0D" w:rsidRDefault="003675A0" w:rsidP="00C01C0D">
            <w:pPr>
              <w:pStyle w:val="TableContent"/>
              <w:rPr>
                <w:b/>
                <w:bCs/>
                <w:sz w:val="24"/>
              </w:rPr>
            </w:pPr>
            <w:r w:rsidRPr="00C01C0D">
              <w:rPr>
                <w:b/>
                <w:bCs/>
                <w:sz w:val="24"/>
              </w:rPr>
              <w:t>Meet timelines</w:t>
            </w:r>
          </w:p>
        </w:tc>
        <w:tc>
          <w:tcPr>
            <w:tcW w:w="1097" w:type="dxa"/>
            <w:vAlign w:val="center"/>
          </w:tcPr>
          <w:p w14:paraId="5CE689FC" w14:textId="77777777" w:rsidR="003675A0" w:rsidRPr="00C01C0D" w:rsidRDefault="003675A0" w:rsidP="00C01C0D">
            <w:pPr>
              <w:pStyle w:val="TableContent"/>
              <w:rPr>
                <w:b/>
                <w:bCs/>
                <w:sz w:val="24"/>
              </w:rPr>
            </w:pPr>
          </w:p>
        </w:tc>
        <w:tc>
          <w:tcPr>
            <w:tcW w:w="3741" w:type="dxa"/>
            <w:vAlign w:val="center"/>
          </w:tcPr>
          <w:p w14:paraId="13487113" w14:textId="77777777" w:rsidR="003675A0" w:rsidRPr="00C01C0D" w:rsidRDefault="003675A0" w:rsidP="00C01C0D">
            <w:pPr>
              <w:pStyle w:val="TableContent"/>
              <w:rPr>
                <w:b/>
                <w:bCs/>
                <w:sz w:val="24"/>
              </w:rPr>
            </w:pPr>
          </w:p>
        </w:tc>
        <w:tc>
          <w:tcPr>
            <w:tcW w:w="1111" w:type="dxa"/>
            <w:vAlign w:val="center"/>
          </w:tcPr>
          <w:p w14:paraId="5D26A84A" w14:textId="77777777" w:rsidR="003675A0" w:rsidRPr="00C01C0D" w:rsidRDefault="003675A0" w:rsidP="00C01C0D">
            <w:pPr>
              <w:pStyle w:val="TableContent"/>
              <w:rPr>
                <w:b/>
                <w:bCs/>
                <w:sz w:val="24"/>
              </w:rPr>
            </w:pPr>
            <w:r w:rsidRPr="00C01C0D">
              <w:rPr>
                <w:b/>
                <w:bCs/>
                <w:sz w:val="24"/>
              </w:rPr>
              <w:t>[Yes/no]</w:t>
            </w:r>
          </w:p>
        </w:tc>
      </w:tr>
      <w:tr w:rsidR="003675A0" w:rsidRPr="00CB5278" w14:paraId="7A1F1D0F" w14:textId="77777777" w:rsidTr="004B7282">
        <w:tc>
          <w:tcPr>
            <w:tcW w:w="1067" w:type="dxa"/>
            <w:vAlign w:val="center"/>
          </w:tcPr>
          <w:p w14:paraId="057AE748" w14:textId="77777777" w:rsidR="003675A0" w:rsidRPr="00C01C0D" w:rsidRDefault="003675A0" w:rsidP="00C01C0D">
            <w:pPr>
              <w:pStyle w:val="TableContent"/>
              <w:rPr>
                <w:b/>
                <w:bCs/>
                <w:sz w:val="24"/>
              </w:rPr>
            </w:pPr>
            <w:r w:rsidRPr="00C01C0D">
              <w:rPr>
                <w:b/>
                <w:bCs/>
                <w:sz w:val="24"/>
              </w:rPr>
              <w:t>2</w:t>
            </w:r>
          </w:p>
        </w:tc>
        <w:tc>
          <w:tcPr>
            <w:tcW w:w="6876" w:type="dxa"/>
            <w:vAlign w:val="center"/>
          </w:tcPr>
          <w:p w14:paraId="57075AD8" w14:textId="77777777" w:rsidR="003675A0" w:rsidRPr="00C01C0D" w:rsidRDefault="003675A0" w:rsidP="00C01C0D">
            <w:pPr>
              <w:pStyle w:val="TableContent"/>
              <w:rPr>
                <w:b/>
                <w:bCs/>
                <w:sz w:val="24"/>
              </w:rPr>
            </w:pPr>
            <w:r w:rsidRPr="00C01C0D">
              <w:rPr>
                <w:b/>
                <w:bCs/>
                <w:sz w:val="24"/>
              </w:rPr>
              <w:t>Insurance coverage</w:t>
            </w:r>
          </w:p>
        </w:tc>
        <w:tc>
          <w:tcPr>
            <w:tcW w:w="1097" w:type="dxa"/>
            <w:vAlign w:val="center"/>
          </w:tcPr>
          <w:p w14:paraId="5034F852" w14:textId="77777777" w:rsidR="003675A0" w:rsidRPr="00C01C0D" w:rsidRDefault="003675A0" w:rsidP="00C01C0D">
            <w:pPr>
              <w:pStyle w:val="TableContent"/>
              <w:rPr>
                <w:b/>
                <w:bCs/>
                <w:sz w:val="24"/>
              </w:rPr>
            </w:pPr>
          </w:p>
        </w:tc>
        <w:tc>
          <w:tcPr>
            <w:tcW w:w="3741" w:type="dxa"/>
            <w:vAlign w:val="center"/>
          </w:tcPr>
          <w:p w14:paraId="1B273231" w14:textId="77777777" w:rsidR="003675A0" w:rsidRPr="00C01C0D" w:rsidRDefault="003675A0" w:rsidP="00C01C0D">
            <w:pPr>
              <w:pStyle w:val="TableContent"/>
              <w:rPr>
                <w:b/>
                <w:bCs/>
                <w:sz w:val="24"/>
              </w:rPr>
            </w:pPr>
          </w:p>
        </w:tc>
        <w:tc>
          <w:tcPr>
            <w:tcW w:w="1111" w:type="dxa"/>
            <w:vAlign w:val="center"/>
          </w:tcPr>
          <w:p w14:paraId="49BD3174" w14:textId="77777777" w:rsidR="003675A0" w:rsidRPr="00C01C0D" w:rsidRDefault="003675A0" w:rsidP="00C01C0D">
            <w:pPr>
              <w:pStyle w:val="TableContent"/>
              <w:rPr>
                <w:b/>
                <w:bCs/>
                <w:sz w:val="24"/>
              </w:rPr>
            </w:pPr>
            <w:r w:rsidRPr="00C01C0D">
              <w:rPr>
                <w:b/>
                <w:bCs/>
                <w:sz w:val="24"/>
              </w:rPr>
              <w:t>[Yes/no]</w:t>
            </w:r>
          </w:p>
        </w:tc>
      </w:tr>
      <w:tr w:rsidR="003675A0" w:rsidRPr="00CB5278" w14:paraId="6588B0E3" w14:textId="77777777" w:rsidTr="004B7282">
        <w:tc>
          <w:tcPr>
            <w:tcW w:w="1067" w:type="dxa"/>
            <w:vAlign w:val="center"/>
          </w:tcPr>
          <w:p w14:paraId="16AAB433" w14:textId="77777777" w:rsidR="003675A0" w:rsidRPr="00C01C0D" w:rsidRDefault="003675A0" w:rsidP="00C01C0D">
            <w:pPr>
              <w:pStyle w:val="TableContent"/>
              <w:rPr>
                <w:b/>
                <w:bCs/>
                <w:sz w:val="24"/>
              </w:rPr>
            </w:pPr>
            <w:r w:rsidRPr="00C01C0D">
              <w:rPr>
                <w:b/>
                <w:bCs/>
                <w:sz w:val="24"/>
              </w:rPr>
              <w:t>3</w:t>
            </w:r>
          </w:p>
        </w:tc>
        <w:tc>
          <w:tcPr>
            <w:tcW w:w="6876" w:type="dxa"/>
            <w:vAlign w:val="center"/>
          </w:tcPr>
          <w:p w14:paraId="2DCFC3CC" w14:textId="77777777" w:rsidR="003675A0" w:rsidRPr="00C01C0D" w:rsidRDefault="003675A0" w:rsidP="00C01C0D">
            <w:pPr>
              <w:pStyle w:val="TableContent"/>
              <w:rPr>
                <w:b/>
                <w:bCs/>
                <w:sz w:val="24"/>
              </w:rPr>
            </w:pPr>
            <w:r w:rsidRPr="00C01C0D">
              <w:rPr>
                <w:b/>
                <w:bCs/>
                <w:sz w:val="24"/>
              </w:rPr>
              <w:t>Value for money</w:t>
            </w:r>
          </w:p>
        </w:tc>
        <w:tc>
          <w:tcPr>
            <w:tcW w:w="1097" w:type="dxa"/>
            <w:vAlign w:val="center"/>
          </w:tcPr>
          <w:p w14:paraId="16973697" w14:textId="77777777" w:rsidR="003675A0" w:rsidRPr="00C01C0D" w:rsidRDefault="003675A0" w:rsidP="00C01C0D">
            <w:pPr>
              <w:pStyle w:val="TableContent"/>
              <w:rPr>
                <w:b/>
                <w:bCs/>
                <w:sz w:val="24"/>
              </w:rPr>
            </w:pPr>
          </w:p>
        </w:tc>
        <w:tc>
          <w:tcPr>
            <w:tcW w:w="3741" w:type="dxa"/>
            <w:vAlign w:val="center"/>
          </w:tcPr>
          <w:p w14:paraId="4215EB4A" w14:textId="77777777" w:rsidR="003675A0" w:rsidRPr="00C01C0D" w:rsidRDefault="003675A0" w:rsidP="00C01C0D">
            <w:pPr>
              <w:pStyle w:val="TableContent"/>
              <w:rPr>
                <w:b/>
                <w:bCs/>
                <w:sz w:val="24"/>
              </w:rPr>
            </w:pPr>
          </w:p>
        </w:tc>
        <w:tc>
          <w:tcPr>
            <w:tcW w:w="1111" w:type="dxa"/>
            <w:vAlign w:val="center"/>
          </w:tcPr>
          <w:p w14:paraId="5DF044B5" w14:textId="77777777" w:rsidR="003675A0" w:rsidRPr="00C01C0D" w:rsidRDefault="003675A0" w:rsidP="00C01C0D">
            <w:pPr>
              <w:pStyle w:val="TableContent"/>
              <w:rPr>
                <w:b/>
                <w:bCs/>
                <w:sz w:val="24"/>
              </w:rPr>
            </w:pPr>
            <w:r w:rsidRPr="00C01C0D">
              <w:rPr>
                <w:b/>
                <w:bCs/>
                <w:sz w:val="24"/>
              </w:rPr>
              <w:t>[x/20%]</w:t>
            </w:r>
          </w:p>
        </w:tc>
      </w:tr>
      <w:tr w:rsidR="003675A0" w:rsidRPr="00CB5278" w14:paraId="20BFE551" w14:textId="77777777" w:rsidTr="004B7282">
        <w:tc>
          <w:tcPr>
            <w:tcW w:w="1067" w:type="dxa"/>
            <w:vMerge w:val="restart"/>
            <w:vAlign w:val="center"/>
          </w:tcPr>
          <w:p w14:paraId="47F6EC33" w14:textId="77777777" w:rsidR="003675A0" w:rsidRPr="00C01C0D" w:rsidRDefault="003675A0" w:rsidP="00C01C0D">
            <w:pPr>
              <w:pStyle w:val="TableContent"/>
              <w:rPr>
                <w:b/>
                <w:bCs/>
                <w:sz w:val="24"/>
              </w:rPr>
            </w:pPr>
            <w:r w:rsidRPr="00C01C0D">
              <w:rPr>
                <w:b/>
                <w:bCs/>
                <w:sz w:val="24"/>
              </w:rPr>
              <w:t>4</w:t>
            </w:r>
          </w:p>
          <w:p w14:paraId="66D04468" w14:textId="77777777" w:rsidR="003675A0" w:rsidRPr="00C01C0D" w:rsidRDefault="003675A0" w:rsidP="00C01C0D">
            <w:pPr>
              <w:pStyle w:val="TableContent"/>
              <w:rPr>
                <w:b/>
                <w:bCs/>
                <w:sz w:val="24"/>
              </w:rPr>
            </w:pPr>
          </w:p>
          <w:p w14:paraId="5EDD287D" w14:textId="77777777" w:rsidR="003675A0" w:rsidRPr="00C01C0D" w:rsidRDefault="003675A0" w:rsidP="00C01C0D">
            <w:pPr>
              <w:pStyle w:val="TableContent"/>
              <w:rPr>
                <w:b/>
                <w:bCs/>
                <w:sz w:val="24"/>
              </w:rPr>
            </w:pPr>
          </w:p>
          <w:p w14:paraId="65673407" w14:textId="77777777" w:rsidR="003675A0" w:rsidRPr="00C01C0D" w:rsidRDefault="003675A0" w:rsidP="00C01C0D">
            <w:pPr>
              <w:pStyle w:val="TableContent"/>
              <w:rPr>
                <w:b/>
                <w:bCs/>
                <w:sz w:val="24"/>
              </w:rPr>
            </w:pPr>
          </w:p>
          <w:p w14:paraId="4343CA9B" w14:textId="77777777" w:rsidR="003675A0" w:rsidRPr="00C01C0D" w:rsidRDefault="003675A0" w:rsidP="00C01C0D">
            <w:pPr>
              <w:pStyle w:val="TableContent"/>
              <w:rPr>
                <w:b/>
                <w:bCs/>
                <w:sz w:val="24"/>
              </w:rPr>
            </w:pPr>
          </w:p>
          <w:p w14:paraId="1AC082E3" w14:textId="77777777" w:rsidR="003675A0" w:rsidRPr="00C01C0D" w:rsidRDefault="003675A0" w:rsidP="00C01C0D">
            <w:pPr>
              <w:pStyle w:val="TableContent"/>
              <w:rPr>
                <w:b/>
                <w:bCs/>
                <w:sz w:val="24"/>
              </w:rPr>
            </w:pPr>
          </w:p>
          <w:p w14:paraId="666A0B7D" w14:textId="77777777" w:rsidR="003675A0" w:rsidRPr="00C01C0D" w:rsidRDefault="003675A0" w:rsidP="00C01C0D">
            <w:pPr>
              <w:pStyle w:val="TableContent"/>
              <w:rPr>
                <w:b/>
                <w:bCs/>
                <w:sz w:val="24"/>
              </w:rPr>
            </w:pPr>
          </w:p>
          <w:p w14:paraId="0D47B020" w14:textId="77777777" w:rsidR="003675A0" w:rsidRPr="00C01C0D" w:rsidRDefault="003675A0" w:rsidP="00C01C0D">
            <w:pPr>
              <w:pStyle w:val="TableContent"/>
              <w:rPr>
                <w:b/>
                <w:bCs/>
                <w:sz w:val="24"/>
              </w:rPr>
            </w:pPr>
          </w:p>
          <w:p w14:paraId="123C7CD1" w14:textId="77777777" w:rsidR="003675A0" w:rsidRPr="00C01C0D" w:rsidRDefault="003675A0" w:rsidP="00C01C0D">
            <w:pPr>
              <w:pStyle w:val="TableContent"/>
              <w:rPr>
                <w:b/>
                <w:bCs/>
                <w:sz w:val="24"/>
              </w:rPr>
            </w:pPr>
          </w:p>
          <w:p w14:paraId="358D1274" w14:textId="77777777" w:rsidR="003675A0" w:rsidRPr="00C01C0D" w:rsidRDefault="003675A0" w:rsidP="00C01C0D">
            <w:pPr>
              <w:pStyle w:val="TableContent"/>
              <w:rPr>
                <w:b/>
                <w:bCs/>
                <w:sz w:val="24"/>
              </w:rPr>
            </w:pPr>
          </w:p>
          <w:p w14:paraId="0009AC49" w14:textId="77777777" w:rsidR="003675A0" w:rsidRPr="00C01C0D" w:rsidRDefault="003675A0" w:rsidP="00C01C0D">
            <w:pPr>
              <w:pStyle w:val="TableContent"/>
              <w:rPr>
                <w:b/>
                <w:bCs/>
                <w:sz w:val="24"/>
              </w:rPr>
            </w:pPr>
          </w:p>
          <w:p w14:paraId="0E230C38" w14:textId="77777777" w:rsidR="003675A0" w:rsidRPr="00C01C0D" w:rsidRDefault="003675A0" w:rsidP="00C01C0D">
            <w:pPr>
              <w:pStyle w:val="TableContent"/>
              <w:rPr>
                <w:b/>
                <w:bCs/>
                <w:sz w:val="24"/>
              </w:rPr>
            </w:pPr>
          </w:p>
          <w:p w14:paraId="71986D73" w14:textId="77777777" w:rsidR="003675A0" w:rsidRPr="00C01C0D" w:rsidRDefault="003675A0" w:rsidP="00C01C0D">
            <w:pPr>
              <w:pStyle w:val="TableContent"/>
              <w:rPr>
                <w:b/>
                <w:bCs/>
                <w:sz w:val="24"/>
              </w:rPr>
            </w:pPr>
          </w:p>
          <w:p w14:paraId="7FABC99B" w14:textId="77777777" w:rsidR="003675A0" w:rsidRPr="00C01C0D" w:rsidRDefault="003675A0" w:rsidP="00C01C0D">
            <w:pPr>
              <w:pStyle w:val="TableContent"/>
              <w:rPr>
                <w:b/>
                <w:bCs/>
                <w:sz w:val="24"/>
              </w:rPr>
            </w:pPr>
          </w:p>
          <w:p w14:paraId="7C623E9C" w14:textId="77777777" w:rsidR="003675A0" w:rsidRPr="00C01C0D" w:rsidRDefault="003675A0" w:rsidP="00C01C0D">
            <w:pPr>
              <w:pStyle w:val="TableContent"/>
              <w:rPr>
                <w:b/>
                <w:bCs/>
                <w:sz w:val="24"/>
              </w:rPr>
            </w:pPr>
          </w:p>
          <w:p w14:paraId="6008D7E3" w14:textId="77777777" w:rsidR="003675A0" w:rsidRPr="00C01C0D" w:rsidRDefault="003675A0" w:rsidP="00C01C0D">
            <w:pPr>
              <w:pStyle w:val="TableContent"/>
              <w:rPr>
                <w:b/>
                <w:bCs/>
                <w:sz w:val="24"/>
              </w:rPr>
            </w:pPr>
          </w:p>
          <w:p w14:paraId="4E4F0AFD" w14:textId="77777777" w:rsidR="003675A0" w:rsidRPr="00C01C0D" w:rsidRDefault="003675A0" w:rsidP="00C01C0D">
            <w:pPr>
              <w:pStyle w:val="TableContent"/>
              <w:rPr>
                <w:b/>
                <w:bCs/>
                <w:sz w:val="24"/>
              </w:rPr>
            </w:pPr>
          </w:p>
          <w:p w14:paraId="4965587D" w14:textId="77777777" w:rsidR="003675A0" w:rsidRPr="00C01C0D" w:rsidRDefault="003675A0" w:rsidP="00C01C0D">
            <w:pPr>
              <w:pStyle w:val="TableContent"/>
              <w:rPr>
                <w:b/>
                <w:bCs/>
                <w:sz w:val="24"/>
              </w:rPr>
            </w:pPr>
          </w:p>
        </w:tc>
        <w:tc>
          <w:tcPr>
            <w:tcW w:w="6876" w:type="dxa"/>
            <w:vAlign w:val="center"/>
          </w:tcPr>
          <w:p w14:paraId="50007F50" w14:textId="5E063E66" w:rsidR="003675A0" w:rsidRPr="00C01C0D" w:rsidRDefault="003675A0" w:rsidP="00C01C0D">
            <w:pPr>
              <w:pStyle w:val="TableContent"/>
              <w:rPr>
                <w:b/>
                <w:bCs/>
                <w:sz w:val="24"/>
              </w:rPr>
            </w:pPr>
            <w:r w:rsidRPr="00D71E5A">
              <w:rPr>
                <w:b/>
                <w:bCs/>
                <w:color w:val="auto"/>
                <w:spacing w:val="-6"/>
                <w:sz w:val="24"/>
              </w:rPr>
              <w:lastRenderedPageBreak/>
              <w:t>Methodology (including full compliance and timeframe)</w:t>
            </w:r>
          </w:p>
        </w:tc>
        <w:tc>
          <w:tcPr>
            <w:tcW w:w="1097" w:type="dxa"/>
            <w:vAlign w:val="center"/>
          </w:tcPr>
          <w:p w14:paraId="3E20F9FA" w14:textId="77777777" w:rsidR="003675A0" w:rsidRPr="00C01C0D" w:rsidRDefault="003675A0" w:rsidP="00C01C0D">
            <w:pPr>
              <w:pStyle w:val="TableContent"/>
              <w:rPr>
                <w:b/>
                <w:bCs/>
                <w:sz w:val="24"/>
              </w:rPr>
            </w:pPr>
          </w:p>
        </w:tc>
        <w:tc>
          <w:tcPr>
            <w:tcW w:w="3741" w:type="dxa"/>
            <w:vAlign w:val="center"/>
          </w:tcPr>
          <w:p w14:paraId="1222C477" w14:textId="77777777" w:rsidR="003675A0" w:rsidRPr="00C01C0D" w:rsidRDefault="003675A0" w:rsidP="00C01C0D">
            <w:pPr>
              <w:pStyle w:val="TableContent"/>
              <w:rPr>
                <w:b/>
                <w:bCs/>
                <w:sz w:val="24"/>
              </w:rPr>
            </w:pPr>
          </w:p>
        </w:tc>
        <w:tc>
          <w:tcPr>
            <w:tcW w:w="1111" w:type="dxa"/>
            <w:vAlign w:val="center"/>
          </w:tcPr>
          <w:p w14:paraId="5AD7B822" w14:textId="77777777" w:rsidR="003675A0" w:rsidRPr="00C01C0D" w:rsidRDefault="003675A0" w:rsidP="00C01C0D">
            <w:pPr>
              <w:pStyle w:val="TableContent"/>
              <w:rPr>
                <w:b/>
                <w:bCs/>
                <w:sz w:val="24"/>
              </w:rPr>
            </w:pPr>
            <w:r w:rsidRPr="00C01C0D">
              <w:rPr>
                <w:b/>
                <w:bCs/>
                <w:sz w:val="24"/>
              </w:rPr>
              <w:t>[x/40%]</w:t>
            </w:r>
          </w:p>
        </w:tc>
      </w:tr>
      <w:tr w:rsidR="003675A0" w:rsidRPr="00CB5278" w14:paraId="58F45EE3" w14:textId="77777777" w:rsidTr="004B7282">
        <w:tc>
          <w:tcPr>
            <w:tcW w:w="1067" w:type="dxa"/>
            <w:vMerge/>
            <w:vAlign w:val="center"/>
          </w:tcPr>
          <w:p w14:paraId="7CCD1CA7" w14:textId="77777777" w:rsidR="003675A0" w:rsidRPr="00C01C0D" w:rsidRDefault="003675A0" w:rsidP="00C01C0D">
            <w:pPr>
              <w:pStyle w:val="TableContent"/>
              <w:rPr>
                <w:sz w:val="24"/>
              </w:rPr>
            </w:pPr>
          </w:p>
        </w:tc>
        <w:tc>
          <w:tcPr>
            <w:tcW w:w="6876" w:type="dxa"/>
            <w:vAlign w:val="center"/>
          </w:tcPr>
          <w:p w14:paraId="63D136C4" w14:textId="77777777" w:rsidR="003675A0" w:rsidRPr="00C01C0D" w:rsidRDefault="003675A0">
            <w:pPr>
              <w:pStyle w:val="TableContent"/>
              <w:numPr>
                <w:ilvl w:val="0"/>
                <w:numId w:val="123"/>
              </w:numPr>
              <w:rPr>
                <w:sz w:val="24"/>
              </w:rPr>
            </w:pPr>
            <w:r w:rsidRPr="00C01C0D">
              <w:rPr>
                <w:sz w:val="24"/>
              </w:rPr>
              <w:t>satisfies all requirements of services to be provided</w:t>
            </w:r>
          </w:p>
        </w:tc>
        <w:tc>
          <w:tcPr>
            <w:tcW w:w="1097" w:type="dxa"/>
            <w:vAlign w:val="center"/>
          </w:tcPr>
          <w:p w14:paraId="6C2EE008" w14:textId="77777777" w:rsidR="003675A0" w:rsidRPr="00C01C0D" w:rsidRDefault="003675A0" w:rsidP="00C01C0D">
            <w:pPr>
              <w:pStyle w:val="TableContent"/>
              <w:rPr>
                <w:sz w:val="24"/>
              </w:rPr>
            </w:pPr>
          </w:p>
        </w:tc>
        <w:tc>
          <w:tcPr>
            <w:tcW w:w="3741" w:type="dxa"/>
            <w:vAlign w:val="center"/>
          </w:tcPr>
          <w:p w14:paraId="5D558326" w14:textId="77777777" w:rsidR="003675A0" w:rsidRPr="00C01C0D" w:rsidRDefault="003675A0" w:rsidP="00C01C0D">
            <w:pPr>
              <w:pStyle w:val="TableContent"/>
              <w:rPr>
                <w:sz w:val="24"/>
              </w:rPr>
            </w:pPr>
          </w:p>
        </w:tc>
        <w:tc>
          <w:tcPr>
            <w:tcW w:w="1111" w:type="dxa"/>
            <w:vAlign w:val="center"/>
          </w:tcPr>
          <w:p w14:paraId="3495268A" w14:textId="77777777" w:rsidR="003675A0" w:rsidRPr="00C01C0D" w:rsidRDefault="003675A0" w:rsidP="00C01C0D">
            <w:pPr>
              <w:pStyle w:val="TableContent"/>
              <w:rPr>
                <w:sz w:val="24"/>
              </w:rPr>
            </w:pPr>
          </w:p>
        </w:tc>
      </w:tr>
      <w:tr w:rsidR="003675A0" w:rsidRPr="00CB5278" w14:paraId="2E8C0FF2" w14:textId="77777777" w:rsidTr="004B7282">
        <w:tc>
          <w:tcPr>
            <w:tcW w:w="1067" w:type="dxa"/>
            <w:vMerge/>
            <w:vAlign w:val="center"/>
          </w:tcPr>
          <w:p w14:paraId="31E913BE" w14:textId="77777777" w:rsidR="003675A0" w:rsidRPr="00C01C0D" w:rsidRDefault="003675A0" w:rsidP="00C01C0D">
            <w:pPr>
              <w:pStyle w:val="TableContent"/>
              <w:rPr>
                <w:sz w:val="24"/>
              </w:rPr>
            </w:pPr>
          </w:p>
        </w:tc>
        <w:tc>
          <w:tcPr>
            <w:tcW w:w="6876" w:type="dxa"/>
            <w:vAlign w:val="center"/>
          </w:tcPr>
          <w:p w14:paraId="55A71B5E" w14:textId="77777777" w:rsidR="003675A0" w:rsidRPr="00C01C0D" w:rsidRDefault="003675A0">
            <w:pPr>
              <w:pStyle w:val="TableContent"/>
              <w:numPr>
                <w:ilvl w:val="0"/>
                <w:numId w:val="123"/>
              </w:numPr>
              <w:rPr>
                <w:sz w:val="24"/>
              </w:rPr>
            </w:pPr>
            <w:r w:rsidRPr="00C01C0D">
              <w:rPr>
                <w:sz w:val="24"/>
              </w:rPr>
              <w:t>where required: market approach - is compliant with AASB 13 Fair Value Measurement (2022)</w:t>
            </w:r>
          </w:p>
        </w:tc>
        <w:tc>
          <w:tcPr>
            <w:tcW w:w="1097" w:type="dxa"/>
            <w:vAlign w:val="center"/>
          </w:tcPr>
          <w:p w14:paraId="06D1B999" w14:textId="77777777" w:rsidR="003675A0" w:rsidRPr="00C01C0D" w:rsidRDefault="003675A0" w:rsidP="00C01C0D">
            <w:pPr>
              <w:pStyle w:val="TableContent"/>
              <w:rPr>
                <w:sz w:val="24"/>
              </w:rPr>
            </w:pPr>
          </w:p>
        </w:tc>
        <w:tc>
          <w:tcPr>
            <w:tcW w:w="3741" w:type="dxa"/>
            <w:vAlign w:val="center"/>
          </w:tcPr>
          <w:p w14:paraId="36C9CAE5" w14:textId="77777777" w:rsidR="003675A0" w:rsidRPr="00C01C0D" w:rsidRDefault="003675A0" w:rsidP="00C01C0D">
            <w:pPr>
              <w:pStyle w:val="TableContent"/>
              <w:rPr>
                <w:sz w:val="24"/>
              </w:rPr>
            </w:pPr>
          </w:p>
        </w:tc>
        <w:tc>
          <w:tcPr>
            <w:tcW w:w="1111" w:type="dxa"/>
            <w:vAlign w:val="center"/>
          </w:tcPr>
          <w:p w14:paraId="76798263" w14:textId="77777777" w:rsidR="003675A0" w:rsidRPr="00C01C0D" w:rsidRDefault="003675A0" w:rsidP="00C01C0D">
            <w:pPr>
              <w:pStyle w:val="TableContent"/>
              <w:rPr>
                <w:sz w:val="24"/>
              </w:rPr>
            </w:pPr>
          </w:p>
        </w:tc>
      </w:tr>
      <w:tr w:rsidR="003675A0" w:rsidRPr="00CB5278" w14:paraId="3DBC4BFB" w14:textId="77777777" w:rsidTr="004B7282">
        <w:tc>
          <w:tcPr>
            <w:tcW w:w="1067" w:type="dxa"/>
            <w:vMerge/>
            <w:vAlign w:val="center"/>
          </w:tcPr>
          <w:p w14:paraId="4E4C73AE" w14:textId="77777777" w:rsidR="003675A0" w:rsidRPr="00C01C0D" w:rsidRDefault="003675A0" w:rsidP="00C01C0D">
            <w:pPr>
              <w:pStyle w:val="TableContent"/>
              <w:rPr>
                <w:sz w:val="24"/>
              </w:rPr>
            </w:pPr>
          </w:p>
        </w:tc>
        <w:tc>
          <w:tcPr>
            <w:tcW w:w="6876" w:type="dxa"/>
            <w:vAlign w:val="center"/>
          </w:tcPr>
          <w:p w14:paraId="65FEBFF6" w14:textId="77777777" w:rsidR="003675A0" w:rsidRPr="00C01C0D" w:rsidRDefault="003675A0">
            <w:pPr>
              <w:pStyle w:val="TableContent"/>
              <w:numPr>
                <w:ilvl w:val="0"/>
                <w:numId w:val="123"/>
              </w:numPr>
              <w:rPr>
                <w:sz w:val="24"/>
              </w:rPr>
            </w:pPr>
            <w:r w:rsidRPr="00C01C0D">
              <w:rPr>
                <w:sz w:val="24"/>
              </w:rPr>
              <w:t xml:space="preserve">where required: cost approach – is compliant with AASB13 Fair Value Measurement (2022) </w:t>
            </w:r>
          </w:p>
        </w:tc>
        <w:tc>
          <w:tcPr>
            <w:tcW w:w="1097" w:type="dxa"/>
            <w:vAlign w:val="center"/>
          </w:tcPr>
          <w:p w14:paraId="791733D4" w14:textId="77777777" w:rsidR="003675A0" w:rsidRPr="00C01C0D" w:rsidRDefault="003675A0" w:rsidP="00C01C0D">
            <w:pPr>
              <w:pStyle w:val="TableContent"/>
              <w:rPr>
                <w:sz w:val="24"/>
              </w:rPr>
            </w:pPr>
          </w:p>
        </w:tc>
        <w:tc>
          <w:tcPr>
            <w:tcW w:w="3741" w:type="dxa"/>
            <w:vAlign w:val="center"/>
          </w:tcPr>
          <w:p w14:paraId="0A2C48B3" w14:textId="77777777" w:rsidR="003675A0" w:rsidRPr="00C01C0D" w:rsidRDefault="003675A0" w:rsidP="00C01C0D">
            <w:pPr>
              <w:pStyle w:val="TableContent"/>
              <w:rPr>
                <w:sz w:val="24"/>
              </w:rPr>
            </w:pPr>
          </w:p>
        </w:tc>
        <w:tc>
          <w:tcPr>
            <w:tcW w:w="1111" w:type="dxa"/>
            <w:vAlign w:val="center"/>
          </w:tcPr>
          <w:p w14:paraId="5FEDB818" w14:textId="77777777" w:rsidR="003675A0" w:rsidRPr="00C01C0D" w:rsidRDefault="003675A0" w:rsidP="00C01C0D">
            <w:pPr>
              <w:pStyle w:val="TableContent"/>
              <w:rPr>
                <w:sz w:val="24"/>
              </w:rPr>
            </w:pPr>
          </w:p>
        </w:tc>
      </w:tr>
      <w:tr w:rsidR="003675A0" w:rsidRPr="00CB5278" w14:paraId="70E62D08" w14:textId="77777777" w:rsidTr="004B7282">
        <w:tc>
          <w:tcPr>
            <w:tcW w:w="1067" w:type="dxa"/>
            <w:vMerge/>
            <w:vAlign w:val="center"/>
          </w:tcPr>
          <w:p w14:paraId="7BBBBF29" w14:textId="77777777" w:rsidR="003675A0" w:rsidRPr="00C01C0D" w:rsidRDefault="003675A0" w:rsidP="00C01C0D">
            <w:pPr>
              <w:pStyle w:val="TableContent"/>
              <w:rPr>
                <w:sz w:val="24"/>
              </w:rPr>
            </w:pPr>
          </w:p>
        </w:tc>
        <w:tc>
          <w:tcPr>
            <w:tcW w:w="6876" w:type="dxa"/>
            <w:vAlign w:val="center"/>
          </w:tcPr>
          <w:p w14:paraId="6CA18612" w14:textId="77777777" w:rsidR="003675A0" w:rsidRPr="00C01C0D" w:rsidRDefault="003675A0">
            <w:pPr>
              <w:pStyle w:val="TableContent"/>
              <w:numPr>
                <w:ilvl w:val="0"/>
                <w:numId w:val="123"/>
              </w:numPr>
              <w:rPr>
                <w:sz w:val="24"/>
              </w:rPr>
            </w:pPr>
            <w:r w:rsidRPr="00C01C0D">
              <w:rPr>
                <w:sz w:val="24"/>
              </w:rPr>
              <w:t>cost approach is based on assessment of condition, obsolescence, the entity’s asset management strategies and other relevant factors</w:t>
            </w:r>
          </w:p>
        </w:tc>
        <w:tc>
          <w:tcPr>
            <w:tcW w:w="1097" w:type="dxa"/>
            <w:vAlign w:val="center"/>
          </w:tcPr>
          <w:p w14:paraId="0BA15C40" w14:textId="77777777" w:rsidR="003675A0" w:rsidRPr="00C01C0D" w:rsidRDefault="003675A0" w:rsidP="00C01C0D">
            <w:pPr>
              <w:pStyle w:val="TableContent"/>
              <w:rPr>
                <w:sz w:val="24"/>
              </w:rPr>
            </w:pPr>
          </w:p>
        </w:tc>
        <w:tc>
          <w:tcPr>
            <w:tcW w:w="3741" w:type="dxa"/>
            <w:vAlign w:val="center"/>
          </w:tcPr>
          <w:p w14:paraId="485CB288" w14:textId="77777777" w:rsidR="003675A0" w:rsidRPr="00C01C0D" w:rsidRDefault="003675A0" w:rsidP="00C01C0D">
            <w:pPr>
              <w:pStyle w:val="TableContent"/>
              <w:rPr>
                <w:sz w:val="24"/>
              </w:rPr>
            </w:pPr>
          </w:p>
        </w:tc>
        <w:tc>
          <w:tcPr>
            <w:tcW w:w="1111" w:type="dxa"/>
            <w:vAlign w:val="center"/>
          </w:tcPr>
          <w:p w14:paraId="2739D67C" w14:textId="77777777" w:rsidR="003675A0" w:rsidRPr="00C01C0D" w:rsidRDefault="003675A0" w:rsidP="00C01C0D">
            <w:pPr>
              <w:pStyle w:val="TableContent"/>
              <w:rPr>
                <w:sz w:val="24"/>
              </w:rPr>
            </w:pPr>
          </w:p>
        </w:tc>
      </w:tr>
      <w:tr w:rsidR="003675A0" w:rsidRPr="00CB5278" w14:paraId="6D5152C7" w14:textId="77777777" w:rsidTr="004B7282">
        <w:tc>
          <w:tcPr>
            <w:tcW w:w="1067" w:type="dxa"/>
            <w:vMerge/>
            <w:vAlign w:val="center"/>
          </w:tcPr>
          <w:p w14:paraId="495A91E1" w14:textId="77777777" w:rsidR="003675A0" w:rsidRPr="00C01C0D" w:rsidRDefault="003675A0" w:rsidP="00C01C0D">
            <w:pPr>
              <w:pStyle w:val="TableContent"/>
              <w:rPr>
                <w:sz w:val="24"/>
              </w:rPr>
            </w:pPr>
          </w:p>
        </w:tc>
        <w:tc>
          <w:tcPr>
            <w:tcW w:w="6876" w:type="dxa"/>
            <w:tcBorders>
              <w:bottom w:val="single" w:sz="4" w:space="0" w:color="auto"/>
            </w:tcBorders>
            <w:vAlign w:val="center"/>
          </w:tcPr>
          <w:p w14:paraId="4B6FF7C2" w14:textId="0E4888A5" w:rsidR="003675A0" w:rsidRPr="00C01C0D" w:rsidRDefault="003675A0">
            <w:pPr>
              <w:pStyle w:val="TableContent"/>
              <w:numPr>
                <w:ilvl w:val="0"/>
                <w:numId w:val="123"/>
              </w:numPr>
              <w:rPr>
                <w:sz w:val="24"/>
              </w:rPr>
            </w:pPr>
            <w:r w:rsidRPr="00C01C0D">
              <w:rPr>
                <w:sz w:val="24"/>
              </w:rPr>
              <w:t>where required: income approach - is compliant with AASB13 Fair Value Measurement (2022)</w:t>
            </w:r>
          </w:p>
        </w:tc>
        <w:tc>
          <w:tcPr>
            <w:tcW w:w="1097" w:type="dxa"/>
            <w:tcBorders>
              <w:bottom w:val="single" w:sz="4" w:space="0" w:color="auto"/>
            </w:tcBorders>
            <w:vAlign w:val="center"/>
          </w:tcPr>
          <w:p w14:paraId="2180BCF9" w14:textId="77777777" w:rsidR="003675A0" w:rsidRPr="00C01C0D" w:rsidRDefault="003675A0" w:rsidP="00C01C0D">
            <w:pPr>
              <w:pStyle w:val="TableContent"/>
              <w:rPr>
                <w:sz w:val="24"/>
              </w:rPr>
            </w:pPr>
          </w:p>
        </w:tc>
        <w:tc>
          <w:tcPr>
            <w:tcW w:w="3741" w:type="dxa"/>
            <w:tcBorders>
              <w:bottom w:val="single" w:sz="4" w:space="0" w:color="auto"/>
            </w:tcBorders>
            <w:vAlign w:val="center"/>
          </w:tcPr>
          <w:p w14:paraId="62DE5AB8" w14:textId="77777777" w:rsidR="003675A0" w:rsidRPr="00C01C0D" w:rsidRDefault="003675A0" w:rsidP="00C01C0D">
            <w:pPr>
              <w:pStyle w:val="TableContent"/>
              <w:rPr>
                <w:sz w:val="24"/>
              </w:rPr>
            </w:pPr>
          </w:p>
        </w:tc>
        <w:tc>
          <w:tcPr>
            <w:tcW w:w="1111" w:type="dxa"/>
            <w:tcBorders>
              <w:bottom w:val="single" w:sz="4" w:space="0" w:color="auto"/>
            </w:tcBorders>
            <w:vAlign w:val="center"/>
          </w:tcPr>
          <w:p w14:paraId="074B42E0" w14:textId="77777777" w:rsidR="003675A0" w:rsidRPr="00C01C0D" w:rsidRDefault="003675A0" w:rsidP="00C01C0D">
            <w:pPr>
              <w:pStyle w:val="TableContent"/>
              <w:rPr>
                <w:sz w:val="24"/>
              </w:rPr>
            </w:pPr>
          </w:p>
        </w:tc>
      </w:tr>
      <w:tr w:rsidR="003675A0" w:rsidRPr="00CB5278" w14:paraId="1EA4F49F" w14:textId="77777777" w:rsidTr="004B7282">
        <w:tc>
          <w:tcPr>
            <w:tcW w:w="1067" w:type="dxa"/>
            <w:vMerge/>
            <w:vAlign w:val="center"/>
          </w:tcPr>
          <w:p w14:paraId="63E1A077" w14:textId="77777777" w:rsidR="003675A0" w:rsidRPr="00CB5278" w:rsidRDefault="003675A0">
            <w:pPr>
              <w:widowControl w:val="0"/>
              <w:spacing w:before="60" w:after="60"/>
              <w:ind w:right="-23"/>
              <w:rPr>
                <w:rFonts w:cs="Arial"/>
                <w:b/>
                <w:sz w:val="24"/>
              </w:rPr>
            </w:pPr>
          </w:p>
        </w:tc>
        <w:tc>
          <w:tcPr>
            <w:tcW w:w="6876" w:type="dxa"/>
            <w:tcBorders>
              <w:bottom w:val="single" w:sz="4" w:space="0" w:color="auto"/>
            </w:tcBorders>
            <w:vAlign w:val="center"/>
          </w:tcPr>
          <w:p w14:paraId="61D5DEF4" w14:textId="77777777" w:rsidR="003675A0" w:rsidRPr="00EC71ED" w:rsidRDefault="003675A0">
            <w:pPr>
              <w:pStyle w:val="TableContent"/>
              <w:numPr>
                <w:ilvl w:val="0"/>
                <w:numId w:val="124"/>
              </w:numPr>
              <w:rPr>
                <w:b/>
                <w:sz w:val="24"/>
              </w:rPr>
            </w:pPr>
            <w:r w:rsidRPr="00EC71ED">
              <w:rPr>
                <w:sz w:val="24"/>
              </w:rPr>
              <w:t>disaggregation is appropriately applied for all assets above the revaluation threshold irrespective of valuation technique</w:t>
            </w:r>
          </w:p>
        </w:tc>
        <w:tc>
          <w:tcPr>
            <w:tcW w:w="1097" w:type="dxa"/>
            <w:tcBorders>
              <w:bottom w:val="single" w:sz="4" w:space="0" w:color="auto"/>
            </w:tcBorders>
            <w:vAlign w:val="center"/>
          </w:tcPr>
          <w:p w14:paraId="64D71BCB" w14:textId="77777777" w:rsidR="003675A0" w:rsidRPr="00EC71ED" w:rsidRDefault="003675A0" w:rsidP="00C142DD">
            <w:pPr>
              <w:pStyle w:val="TableContent"/>
              <w:ind w:left="720"/>
              <w:rPr>
                <w:b/>
                <w:sz w:val="24"/>
              </w:rPr>
            </w:pPr>
          </w:p>
        </w:tc>
        <w:tc>
          <w:tcPr>
            <w:tcW w:w="3741" w:type="dxa"/>
            <w:tcBorders>
              <w:bottom w:val="single" w:sz="4" w:space="0" w:color="auto"/>
            </w:tcBorders>
            <w:vAlign w:val="center"/>
          </w:tcPr>
          <w:p w14:paraId="2B521CD4" w14:textId="77777777" w:rsidR="003675A0" w:rsidRPr="00EC71ED" w:rsidRDefault="003675A0" w:rsidP="00C142DD">
            <w:pPr>
              <w:pStyle w:val="TableContent"/>
              <w:ind w:left="720"/>
              <w:rPr>
                <w:b/>
                <w:sz w:val="24"/>
              </w:rPr>
            </w:pPr>
          </w:p>
        </w:tc>
        <w:tc>
          <w:tcPr>
            <w:tcW w:w="1111" w:type="dxa"/>
            <w:tcBorders>
              <w:bottom w:val="single" w:sz="4" w:space="0" w:color="auto"/>
            </w:tcBorders>
            <w:vAlign w:val="center"/>
          </w:tcPr>
          <w:p w14:paraId="0828C1F1" w14:textId="77777777" w:rsidR="003675A0" w:rsidRPr="00EC71ED" w:rsidRDefault="003675A0" w:rsidP="00C142DD">
            <w:pPr>
              <w:pStyle w:val="TableContent"/>
              <w:ind w:left="720"/>
              <w:rPr>
                <w:b/>
                <w:sz w:val="24"/>
              </w:rPr>
            </w:pPr>
          </w:p>
        </w:tc>
      </w:tr>
      <w:tr w:rsidR="003675A0" w:rsidRPr="00CB5278" w14:paraId="381BE465" w14:textId="77777777" w:rsidTr="004B7282">
        <w:tc>
          <w:tcPr>
            <w:tcW w:w="1067" w:type="dxa"/>
            <w:vMerge/>
          </w:tcPr>
          <w:p w14:paraId="394948D6" w14:textId="77777777" w:rsidR="003675A0" w:rsidRPr="00CB5278" w:rsidRDefault="003675A0">
            <w:pPr>
              <w:widowControl w:val="0"/>
              <w:spacing w:before="60" w:after="60"/>
              <w:ind w:right="-23"/>
              <w:rPr>
                <w:rFonts w:cs="Arial"/>
                <w:b/>
                <w:sz w:val="24"/>
              </w:rPr>
            </w:pPr>
          </w:p>
        </w:tc>
        <w:tc>
          <w:tcPr>
            <w:tcW w:w="6876" w:type="dxa"/>
          </w:tcPr>
          <w:p w14:paraId="4B7C01BF" w14:textId="77777777" w:rsidR="003675A0" w:rsidRPr="00EC71ED" w:rsidRDefault="003675A0">
            <w:pPr>
              <w:pStyle w:val="TableContent"/>
              <w:numPr>
                <w:ilvl w:val="0"/>
                <w:numId w:val="124"/>
              </w:numPr>
              <w:rPr>
                <w:b/>
                <w:sz w:val="24"/>
              </w:rPr>
            </w:pPr>
            <w:r w:rsidRPr="00EC71ED">
              <w:rPr>
                <w:sz w:val="24"/>
              </w:rPr>
              <w:t>the valuation will be supported by sufficient and appropriate evidence to enable the calculations and conclusions to be repeated</w:t>
            </w:r>
          </w:p>
        </w:tc>
        <w:tc>
          <w:tcPr>
            <w:tcW w:w="1097" w:type="dxa"/>
          </w:tcPr>
          <w:p w14:paraId="6F5BEB94" w14:textId="77777777" w:rsidR="003675A0" w:rsidRPr="00EC71ED" w:rsidRDefault="003675A0" w:rsidP="00C142DD">
            <w:pPr>
              <w:pStyle w:val="TableContent"/>
              <w:ind w:left="720"/>
              <w:rPr>
                <w:b/>
                <w:sz w:val="24"/>
              </w:rPr>
            </w:pPr>
          </w:p>
        </w:tc>
        <w:tc>
          <w:tcPr>
            <w:tcW w:w="3741" w:type="dxa"/>
          </w:tcPr>
          <w:p w14:paraId="34697BE3" w14:textId="77777777" w:rsidR="003675A0" w:rsidRPr="00EC71ED" w:rsidRDefault="003675A0" w:rsidP="00C142DD">
            <w:pPr>
              <w:pStyle w:val="TableContent"/>
              <w:ind w:left="720"/>
              <w:rPr>
                <w:b/>
                <w:sz w:val="24"/>
              </w:rPr>
            </w:pPr>
          </w:p>
        </w:tc>
        <w:tc>
          <w:tcPr>
            <w:tcW w:w="1111" w:type="dxa"/>
          </w:tcPr>
          <w:p w14:paraId="4DC27554" w14:textId="77777777" w:rsidR="003675A0" w:rsidRPr="00EC71ED" w:rsidRDefault="003675A0" w:rsidP="00C142DD">
            <w:pPr>
              <w:pStyle w:val="TableContent"/>
              <w:ind w:left="720"/>
              <w:rPr>
                <w:b/>
                <w:sz w:val="24"/>
              </w:rPr>
            </w:pPr>
          </w:p>
        </w:tc>
      </w:tr>
      <w:tr w:rsidR="003675A0" w:rsidRPr="00CB5278" w14:paraId="15E8AF6A" w14:textId="77777777" w:rsidTr="004B7282">
        <w:tc>
          <w:tcPr>
            <w:tcW w:w="1067" w:type="dxa"/>
            <w:vMerge/>
          </w:tcPr>
          <w:p w14:paraId="2115B81B" w14:textId="77777777" w:rsidR="003675A0" w:rsidRPr="00CB5278" w:rsidRDefault="003675A0">
            <w:pPr>
              <w:widowControl w:val="0"/>
              <w:spacing w:before="60" w:after="60"/>
              <w:ind w:right="-23"/>
              <w:rPr>
                <w:rFonts w:cs="Arial"/>
                <w:b/>
                <w:sz w:val="24"/>
              </w:rPr>
            </w:pPr>
          </w:p>
        </w:tc>
        <w:tc>
          <w:tcPr>
            <w:tcW w:w="6876" w:type="dxa"/>
          </w:tcPr>
          <w:p w14:paraId="5944AD3D" w14:textId="77777777" w:rsidR="003675A0" w:rsidRPr="00EC71ED" w:rsidRDefault="003675A0">
            <w:pPr>
              <w:pStyle w:val="TableContent"/>
              <w:numPr>
                <w:ilvl w:val="0"/>
                <w:numId w:val="124"/>
              </w:numPr>
              <w:rPr>
                <w:b/>
                <w:sz w:val="24"/>
              </w:rPr>
            </w:pPr>
            <w:r w:rsidRPr="00EC71ED">
              <w:rPr>
                <w:sz w:val="24"/>
              </w:rPr>
              <w:t>the output includes appropriate information to enable satisfaction of the disclosure requirements of AASB 13 Fair Value Measurement (2022)</w:t>
            </w:r>
            <w:r w:rsidRPr="00EC71ED">
              <w:rPr>
                <w:b/>
                <w:sz w:val="24"/>
              </w:rPr>
              <w:t xml:space="preserve"> </w:t>
            </w:r>
            <w:r w:rsidRPr="00EC71ED">
              <w:rPr>
                <w:sz w:val="24"/>
              </w:rPr>
              <w:t>and</w:t>
            </w:r>
          </w:p>
        </w:tc>
        <w:tc>
          <w:tcPr>
            <w:tcW w:w="1097" w:type="dxa"/>
          </w:tcPr>
          <w:p w14:paraId="3AB6D74D" w14:textId="77777777" w:rsidR="003675A0" w:rsidRPr="00EC71ED" w:rsidRDefault="003675A0" w:rsidP="00C142DD">
            <w:pPr>
              <w:pStyle w:val="TableContent"/>
              <w:ind w:left="720"/>
              <w:rPr>
                <w:b/>
                <w:sz w:val="24"/>
              </w:rPr>
            </w:pPr>
          </w:p>
        </w:tc>
        <w:tc>
          <w:tcPr>
            <w:tcW w:w="3741" w:type="dxa"/>
          </w:tcPr>
          <w:p w14:paraId="136E6C28" w14:textId="77777777" w:rsidR="003675A0" w:rsidRPr="00EC71ED" w:rsidRDefault="003675A0" w:rsidP="00C142DD">
            <w:pPr>
              <w:pStyle w:val="TableContent"/>
              <w:ind w:left="720"/>
              <w:rPr>
                <w:b/>
                <w:sz w:val="24"/>
              </w:rPr>
            </w:pPr>
          </w:p>
        </w:tc>
        <w:tc>
          <w:tcPr>
            <w:tcW w:w="1111" w:type="dxa"/>
          </w:tcPr>
          <w:p w14:paraId="0E380371" w14:textId="77777777" w:rsidR="003675A0" w:rsidRPr="00EC71ED" w:rsidRDefault="003675A0" w:rsidP="00C142DD">
            <w:pPr>
              <w:pStyle w:val="TableContent"/>
              <w:ind w:left="720"/>
              <w:rPr>
                <w:b/>
                <w:sz w:val="24"/>
              </w:rPr>
            </w:pPr>
          </w:p>
        </w:tc>
      </w:tr>
      <w:tr w:rsidR="003675A0" w:rsidRPr="00CB5278" w14:paraId="757C8193" w14:textId="77777777" w:rsidTr="004B7282">
        <w:tc>
          <w:tcPr>
            <w:tcW w:w="1067" w:type="dxa"/>
            <w:vMerge/>
            <w:tcBorders>
              <w:bottom w:val="single" w:sz="4" w:space="0" w:color="auto"/>
            </w:tcBorders>
          </w:tcPr>
          <w:p w14:paraId="1A9E332D" w14:textId="77777777" w:rsidR="003675A0" w:rsidRPr="00CB5278" w:rsidRDefault="003675A0">
            <w:pPr>
              <w:widowControl w:val="0"/>
              <w:spacing w:before="60" w:after="60"/>
              <w:ind w:right="-23"/>
              <w:rPr>
                <w:rFonts w:cs="Arial"/>
                <w:b/>
                <w:sz w:val="24"/>
              </w:rPr>
            </w:pPr>
          </w:p>
        </w:tc>
        <w:tc>
          <w:tcPr>
            <w:tcW w:w="6876" w:type="dxa"/>
            <w:tcBorders>
              <w:bottom w:val="single" w:sz="4" w:space="0" w:color="auto"/>
            </w:tcBorders>
          </w:tcPr>
          <w:p w14:paraId="421E0BA1" w14:textId="77777777" w:rsidR="003675A0" w:rsidRPr="00EC71ED" w:rsidRDefault="003675A0">
            <w:pPr>
              <w:pStyle w:val="TableContent"/>
              <w:numPr>
                <w:ilvl w:val="0"/>
                <w:numId w:val="124"/>
              </w:numPr>
              <w:rPr>
                <w:sz w:val="24"/>
              </w:rPr>
            </w:pPr>
            <w:r w:rsidRPr="00EC71ED">
              <w:rPr>
                <w:sz w:val="24"/>
              </w:rPr>
              <w:t>where relevant the insurance valuations will be established on an appropriate basis.</w:t>
            </w:r>
          </w:p>
        </w:tc>
        <w:tc>
          <w:tcPr>
            <w:tcW w:w="1097" w:type="dxa"/>
            <w:tcBorders>
              <w:bottom w:val="single" w:sz="4" w:space="0" w:color="auto"/>
            </w:tcBorders>
          </w:tcPr>
          <w:p w14:paraId="15B107DE" w14:textId="77777777" w:rsidR="003675A0" w:rsidRPr="00EC71ED" w:rsidRDefault="003675A0" w:rsidP="00C142DD">
            <w:pPr>
              <w:pStyle w:val="TableContent"/>
              <w:ind w:left="720"/>
              <w:rPr>
                <w:b/>
                <w:sz w:val="24"/>
              </w:rPr>
            </w:pPr>
          </w:p>
        </w:tc>
        <w:tc>
          <w:tcPr>
            <w:tcW w:w="3741" w:type="dxa"/>
            <w:tcBorders>
              <w:bottom w:val="single" w:sz="4" w:space="0" w:color="auto"/>
            </w:tcBorders>
          </w:tcPr>
          <w:p w14:paraId="43878419" w14:textId="77777777" w:rsidR="003675A0" w:rsidRPr="00EC71ED" w:rsidRDefault="003675A0" w:rsidP="00C142DD">
            <w:pPr>
              <w:pStyle w:val="TableContent"/>
              <w:ind w:left="720"/>
              <w:rPr>
                <w:b/>
                <w:sz w:val="24"/>
              </w:rPr>
            </w:pPr>
          </w:p>
        </w:tc>
        <w:tc>
          <w:tcPr>
            <w:tcW w:w="1111" w:type="dxa"/>
            <w:tcBorders>
              <w:bottom w:val="single" w:sz="4" w:space="0" w:color="auto"/>
            </w:tcBorders>
          </w:tcPr>
          <w:p w14:paraId="40E3929E" w14:textId="77777777" w:rsidR="003675A0" w:rsidRPr="00EC71ED" w:rsidRDefault="003675A0" w:rsidP="00C142DD">
            <w:pPr>
              <w:pStyle w:val="TableContent"/>
              <w:ind w:left="720"/>
              <w:rPr>
                <w:b/>
                <w:sz w:val="24"/>
              </w:rPr>
            </w:pPr>
          </w:p>
        </w:tc>
      </w:tr>
      <w:tr w:rsidR="003675A0" w:rsidRPr="00CB5278" w14:paraId="52140063" w14:textId="77777777" w:rsidTr="004B7282">
        <w:tc>
          <w:tcPr>
            <w:tcW w:w="1067" w:type="dxa"/>
          </w:tcPr>
          <w:p w14:paraId="4483DDDC" w14:textId="77777777" w:rsidR="003675A0" w:rsidRPr="00105FA0" w:rsidRDefault="003675A0" w:rsidP="007D556A">
            <w:pPr>
              <w:pStyle w:val="TableContent"/>
              <w:rPr>
                <w:b/>
                <w:bCs/>
                <w:sz w:val="24"/>
              </w:rPr>
            </w:pPr>
            <w:r w:rsidRPr="00105FA0">
              <w:rPr>
                <w:b/>
                <w:bCs/>
                <w:sz w:val="24"/>
              </w:rPr>
              <w:t>5</w:t>
            </w:r>
          </w:p>
        </w:tc>
        <w:tc>
          <w:tcPr>
            <w:tcW w:w="6876" w:type="dxa"/>
          </w:tcPr>
          <w:p w14:paraId="11E32BB3" w14:textId="77777777" w:rsidR="003675A0" w:rsidRPr="00D71E5A" w:rsidRDefault="003675A0" w:rsidP="007D556A">
            <w:pPr>
              <w:pStyle w:val="TableContent"/>
              <w:rPr>
                <w:b/>
                <w:bCs/>
                <w:sz w:val="24"/>
              </w:rPr>
            </w:pPr>
            <w:r w:rsidRPr="00D71E5A">
              <w:rPr>
                <w:b/>
                <w:bCs/>
                <w:sz w:val="24"/>
              </w:rPr>
              <w:t>Relevant skills</w:t>
            </w:r>
          </w:p>
          <w:p w14:paraId="53101F48" w14:textId="77777777" w:rsidR="003675A0" w:rsidRPr="007D556A" w:rsidRDefault="003675A0" w:rsidP="007D556A">
            <w:pPr>
              <w:pStyle w:val="TableContent"/>
              <w:rPr>
                <w:sz w:val="24"/>
              </w:rPr>
            </w:pPr>
            <w:r w:rsidRPr="007D556A">
              <w:rPr>
                <w:sz w:val="24"/>
                <w:lang w:val="en-US"/>
              </w:rPr>
              <w:t>Appropriate qualifications.</w:t>
            </w:r>
          </w:p>
        </w:tc>
        <w:tc>
          <w:tcPr>
            <w:tcW w:w="1097" w:type="dxa"/>
          </w:tcPr>
          <w:p w14:paraId="2C8D0245" w14:textId="77777777" w:rsidR="003675A0" w:rsidRPr="007D556A" w:rsidRDefault="003675A0" w:rsidP="007D556A">
            <w:pPr>
              <w:pStyle w:val="TableContent"/>
              <w:rPr>
                <w:sz w:val="24"/>
              </w:rPr>
            </w:pPr>
          </w:p>
        </w:tc>
        <w:tc>
          <w:tcPr>
            <w:tcW w:w="3741" w:type="dxa"/>
          </w:tcPr>
          <w:p w14:paraId="389CE73C" w14:textId="77777777" w:rsidR="003675A0" w:rsidRPr="007D556A" w:rsidRDefault="003675A0" w:rsidP="007D556A">
            <w:pPr>
              <w:pStyle w:val="TableContent"/>
              <w:rPr>
                <w:sz w:val="24"/>
              </w:rPr>
            </w:pPr>
          </w:p>
        </w:tc>
        <w:tc>
          <w:tcPr>
            <w:tcW w:w="1111" w:type="dxa"/>
          </w:tcPr>
          <w:p w14:paraId="765FBE49" w14:textId="77777777" w:rsidR="003675A0" w:rsidRPr="00434D04" w:rsidRDefault="003675A0" w:rsidP="007D556A">
            <w:pPr>
              <w:pStyle w:val="TableContent"/>
              <w:rPr>
                <w:b/>
                <w:bCs/>
                <w:sz w:val="24"/>
              </w:rPr>
            </w:pPr>
            <w:r w:rsidRPr="00434D04">
              <w:rPr>
                <w:b/>
                <w:bCs/>
                <w:sz w:val="24"/>
              </w:rPr>
              <w:t>[x/20%]</w:t>
            </w:r>
          </w:p>
        </w:tc>
      </w:tr>
      <w:tr w:rsidR="003675A0" w:rsidRPr="00CB5278" w14:paraId="77BCF181" w14:textId="77777777" w:rsidTr="004B7282">
        <w:tc>
          <w:tcPr>
            <w:tcW w:w="1067" w:type="dxa"/>
          </w:tcPr>
          <w:p w14:paraId="645FB832" w14:textId="77777777" w:rsidR="003675A0" w:rsidRPr="00105FA0" w:rsidRDefault="003675A0" w:rsidP="007D556A">
            <w:pPr>
              <w:pStyle w:val="TableContent"/>
              <w:rPr>
                <w:b/>
                <w:bCs/>
                <w:sz w:val="24"/>
              </w:rPr>
            </w:pPr>
            <w:r w:rsidRPr="00105FA0">
              <w:rPr>
                <w:b/>
                <w:bCs/>
                <w:color w:val="231F20"/>
                <w:sz w:val="24"/>
              </w:rPr>
              <w:t>6</w:t>
            </w:r>
          </w:p>
        </w:tc>
        <w:tc>
          <w:tcPr>
            <w:tcW w:w="6876" w:type="dxa"/>
          </w:tcPr>
          <w:p w14:paraId="472A3506" w14:textId="77777777" w:rsidR="003675A0" w:rsidRPr="00D71E5A" w:rsidRDefault="003675A0" w:rsidP="007D556A">
            <w:pPr>
              <w:pStyle w:val="TableContent"/>
              <w:rPr>
                <w:b/>
                <w:bCs/>
                <w:sz w:val="24"/>
              </w:rPr>
            </w:pPr>
            <w:r w:rsidRPr="00D71E5A">
              <w:rPr>
                <w:b/>
                <w:bCs/>
                <w:sz w:val="24"/>
              </w:rPr>
              <w:t>Relevant experience</w:t>
            </w:r>
          </w:p>
          <w:p w14:paraId="3940FF5F" w14:textId="77777777" w:rsidR="003675A0" w:rsidRPr="007D556A" w:rsidRDefault="003675A0">
            <w:pPr>
              <w:pStyle w:val="TableContent"/>
              <w:numPr>
                <w:ilvl w:val="0"/>
                <w:numId w:val="125"/>
              </w:numPr>
              <w:rPr>
                <w:sz w:val="24"/>
              </w:rPr>
            </w:pPr>
            <w:r w:rsidRPr="007D556A">
              <w:rPr>
                <w:sz w:val="24"/>
              </w:rPr>
              <w:t>these types of assets</w:t>
            </w:r>
          </w:p>
          <w:p w14:paraId="0D91B156" w14:textId="77777777" w:rsidR="003675A0" w:rsidRPr="007D556A" w:rsidRDefault="003675A0">
            <w:pPr>
              <w:pStyle w:val="TableContent"/>
              <w:numPr>
                <w:ilvl w:val="0"/>
                <w:numId w:val="125"/>
              </w:numPr>
              <w:rPr>
                <w:sz w:val="24"/>
              </w:rPr>
            </w:pPr>
            <w:r w:rsidRPr="007D556A">
              <w:rPr>
                <w:sz w:val="24"/>
              </w:rPr>
              <w:t>this sector</w:t>
            </w:r>
          </w:p>
          <w:p w14:paraId="294CF135" w14:textId="77777777" w:rsidR="003675A0" w:rsidRPr="007D556A" w:rsidRDefault="003675A0">
            <w:pPr>
              <w:pStyle w:val="TableContent"/>
              <w:numPr>
                <w:ilvl w:val="0"/>
                <w:numId w:val="125"/>
              </w:numPr>
              <w:rPr>
                <w:sz w:val="24"/>
              </w:rPr>
            </w:pPr>
            <w:r w:rsidRPr="007D556A">
              <w:rPr>
                <w:sz w:val="24"/>
              </w:rPr>
              <w:t>provision of advice, consulting and training and</w:t>
            </w:r>
          </w:p>
          <w:p w14:paraId="07CE443E" w14:textId="289A1A39" w:rsidR="00434D04" w:rsidRPr="007D556A" w:rsidRDefault="003675A0">
            <w:pPr>
              <w:pStyle w:val="TableContent"/>
              <w:numPr>
                <w:ilvl w:val="0"/>
                <w:numId w:val="125"/>
              </w:numPr>
              <w:rPr>
                <w:sz w:val="24"/>
              </w:rPr>
            </w:pPr>
            <w:r w:rsidRPr="007D556A">
              <w:rPr>
                <w:sz w:val="24"/>
              </w:rPr>
              <w:t>potential to add value.</w:t>
            </w:r>
          </w:p>
        </w:tc>
        <w:tc>
          <w:tcPr>
            <w:tcW w:w="1097" w:type="dxa"/>
          </w:tcPr>
          <w:p w14:paraId="0F1CA4AA" w14:textId="77777777" w:rsidR="003675A0" w:rsidRPr="007D556A" w:rsidRDefault="003675A0" w:rsidP="007D556A">
            <w:pPr>
              <w:pStyle w:val="TableContent"/>
              <w:rPr>
                <w:sz w:val="24"/>
              </w:rPr>
            </w:pPr>
          </w:p>
        </w:tc>
        <w:tc>
          <w:tcPr>
            <w:tcW w:w="3741" w:type="dxa"/>
          </w:tcPr>
          <w:p w14:paraId="58E5D2B1" w14:textId="77777777" w:rsidR="003675A0" w:rsidRPr="007D556A" w:rsidRDefault="003675A0" w:rsidP="007D556A">
            <w:pPr>
              <w:pStyle w:val="TableContent"/>
              <w:rPr>
                <w:sz w:val="24"/>
              </w:rPr>
            </w:pPr>
          </w:p>
        </w:tc>
        <w:tc>
          <w:tcPr>
            <w:tcW w:w="1111" w:type="dxa"/>
          </w:tcPr>
          <w:p w14:paraId="03D0AE57" w14:textId="77777777" w:rsidR="003675A0" w:rsidRPr="00434D04" w:rsidRDefault="003675A0" w:rsidP="007D556A">
            <w:pPr>
              <w:pStyle w:val="TableContent"/>
              <w:rPr>
                <w:b/>
                <w:bCs/>
                <w:sz w:val="24"/>
              </w:rPr>
            </w:pPr>
            <w:r w:rsidRPr="00434D04">
              <w:rPr>
                <w:b/>
                <w:bCs/>
                <w:sz w:val="24"/>
              </w:rPr>
              <w:t>[x/15%]</w:t>
            </w:r>
          </w:p>
        </w:tc>
      </w:tr>
      <w:tr w:rsidR="003675A0" w:rsidRPr="00CB5278" w14:paraId="31BC4308" w14:textId="77777777" w:rsidTr="004B7282">
        <w:tc>
          <w:tcPr>
            <w:tcW w:w="1067" w:type="dxa"/>
          </w:tcPr>
          <w:p w14:paraId="2689E105" w14:textId="77777777" w:rsidR="003675A0" w:rsidRPr="00434D04" w:rsidRDefault="003675A0" w:rsidP="00434D04">
            <w:pPr>
              <w:pStyle w:val="TableContent"/>
              <w:rPr>
                <w:b/>
                <w:bCs/>
                <w:sz w:val="24"/>
              </w:rPr>
            </w:pPr>
            <w:r w:rsidRPr="00434D04">
              <w:rPr>
                <w:b/>
                <w:bCs/>
                <w:sz w:val="24"/>
              </w:rPr>
              <w:lastRenderedPageBreak/>
              <w:t>7</w:t>
            </w:r>
          </w:p>
        </w:tc>
        <w:tc>
          <w:tcPr>
            <w:tcW w:w="6876" w:type="dxa"/>
          </w:tcPr>
          <w:p w14:paraId="128A39BC" w14:textId="77777777" w:rsidR="003675A0" w:rsidRPr="00434D04" w:rsidRDefault="003675A0" w:rsidP="00434D04">
            <w:pPr>
              <w:pStyle w:val="TableContent"/>
              <w:rPr>
                <w:sz w:val="24"/>
                <w:lang w:val="en-US"/>
              </w:rPr>
            </w:pPr>
            <w:r w:rsidRPr="00D71E5A">
              <w:rPr>
                <w:sz w:val="24"/>
                <w:lang w:val="en-US"/>
              </w:rPr>
              <w:t>Quality assurance (max 50% if not ISO:9001 certification)</w:t>
            </w:r>
          </w:p>
          <w:p w14:paraId="5BD5AE9F" w14:textId="77777777" w:rsidR="003675A0" w:rsidRPr="00434D04" w:rsidRDefault="003675A0">
            <w:pPr>
              <w:pStyle w:val="TableContent"/>
              <w:numPr>
                <w:ilvl w:val="0"/>
                <w:numId w:val="125"/>
              </w:numPr>
              <w:rPr>
                <w:sz w:val="24"/>
              </w:rPr>
            </w:pPr>
            <w:r w:rsidRPr="00434D04">
              <w:rPr>
                <w:sz w:val="24"/>
              </w:rPr>
              <w:t>ISO:9001 Quality Management and</w:t>
            </w:r>
          </w:p>
          <w:p w14:paraId="2F98F4FC" w14:textId="77777777" w:rsidR="003675A0" w:rsidRPr="00434D04" w:rsidRDefault="003675A0">
            <w:pPr>
              <w:pStyle w:val="TableContent"/>
              <w:numPr>
                <w:ilvl w:val="0"/>
                <w:numId w:val="125"/>
              </w:numPr>
              <w:rPr>
                <w:sz w:val="24"/>
              </w:rPr>
            </w:pPr>
            <w:r w:rsidRPr="00434D04">
              <w:rPr>
                <w:sz w:val="24"/>
              </w:rPr>
              <w:t>feedback from customers under ISO:9001 framework.</w:t>
            </w:r>
          </w:p>
        </w:tc>
        <w:tc>
          <w:tcPr>
            <w:tcW w:w="1097" w:type="dxa"/>
          </w:tcPr>
          <w:p w14:paraId="19FB3E9E" w14:textId="77777777" w:rsidR="003675A0" w:rsidRPr="00434D04" w:rsidRDefault="003675A0" w:rsidP="00434D04">
            <w:pPr>
              <w:pStyle w:val="TableContent"/>
              <w:rPr>
                <w:sz w:val="24"/>
              </w:rPr>
            </w:pPr>
          </w:p>
        </w:tc>
        <w:tc>
          <w:tcPr>
            <w:tcW w:w="3741" w:type="dxa"/>
          </w:tcPr>
          <w:p w14:paraId="569DE96C" w14:textId="77777777" w:rsidR="003675A0" w:rsidRPr="00434D04" w:rsidRDefault="003675A0" w:rsidP="00434D04">
            <w:pPr>
              <w:pStyle w:val="TableContent"/>
              <w:rPr>
                <w:sz w:val="24"/>
              </w:rPr>
            </w:pPr>
          </w:p>
        </w:tc>
        <w:tc>
          <w:tcPr>
            <w:tcW w:w="1111" w:type="dxa"/>
          </w:tcPr>
          <w:p w14:paraId="0310ACA7" w14:textId="77777777" w:rsidR="003675A0" w:rsidRPr="00434D04" w:rsidRDefault="003675A0" w:rsidP="00434D04">
            <w:pPr>
              <w:pStyle w:val="TableContent"/>
              <w:rPr>
                <w:b/>
                <w:bCs/>
                <w:sz w:val="24"/>
              </w:rPr>
            </w:pPr>
            <w:r w:rsidRPr="00434D04">
              <w:rPr>
                <w:b/>
                <w:bCs/>
                <w:sz w:val="24"/>
              </w:rPr>
              <w:t>[x/5%]</w:t>
            </w:r>
          </w:p>
        </w:tc>
      </w:tr>
      <w:tr w:rsidR="003675A0" w:rsidRPr="00CB5278" w14:paraId="766715CD" w14:textId="77777777" w:rsidTr="004B7282">
        <w:tc>
          <w:tcPr>
            <w:tcW w:w="1067" w:type="dxa"/>
          </w:tcPr>
          <w:p w14:paraId="1E6464E0" w14:textId="77777777" w:rsidR="003675A0" w:rsidRPr="00434D04" w:rsidRDefault="003675A0">
            <w:pPr>
              <w:widowControl w:val="0"/>
              <w:spacing w:before="60" w:after="60"/>
              <w:ind w:right="-23"/>
              <w:rPr>
                <w:rFonts w:cs="Arial"/>
                <w:b/>
                <w:sz w:val="24"/>
              </w:rPr>
            </w:pPr>
          </w:p>
        </w:tc>
        <w:tc>
          <w:tcPr>
            <w:tcW w:w="11714" w:type="dxa"/>
            <w:gridSpan w:val="3"/>
          </w:tcPr>
          <w:p w14:paraId="0C7E9D20" w14:textId="77777777" w:rsidR="003675A0" w:rsidRPr="00077957" w:rsidRDefault="003675A0" w:rsidP="00434D04">
            <w:pPr>
              <w:pStyle w:val="TableContent"/>
              <w:rPr>
                <w:b/>
                <w:bCs/>
                <w:sz w:val="24"/>
              </w:rPr>
            </w:pPr>
            <w:r w:rsidRPr="00D71E5A">
              <w:rPr>
                <w:b/>
                <w:bCs/>
                <w:sz w:val="24"/>
              </w:rPr>
              <w:t>Total score (out of 100)</w:t>
            </w:r>
          </w:p>
        </w:tc>
        <w:tc>
          <w:tcPr>
            <w:tcW w:w="1111" w:type="dxa"/>
          </w:tcPr>
          <w:p w14:paraId="705E8D7E" w14:textId="77777777" w:rsidR="003675A0" w:rsidRPr="00434D04" w:rsidRDefault="003675A0">
            <w:pPr>
              <w:widowControl w:val="0"/>
              <w:spacing w:before="60" w:after="60"/>
              <w:ind w:right="-23"/>
              <w:rPr>
                <w:rFonts w:cs="Arial"/>
                <w:b/>
                <w:sz w:val="24"/>
              </w:rPr>
            </w:pPr>
          </w:p>
        </w:tc>
      </w:tr>
    </w:tbl>
    <w:p w14:paraId="6BBC6390" w14:textId="727442C3" w:rsidR="003675A0" w:rsidRPr="00CB5278" w:rsidRDefault="003675A0" w:rsidP="003675A0">
      <w:pPr>
        <w:spacing w:after="0"/>
        <w:rPr>
          <w:rFonts w:cs="Arial"/>
        </w:rPr>
      </w:pPr>
    </w:p>
    <w:tbl>
      <w:tblPr>
        <w:tblStyle w:val="TableGrid"/>
        <w:tblW w:w="13892" w:type="dxa"/>
        <w:tblInd w:w="2" w:type="dxa"/>
        <w:tblLook w:val="04A0" w:firstRow="1" w:lastRow="0" w:firstColumn="1" w:lastColumn="0" w:noHBand="0" w:noVBand="1"/>
      </w:tblPr>
      <w:tblGrid>
        <w:gridCol w:w="13892"/>
      </w:tblGrid>
      <w:tr w:rsidR="003675A0" w:rsidRPr="00CB5278" w14:paraId="20502839" w14:textId="77777777" w:rsidTr="004B7282">
        <w:tc>
          <w:tcPr>
            <w:tcW w:w="13950" w:type="dxa"/>
            <w:tcBorders>
              <w:top w:val="single" w:sz="2" w:space="0" w:color="939598"/>
              <w:left w:val="single" w:sz="2" w:space="0" w:color="939598"/>
              <w:bottom w:val="single" w:sz="4" w:space="0" w:color="auto"/>
            </w:tcBorders>
            <w:shd w:val="clear" w:color="auto" w:fill="F2F2F2" w:themeFill="background1" w:themeFillShade="F2"/>
          </w:tcPr>
          <w:p w14:paraId="35448286" w14:textId="5F8E46D2" w:rsidR="003675A0" w:rsidRPr="00077957" w:rsidRDefault="003675A0" w:rsidP="00077957">
            <w:pPr>
              <w:pStyle w:val="TableContent"/>
              <w:rPr>
                <w:b/>
                <w:bCs/>
                <w:sz w:val="24"/>
              </w:rPr>
            </w:pPr>
            <w:r w:rsidRPr="00077957">
              <w:rPr>
                <w:b/>
                <w:bCs/>
                <w:sz w:val="24"/>
              </w:rPr>
              <w:t xml:space="preserve">Overall </w:t>
            </w:r>
            <w:r w:rsidR="007178F8">
              <w:rPr>
                <w:b/>
                <w:bCs/>
                <w:sz w:val="24"/>
              </w:rPr>
              <w:t>c</w:t>
            </w:r>
            <w:r w:rsidRPr="00077957">
              <w:rPr>
                <w:b/>
                <w:bCs/>
                <w:sz w:val="24"/>
              </w:rPr>
              <w:t>omments</w:t>
            </w:r>
          </w:p>
        </w:tc>
      </w:tr>
      <w:tr w:rsidR="003675A0" w:rsidRPr="00CB5278" w14:paraId="4DDB65C9" w14:textId="77777777" w:rsidTr="004B7282">
        <w:tc>
          <w:tcPr>
            <w:tcW w:w="13950" w:type="dxa"/>
            <w:tcBorders>
              <w:top w:val="single" w:sz="4" w:space="0" w:color="auto"/>
            </w:tcBorders>
          </w:tcPr>
          <w:p w14:paraId="3E23C882" w14:textId="77777777" w:rsidR="003675A0" w:rsidRPr="00CB5278" w:rsidRDefault="003675A0">
            <w:pPr>
              <w:spacing w:before="60" w:after="60"/>
              <w:rPr>
                <w:rFonts w:cs="Arial"/>
                <w:sz w:val="24"/>
              </w:rPr>
            </w:pPr>
          </w:p>
          <w:p w14:paraId="7DCFE6BC" w14:textId="77777777" w:rsidR="003675A0" w:rsidRPr="00CB5278" w:rsidRDefault="003675A0">
            <w:pPr>
              <w:spacing w:before="60" w:after="60"/>
              <w:rPr>
                <w:rFonts w:cs="Arial"/>
                <w:sz w:val="24"/>
              </w:rPr>
            </w:pPr>
          </w:p>
          <w:p w14:paraId="2BD3AD63" w14:textId="77777777" w:rsidR="003675A0" w:rsidRPr="00CB5278" w:rsidRDefault="003675A0">
            <w:pPr>
              <w:spacing w:before="60" w:after="60"/>
              <w:rPr>
                <w:rFonts w:cs="Arial"/>
                <w:sz w:val="24"/>
              </w:rPr>
            </w:pPr>
          </w:p>
          <w:p w14:paraId="72AF88CD" w14:textId="77777777" w:rsidR="003675A0" w:rsidRPr="00CB5278" w:rsidRDefault="003675A0">
            <w:pPr>
              <w:spacing w:before="60" w:after="60"/>
              <w:rPr>
                <w:rFonts w:cs="Arial"/>
                <w:sz w:val="24"/>
              </w:rPr>
            </w:pPr>
          </w:p>
          <w:p w14:paraId="53201882" w14:textId="77777777" w:rsidR="003675A0" w:rsidRPr="00CB5278" w:rsidRDefault="003675A0">
            <w:pPr>
              <w:spacing w:before="60" w:after="60"/>
              <w:rPr>
                <w:rFonts w:cs="Arial"/>
                <w:sz w:val="24"/>
              </w:rPr>
            </w:pPr>
          </w:p>
          <w:p w14:paraId="11590CC5" w14:textId="77777777" w:rsidR="003675A0" w:rsidRPr="00CB5278" w:rsidRDefault="003675A0">
            <w:pPr>
              <w:spacing w:before="60" w:after="60"/>
              <w:rPr>
                <w:rFonts w:cs="Arial"/>
                <w:sz w:val="24"/>
              </w:rPr>
            </w:pPr>
          </w:p>
          <w:p w14:paraId="204B975E" w14:textId="77777777" w:rsidR="003675A0" w:rsidRPr="00CB5278" w:rsidRDefault="003675A0">
            <w:pPr>
              <w:spacing w:before="60" w:after="60"/>
              <w:rPr>
                <w:rFonts w:cs="Arial"/>
                <w:sz w:val="24"/>
              </w:rPr>
            </w:pPr>
          </w:p>
          <w:p w14:paraId="0EFAB4AA" w14:textId="77777777" w:rsidR="003675A0" w:rsidRPr="00CB5278" w:rsidRDefault="003675A0">
            <w:pPr>
              <w:spacing w:before="60" w:after="60"/>
              <w:rPr>
                <w:rFonts w:cs="Arial"/>
                <w:sz w:val="24"/>
              </w:rPr>
            </w:pPr>
          </w:p>
          <w:p w14:paraId="42F1841F" w14:textId="77777777" w:rsidR="003675A0" w:rsidRPr="00CB5278" w:rsidRDefault="003675A0">
            <w:pPr>
              <w:spacing w:before="60" w:after="60"/>
              <w:rPr>
                <w:rFonts w:cs="Arial"/>
                <w:sz w:val="24"/>
              </w:rPr>
            </w:pPr>
          </w:p>
          <w:p w14:paraId="4666731A" w14:textId="77777777" w:rsidR="003675A0" w:rsidRPr="00CB5278" w:rsidRDefault="003675A0">
            <w:pPr>
              <w:spacing w:before="60" w:after="60"/>
              <w:rPr>
                <w:rFonts w:cs="Arial"/>
                <w:sz w:val="24"/>
              </w:rPr>
            </w:pPr>
          </w:p>
          <w:p w14:paraId="635A7E1E" w14:textId="77777777" w:rsidR="003675A0" w:rsidRPr="00CB5278" w:rsidRDefault="003675A0">
            <w:pPr>
              <w:spacing w:before="60" w:after="60"/>
              <w:rPr>
                <w:rFonts w:cs="Arial"/>
                <w:sz w:val="24"/>
              </w:rPr>
            </w:pPr>
          </w:p>
          <w:p w14:paraId="21A51E4A" w14:textId="77777777" w:rsidR="003675A0" w:rsidRPr="00CB5278" w:rsidRDefault="003675A0">
            <w:pPr>
              <w:spacing w:before="60" w:after="60"/>
              <w:rPr>
                <w:rFonts w:cs="Arial"/>
                <w:sz w:val="24"/>
              </w:rPr>
            </w:pPr>
          </w:p>
          <w:p w14:paraId="1C679C14" w14:textId="77777777" w:rsidR="003675A0" w:rsidRPr="00CB5278" w:rsidRDefault="003675A0">
            <w:pPr>
              <w:spacing w:before="60" w:after="60"/>
              <w:rPr>
                <w:rFonts w:cs="Arial"/>
                <w:sz w:val="24"/>
              </w:rPr>
            </w:pPr>
          </w:p>
        </w:tc>
      </w:tr>
    </w:tbl>
    <w:p w14:paraId="200D4E3C" w14:textId="77777777" w:rsidR="00847503" w:rsidRDefault="00847503" w:rsidP="003675A0">
      <w:pPr>
        <w:spacing w:after="160" w:line="259" w:lineRule="auto"/>
        <w:rPr>
          <w:rFonts w:cs="Arial"/>
        </w:rPr>
        <w:sectPr w:rsidR="00847503" w:rsidSect="009F5A5C">
          <w:headerReference w:type="default" r:id="rId19"/>
          <w:pgSz w:w="16840" w:h="11920" w:orient="landscape"/>
          <w:pgMar w:top="1440" w:right="1440" w:bottom="1440" w:left="1440" w:header="624" w:footer="275" w:gutter="0"/>
          <w:cols w:space="720"/>
          <w:docGrid w:linePitch="326"/>
        </w:sectPr>
      </w:pPr>
    </w:p>
    <w:p w14:paraId="7219F871" w14:textId="77777777" w:rsidR="003675A0" w:rsidRPr="00CB5278" w:rsidRDefault="003675A0" w:rsidP="003675A0">
      <w:pPr>
        <w:pStyle w:val="Heading2"/>
        <w:rPr>
          <w:b w:val="0"/>
          <w:bCs w:val="0"/>
        </w:rPr>
      </w:pPr>
      <w:bookmarkStart w:id="154" w:name="_Toc170119004"/>
      <w:bookmarkStart w:id="155" w:name="_Toc207722770"/>
      <w:bookmarkStart w:id="156" w:name="_Toc223445102"/>
      <w:r w:rsidRPr="00CB5278">
        <w:lastRenderedPageBreak/>
        <w:t>Option 2: Collaborative approach to build internal capability</w:t>
      </w:r>
      <w:bookmarkEnd w:id="154"/>
      <w:bookmarkEnd w:id="155"/>
      <w:bookmarkEnd w:id="156"/>
    </w:p>
    <w:p w14:paraId="695D0E5E" w14:textId="77777777" w:rsidR="003675A0" w:rsidRDefault="003675A0" w:rsidP="003675A0">
      <w:pPr>
        <w:spacing w:before="29" w:after="0"/>
        <w:ind w:left="107" w:right="-79"/>
        <w:rPr>
          <w:rFonts w:cs="Arial"/>
          <w:b/>
          <w:bCs/>
          <w:color w:val="231F20"/>
          <w:spacing w:val="5"/>
        </w:rPr>
      </w:pPr>
    </w:p>
    <w:p w14:paraId="31FD2E26" w14:textId="77777777" w:rsidR="003675A0" w:rsidRDefault="003675A0" w:rsidP="003675A0">
      <w:pPr>
        <w:spacing w:before="29" w:after="0"/>
        <w:ind w:left="107" w:right="-79"/>
        <w:rPr>
          <w:rFonts w:cs="Arial"/>
          <w:b/>
          <w:bCs/>
          <w:color w:val="231F20"/>
          <w:spacing w:val="5"/>
        </w:rPr>
      </w:pPr>
    </w:p>
    <w:p w14:paraId="58E04743" w14:textId="77777777" w:rsidR="003675A0" w:rsidRPr="00FA1558" w:rsidRDefault="003675A0" w:rsidP="003675A0">
      <w:pPr>
        <w:spacing w:before="29" w:after="0"/>
        <w:ind w:left="107" w:right="-79"/>
        <w:rPr>
          <w:rFonts w:cs="Arial"/>
          <w:b/>
          <w:bCs/>
          <w:color w:val="231F20"/>
          <w:spacing w:val="5"/>
        </w:rPr>
      </w:pPr>
    </w:p>
    <w:p w14:paraId="2F1ABEEA" w14:textId="77777777" w:rsidR="003675A0" w:rsidRPr="00FA1558" w:rsidRDefault="003675A0" w:rsidP="003675A0">
      <w:pPr>
        <w:spacing w:before="29" w:after="0"/>
        <w:ind w:left="107" w:right="-79"/>
        <w:rPr>
          <w:rFonts w:cs="Arial"/>
        </w:rPr>
      </w:pPr>
      <w:r w:rsidRPr="00FA1558">
        <w:rPr>
          <w:rFonts w:cs="Arial"/>
          <w:b/>
          <w:bCs/>
          <w:noProof/>
          <w:color w:val="231F20"/>
          <w:spacing w:val="1"/>
        </w:rPr>
        <mc:AlternateContent>
          <mc:Choice Requires="wps">
            <w:drawing>
              <wp:anchor distT="0" distB="0" distL="114300" distR="114300" simplePos="0" relativeHeight="251658241" behindDoc="0" locked="0" layoutInCell="1" allowOverlap="1" wp14:anchorId="290A7864" wp14:editId="11B9591E">
                <wp:simplePos x="0" y="0"/>
                <wp:positionH relativeFrom="column">
                  <wp:posOffset>781050</wp:posOffset>
                </wp:positionH>
                <wp:positionV relativeFrom="paragraph">
                  <wp:posOffset>35560</wp:posOffset>
                </wp:positionV>
                <wp:extent cx="3752850" cy="1971675"/>
                <wp:effectExtent l="0" t="0" r="19050" b="28575"/>
                <wp:wrapNone/>
                <wp:docPr id="1873408495" name="Text Box 1873408495"/>
                <wp:cNvGraphicFramePr/>
                <a:graphic xmlns:a="http://schemas.openxmlformats.org/drawingml/2006/main">
                  <a:graphicData uri="http://schemas.microsoft.com/office/word/2010/wordprocessingShape">
                    <wps:wsp>
                      <wps:cNvSpPr txBox="1"/>
                      <wps:spPr>
                        <a:xfrm>
                          <a:off x="0" y="0"/>
                          <a:ext cx="3752850" cy="1971675"/>
                        </a:xfrm>
                        <a:prstGeom prst="rect">
                          <a:avLst/>
                        </a:prstGeom>
                        <a:solidFill>
                          <a:schemeClr val="lt1"/>
                        </a:solidFill>
                        <a:ln w="6350">
                          <a:solidFill>
                            <a:prstClr val="black"/>
                          </a:solidFill>
                        </a:ln>
                      </wps:spPr>
                      <wps:txbx>
                        <w:txbxContent>
                          <w:p w14:paraId="0166B7D2" w14:textId="77777777" w:rsidR="003675A0" w:rsidRPr="002A6A73" w:rsidRDefault="003675A0" w:rsidP="002A6A73">
                            <w:pPr>
                              <w:pStyle w:val="TableContent"/>
                              <w:rPr>
                                <w:sz w:val="40"/>
                                <w:szCs w:val="40"/>
                              </w:rPr>
                            </w:pPr>
                            <w:r w:rsidRPr="002A6A73">
                              <w:rPr>
                                <w:sz w:val="40"/>
                                <w:szCs w:val="40"/>
                              </w:rPr>
                              <w:t>Insert local government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A7864" id="Text Box 1873408495" o:spid="_x0000_s1058" type="#_x0000_t202" style="position:absolute;left:0;text-align:left;margin-left:61.5pt;margin-top:2.8pt;width:295.5pt;height:155.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" fillcolor="white [3201]" strokeweight=".5pt">
                <v:textbox>
                  <w:txbxContent>
                    <w:p w14:paraId="0166B7D2" w14:textId="77777777" w:rsidR="003675A0" w:rsidRPr="002A6A73" w:rsidRDefault="003675A0" w:rsidP="002A6A73">
                      <w:pPr>
                        <w:pStyle w:val="TableContent"/>
                        <w:rPr>
                          <w:sz w:val="40"/>
                          <w:szCs w:val="40"/>
                        </w:rPr>
                      </w:pPr>
                      <w:r w:rsidRPr="002A6A73">
                        <w:rPr>
                          <w:sz w:val="40"/>
                          <w:szCs w:val="40"/>
                        </w:rPr>
                        <w:t>Insert local government logo</w:t>
                      </w:r>
                    </w:p>
                  </w:txbxContent>
                </v:textbox>
              </v:shape>
            </w:pict>
          </mc:Fallback>
        </mc:AlternateContent>
      </w:r>
    </w:p>
    <w:p w14:paraId="301AEE3A" w14:textId="77777777" w:rsidR="003675A0" w:rsidRPr="00FA1558" w:rsidRDefault="003675A0" w:rsidP="003675A0">
      <w:pPr>
        <w:spacing w:after="0"/>
        <w:ind w:left="107" w:right="-20"/>
        <w:rPr>
          <w:rFonts w:cs="Arial"/>
          <w:b/>
          <w:bCs/>
          <w:color w:val="231F20"/>
          <w:spacing w:val="1"/>
          <w:w w:val="97"/>
        </w:rPr>
      </w:pPr>
    </w:p>
    <w:p w14:paraId="1431EB09" w14:textId="77777777" w:rsidR="003675A0" w:rsidRPr="00FA1558" w:rsidRDefault="003675A0" w:rsidP="003675A0">
      <w:pPr>
        <w:spacing w:after="0"/>
        <w:ind w:left="107" w:right="-20"/>
        <w:rPr>
          <w:rFonts w:cs="Arial"/>
          <w:b/>
          <w:bCs/>
          <w:color w:val="231F20"/>
          <w:spacing w:val="1"/>
          <w:w w:val="97"/>
        </w:rPr>
      </w:pPr>
    </w:p>
    <w:p w14:paraId="5A126214" w14:textId="77777777" w:rsidR="003675A0" w:rsidRPr="00FA1558" w:rsidRDefault="003675A0" w:rsidP="003675A0">
      <w:pPr>
        <w:spacing w:after="0"/>
        <w:ind w:left="107" w:right="-20"/>
        <w:rPr>
          <w:rFonts w:cs="Arial"/>
          <w:b/>
          <w:bCs/>
          <w:color w:val="231F20"/>
          <w:spacing w:val="1"/>
          <w:w w:val="97"/>
          <w:highlight w:val="yellow"/>
        </w:rPr>
      </w:pPr>
    </w:p>
    <w:p w14:paraId="0E4980BF" w14:textId="77777777" w:rsidR="003675A0" w:rsidRPr="00FA1558" w:rsidRDefault="003675A0" w:rsidP="003675A0">
      <w:pPr>
        <w:spacing w:after="0"/>
        <w:ind w:left="107" w:right="-20"/>
        <w:rPr>
          <w:rFonts w:cs="Arial"/>
          <w:b/>
          <w:bCs/>
          <w:color w:val="231F20"/>
          <w:spacing w:val="1"/>
          <w:w w:val="97"/>
          <w:highlight w:val="yellow"/>
        </w:rPr>
      </w:pPr>
    </w:p>
    <w:p w14:paraId="34DCCCF2" w14:textId="77777777" w:rsidR="003675A0" w:rsidRPr="00FA1558" w:rsidRDefault="003675A0" w:rsidP="003675A0">
      <w:pPr>
        <w:spacing w:after="0"/>
        <w:ind w:left="107" w:right="-20"/>
        <w:rPr>
          <w:rFonts w:cs="Arial"/>
          <w:b/>
          <w:bCs/>
          <w:color w:val="231F20"/>
          <w:spacing w:val="1"/>
          <w:w w:val="97"/>
          <w:highlight w:val="yellow"/>
        </w:rPr>
      </w:pPr>
    </w:p>
    <w:p w14:paraId="15AF242D" w14:textId="77777777" w:rsidR="003675A0" w:rsidRPr="00FA1558" w:rsidRDefault="003675A0" w:rsidP="003675A0">
      <w:pPr>
        <w:spacing w:after="0"/>
        <w:ind w:left="107" w:right="-20"/>
        <w:rPr>
          <w:rFonts w:cs="Arial"/>
          <w:b/>
          <w:bCs/>
          <w:color w:val="231F20"/>
          <w:spacing w:val="1"/>
          <w:w w:val="97"/>
          <w:highlight w:val="yellow"/>
        </w:rPr>
      </w:pPr>
    </w:p>
    <w:p w14:paraId="7B0B9807" w14:textId="77777777" w:rsidR="003675A0" w:rsidRPr="00FA1558" w:rsidRDefault="003675A0" w:rsidP="003675A0">
      <w:pPr>
        <w:spacing w:after="0"/>
        <w:ind w:left="107" w:right="-20"/>
        <w:rPr>
          <w:rFonts w:cs="Arial"/>
          <w:b/>
          <w:bCs/>
          <w:color w:val="231F20"/>
          <w:spacing w:val="1"/>
          <w:w w:val="97"/>
          <w:highlight w:val="yellow"/>
        </w:rPr>
      </w:pPr>
    </w:p>
    <w:p w14:paraId="06D441E7" w14:textId="77777777" w:rsidR="003675A0" w:rsidRPr="00FA1558" w:rsidRDefault="003675A0" w:rsidP="003675A0">
      <w:pPr>
        <w:spacing w:after="0"/>
        <w:ind w:left="107" w:right="-20"/>
        <w:rPr>
          <w:rFonts w:cs="Arial"/>
          <w:b/>
          <w:bCs/>
          <w:color w:val="231F20"/>
          <w:spacing w:val="1"/>
          <w:w w:val="97"/>
          <w:highlight w:val="yellow"/>
        </w:rPr>
      </w:pPr>
    </w:p>
    <w:p w14:paraId="17F0EA0D" w14:textId="77777777" w:rsidR="003675A0" w:rsidRPr="00FA1558" w:rsidRDefault="003675A0" w:rsidP="003675A0">
      <w:pPr>
        <w:spacing w:after="0"/>
        <w:ind w:left="107" w:right="-20"/>
        <w:rPr>
          <w:rFonts w:cs="Arial"/>
          <w:b/>
          <w:bCs/>
          <w:color w:val="231F20"/>
          <w:spacing w:val="1"/>
          <w:w w:val="97"/>
          <w:highlight w:val="yellow"/>
        </w:rPr>
      </w:pPr>
    </w:p>
    <w:p w14:paraId="104FB1DE" w14:textId="77777777" w:rsidR="003675A0" w:rsidRPr="00FA1558" w:rsidRDefault="003675A0" w:rsidP="003675A0">
      <w:pPr>
        <w:spacing w:after="0"/>
        <w:ind w:left="107" w:right="-20"/>
        <w:rPr>
          <w:rFonts w:cs="Arial"/>
          <w:b/>
          <w:bCs/>
          <w:color w:val="231F20"/>
          <w:spacing w:val="1"/>
          <w:w w:val="97"/>
          <w:highlight w:val="yellow"/>
        </w:rPr>
      </w:pPr>
    </w:p>
    <w:p w14:paraId="5C674D84" w14:textId="77777777" w:rsidR="003675A0" w:rsidRPr="00FA1558" w:rsidRDefault="003675A0" w:rsidP="003675A0">
      <w:pPr>
        <w:spacing w:after="0"/>
        <w:ind w:left="107" w:right="-20"/>
        <w:rPr>
          <w:rFonts w:cs="Arial"/>
          <w:b/>
          <w:bCs/>
          <w:color w:val="231F20"/>
          <w:spacing w:val="1"/>
          <w:w w:val="97"/>
          <w:highlight w:val="yellow"/>
        </w:rPr>
      </w:pPr>
    </w:p>
    <w:p w14:paraId="12A0C6C2" w14:textId="77777777" w:rsidR="003675A0" w:rsidRPr="00D71E5A" w:rsidRDefault="003675A0" w:rsidP="00D70B5C">
      <w:pPr>
        <w:pStyle w:val="BodyText"/>
      </w:pPr>
    </w:p>
    <w:p w14:paraId="3CF5ABF0" w14:textId="703FC752" w:rsidR="003675A0" w:rsidRPr="00CB5278" w:rsidRDefault="003675A0" w:rsidP="00D70B5C">
      <w:pPr>
        <w:pStyle w:val="BodyText"/>
      </w:pPr>
      <w:r w:rsidRPr="00CB5278">
        <w:t xml:space="preserve">Request for </w:t>
      </w:r>
      <w:r w:rsidR="007178F8">
        <w:t>q</w:t>
      </w:r>
      <w:r w:rsidRPr="00CB5278">
        <w:t>uotation</w:t>
      </w:r>
    </w:p>
    <w:p w14:paraId="37D1EE27" w14:textId="77777777" w:rsidR="003675A0" w:rsidRPr="00D71E5A" w:rsidRDefault="003675A0" w:rsidP="00D70B5C">
      <w:pPr>
        <w:pStyle w:val="BodyText"/>
      </w:pPr>
    </w:p>
    <w:p w14:paraId="0BAA3174" w14:textId="77777777" w:rsidR="003675A0" w:rsidRPr="00D71E5A" w:rsidRDefault="003675A0" w:rsidP="00D70B5C">
      <w:pPr>
        <w:pStyle w:val="BodyText"/>
      </w:pPr>
    </w:p>
    <w:p w14:paraId="1B37D61B" w14:textId="77777777" w:rsidR="003675A0" w:rsidRPr="00D71E5A" w:rsidRDefault="003675A0" w:rsidP="00D70B5C">
      <w:pPr>
        <w:pStyle w:val="BodyText"/>
      </w:pPr>
      <w:r w:rsidRPr="00D71E5A">
        <w:t>[ Name of entity]</w:t>
      </w:r>
    </w:p>
    <w:p w14:paraId="481D8EAB" w14:textId="77777777" w:rsidR="003675A0" w:rsidRPr="00D71E5A" w:rsidRDefault="003675A0" w:rsidP="00D70B5C">
      <w:pPr>
        <w:pStyle w:val="BodyText"/>
      </w:pPr>
    </w:p>
    <w:p w14:paraId="30F70D30" w14:textId="77777777" w:rsidR="003675A0" w:rsidRPr="00D71E5A" w:rsidRDefault="003675A0" w:rsidP="00D70B5C">
      <w:pPr>
        <w:pStyle w:val="BodyText"/>
      </w:pPr>
    </w:p>
    <w:p w14:paraId="10C1C6D4" w14:textId="77777777" w:rsidR="003675A0" w:rsidRPr="00D71E5A" w:rsidRDefault="003675A0" w:rsidP="00D70B5C">
      <w:pPr>
        <w:pStyle w:val="BodyText"/>
      </w:pPr>
      <w:r w:rsidRPr="00D71E5A">
        <w:t>for</w:t>
      </w:r>
    </w:p>
    <w:p w14:paraId="74F56511" w14:textId="77777777" w:rsidR="003675A0" w:rsidRPr="00D71E5A" w:rsidRDefault="003675A0" w:rsidP="00D70B5C">
      <w:pPr>
        <w:pStyle w:val="BodyText"/>
      </w:pPr>
    </w:p>
    <w:p w14:paraId="053323E8" w14:textId="77777777" w:rsidR="003675A0" w:rsidRPr="00D71E5A" w:rsidRDefault="003675A0" w:rsidP="00D70B5C">
      <w:pPr>
        <w:pStyle w:val="BodyText"/>
      </w:pPr>
      <w:r w:rsidRPr="00D71E5A">
        <w:t>Development of internal asset valuation capability</w:t>
      </w:r>
    </w:p>
    <w:p w14:paraId="15F52FF5" w14:textId="77777777" w:rsidR="003675A0" w:rsidRPr="00D71E5A" w:rsidRDefault="003675A0" w:rsidP="00D70B5C">
      <w:pPr>
        <w:pStyle w:val="BodyText"/>
      </w:pPr>
    </w:p>
    <w:p w14:paraId="7A3D9813" w14:textId="77777777" w:rsidR="003675A0" w:rsidRPr="00D71E5A" w:rsidRDefault="003675A0" w:rsidP="00D70B5C">
      <w:pPr>
        <w:pStyle w:val="BodyText"/>
      </w:pPr>
    </w:p>
    <w:tbl>
      <w:tblPr>
        <w:tblStyle w:val="TableGrid"/>
        <w:tblW w:w="9072" w:type="dxa"/>
        <w:tblInd w:w="107" w:type="dxa"/>
        <w:tblLook w:val="04A0" w:firstRow="1" w:lastRow="0" w:firstColumn="1" w:lastColumn="0" w:noHBand="0" w:noVBand="1"/>
      </w:tblPr>
      <w:tblGrid>
        <w:gridCol w:w="2268"/>
        <w:gridCol w:w="6804"/>
      </w:tblGrid>
      <w:tr w:rsidR="003675A0" w14:paraId="069FDEDC" w14:textId="77777777" w:rsidTr="004B7282">
        <w:tc>
          <w:tcPr>
            <w:tcW w:w="2268" w:type="dxa"/>
          </w:tcPr>
          <w:p w14:paraId="28001B72" w14:textId="60C17970" w:rsidR="003675A0" w:rsidRPr="004F7B21" w:rsidRDefault="003675A0" w:rsidP="004F7B21">
            <w:pPr>
              <w:pStyle w:val="TableContent"/>
              <w:rPr>
                <w:sz w:val="24"/>
              </w:rPr>
            </w:pPr>
            <w:r w:rsidRPr="004F7B21">
              <w:rPr>
                <w:sz w:val="24"/>
              </w:rPr>
              <w:t xml:space="preserve">Name of </w:t>
            </w:r>
            <w:r w:rsidR="007178F8" w:rsidRPr="004F7B21">
              <w:rPr>
                <w:sz w:val="24"/>
              </w:rPr>
              <w:t>q</w:t>
            </w:r>
            <w:r w:rsidRPr="004F7B21">
              <w:rPr>
                <w:sz w:val="24"/>
              </w:rPr>
              <w:t>uote/</w:t>
            </w:r>
            <w:r w:rsidR="007178F8" w:rsidRPr="004F7B21">
              <w:rPr>
                <w:sz w:val="24"/>
              </w:rPr>
              <w:t>t</w:t>
            </w:r>
            <w:r w:rsidRPr="004F7B21">
              <w:rPr>
                <w:sz w:val="24"/>
              </w:rPr>
              <w:t>ender</w:t>
            </w:r>
          </w:p>
        </w:tc>
        <w:tc>
          <w:tcPr>
            <w:tcW w:w="6804" w:type="dxa"/>
          </w:tcPr>
          <w:p w14:paraId="2729B8B6" w14:textId="77777777" w:rsidR="003675A0" w:rsidRPr="004F7B21" w:rsidRDefault="003675A0" w:rsidP="004F7B21">
            <w:pPr>
              <w:pStyle w:val="TableContent"/>
              <w:rPr>
                <w:sz w:val="24"/>
              </w:rPr>
            </w:pPr>
            <w:r w:rsidRPr="004F7B21">
              <w:rPr>
                <w:sz w:val="24"/>
              </w:rPr>
              <w:t>[Development of internal asset valuation capability]</w:t>
            </w:r>
          </w:p>
        </w:tc>
      </w:tr>
      <w:tr w:rsidR="003675A0" w14:paraId="7B168775" w14:textId="77777777" w:rsidTr="004B7282">
        <w:tc>
          <w:tcPr>
            <w:tcW w:w="2268" w:type="dxa"/>
          </w:tcPr>
          <w:p w14:paraId="3E354F00" w14:textId="795C9773" w:rsidR="003675A0" w:rsidRPr="004F7B21" w:rsidRDefault="003675A0" w:rsidP="004F7B21">
            <w:pPr>
              <w:pStyle w:val="TableContent"/>
              <w:rPr>
                <w:sz w:val="24"/>
              </w:rPr>
            </w:pPr>
            <w:r w:rsidRPr="004F7B21">
              <w:rPr>
                <w:sz w:val="24"/>
              </w:rPr>
              <w:t xml:space="preserve">Closing </w:t>
            </w:r>
            <w:r w:rsidR="007178F8" w:rsidRPr="004F7B21">
              <w:rPr>
                <w:sz w:val="24"/>
              </w:rPr>
              <w:t>t</w:t>
            </w:r>
            <w:r w:rsidRPr="004F7B21">
              <w:rPr>
                <w:sz w:val="24"/>
              </w:rPr>
              <w:t>ime</w:t>
            </w:r>
          </w:p>
        </w:tc>
        <w:tc>
          <w:tcPr>
            <w:tcW w:w="6804" w:type="dxa"/>
          </w:tcPr>
          <w:p w14:paraId="1E248BDE" w14:textId="77777777" w:rsidR="003675A0" w:rsidRPr="004F7B21" w:rsidRDefault="003675A0" w:rsidP="004F7B21">
            <w:pPr>
              <w:pStyle w:val="TableContent"/>
              <w:rPr>
                <w:sz w:val="24"/>
              </w:rPr>
            </w:pPr>
            <w:r w:rsidRPr="004F7B21">
              <w:rPr>
                <w:sz w:val="24"/>
              </w:rPr>
              <w:t>[Time and date of closing]</w:t>
            </w:r>
          </w:p>
        </w:tc>
      </w:tr>
      <w:tr w:rsidR="003675A0" w14:paraId="490ADB6E" w14:textId="77777777" w:rsidTr="004B7282">
        <w:tc>
          <w:tcPr>
            <w:tcW w:w="2268" w:type="dxa"/>
          </w:tcPr>
          <w:p w14:paraId="2A577C1B" w14:textId="77777777" w:rsidR="003675A0" w:rsidRPr="004F7B21" w:rsidRDefault="003675A0" w:rsidP="004F7B21">
            <w:pPr>
              <w:pStyle w:val="TableContent"/>
              <w:rPr>
                <w:sz w:val="24"/>
              </w:rPr>
            </w:pPr>
            <w:r w:rsidRPr="004F7B21">
              <w:rPr>
                <w:sz w:val="24"/>
              </w:rPr>
              <w:t>Number</w:t>
            </w:r>
          </w:p>
        </w:tc>
        <w:tc>
          <w:tcPr>
            <w:tcW w:w="6804" w:type="dxa"/>
          </w:tcPr>
          <w:p w14:paraId="7940E129" w14:textId="77777777" w:rsidR="003675A0" w:rsidRPr="004F7B21" w:rsidRDefault="003675A0" w:rsidP="004F7B21">
            <w:pPr>
              <w:pStyle w:val="TableContent"/>
              <w:rPr>
                <w:sz w:val="24"/>
              </w:rPr>
            </w:pPr>
            <w:r w:rsidRPr="004F7B21">
              <w:rPr>
                <w:sz w:val="24"/>
              </w:rPr>
              <w:t>[Tender reference]</w:t>
            </w:r>
          </w:p>
        </w:tc>
      </w:tr>
    </w:tbl>
    <w:p w14:paraId="4090D66A" w14:textId="77777777" w:rsidR="003675A0" w:rsidRPr="00FA1558" w:rsidRDefault="003675A0" w:rsidP="003675A0">
      <w:pPr>
        <w:spacing w:after="0"/>
        <w:rPr>
          <w:rFonts w:cs="Arial"/>
          <w:b/>
          <w:bCs/>
          <w:color w:val="231F20"/>
        </w:rPr>
      </w:pPr>
      <w:r w:rsidRPr="00FA1558">
        <w:rPr>
          <w:rFonts w:cs="Arial"/>
          <w:b/>
          <w:bCs/>
          <w:color w:val="231F20"/>
        </w:rPr>
        <w:br w:type="page"/>
      </w:r>
    </w:p>
    <w:p w14:paraId="0F7E76FA" w14:textId="77777777" w:rsidR="003675A0" w:rsidRPr="00265708" w:rsidRDefault="003675A0" w:rsidP="006218C2">
      <w:pPr>
        <w:pStyle w:val="Heading4"/>
      </w:pPr>
      <w:r w:rsidRPr="00265708">
        <w:lastRenderedPageBreak/>
        <w:t>1 Quotation/tender details</w:t>
      </w:r>
    </w:p>
    <w:tbl>
      <w:tblPr>
        <w:tblStyle w:val="TableGrid"/>
        <w:tblW w:w="9639" w:type="dxa"/>
        <w:tblLook w:val="04A0" w:firstRow="1" w:lastRow="0" w:firstColumn="1" w:lastColumn="0" w:noHBand="0" w:noVBand="1"/>
      </w:tblPr>
      <w:tblGrid>
        <w:gridCol w:w="3012"/>
        <w:gridCol w:w="6627"/>
      </w:tblGrid>
      <w:tr w:rsidR="003675A0" w:rsidRPr="00265708" w14:paraId="622C0E37" w14:textId="77777777" w:rsidTr="004B7282">
        <w:tc>
          <w:tcPr>
            <w:tcW w:w="2835" w:type="dxa"/>
            <w:shd w:val="clear" w:color="auto" w:fill="F2F2F2" w:themeFill="background1" w:themeFillShade="F2"/>
          </w:tcPr>
          <w:p w14:paraId="01A71FD4" w14:textId="77777777" w:rsidR="003675A0" w:rsidRPr="007009BB" w:rsidRDefault="003675A0" w:rsidP="007009BB">
            <w:pPr>
              <w:pStyle w:val="TableContent"/>
              <w:rPr>
                <w:b/>
                <w:bCs/>
                <w:sz w:val="24"/>
              </w:rPr>
            </w:pPr>
            <w:r w:rsidRPr="007009BB">
              <w:rPr>
                <w:b/>
                <w:bCs/>
                <w:sz w:val="24"/>
              </w:rPr>
              <w:t>Item</w:t>
            </w:r>
          </w:p>
        </w:tc>
        <w:tc>
          <w:tcPr>
            <w:tcW w:w="6237" w:type="dxa"/>
            <w:shd w:val="clear" w:color="auto" w:fill="F2F2F2" w:themeFill="background1" w:themeFillShade="F2"/>
          </w:tcPr>
          <w:p w14:paraId="037CB4AD" w14:textId="702B07D7" w:rsidR="003675A0" w:rsidRPr="007009BB" w:rsidRDefault="003675A0" w:rsidP="007009BB">
            <w:pPr>
              <w:pStyle w:val="TableContent"/>
              <w:rPr>
                <w:b/>
                <w:bCs/>
                <w:sz w:val="24"/>
              </w:rPr>
            </w:pPr>
            <w:r w:rsidRPr="007009BB">
              <w:rPr>
                <w:b/>
                <w:bCs/>
                <w:sz w:val="24"/>
              </w:rPr>
              <w:t xml:space="preserve">Title of </w:t>
            </w:r>
            <w:r w:rsidR="007178F8">
              <w:rPr>
                <w:b/>
                <w:bCs/>
                <w:sz w:val="24"/>
              </w:rPr>
              <w:t>p</w:t>
            </w:r>
            <w:r w:rsidRPr="007009BB">
              <w:rPr>
                <w:b/>
                <w:bCs/>
                <w:sz w:val="24"/>
              </w:rPr>
              <w:t>roject</w:t>
            </w:r>
          </w:p>
        </w:tc>
      </w:tr>
      <w:tr w:rsidR="003675A0" w:rsidRPr="00265708" w14:paraId="6481818B" w14:textId="77777777" w:rsidTr="004B7282">
        <w:tc>
          <w:tcPr>
            <w:tcW w:w="2835" w:type="dxa"/>
          </w:tcPr>
          <w:p w14:paraId="4F2A3040" w14:textId="77777777" w:rsidR="003675A0" w:rsidRPr="007009BB" w:rsidRDefault="003675A0" w:rsidP="007009BB">
            <w:pPr>
              <w:pStyle w:val="TableContent"/>
              <w:rPr>
                <w:b/>
                <w:bCs/>
                <w:sz w:val="24"/>
              </w:rPr>
            </w:pPr>
            <w:r w:rsidRPr="007009BB">
              <w:rPr>
                <w:b/>
                <w:bCs/>
                <w:sz w:val="24"/>
              </w:rPr>
              <w:t>Project manager</w:t>
            </w:r>
          </w:p>
        </w:tc>
        <w:tc>
          <w:tcPr>
            <w:tcW w:w="6237" w:type="dxa"/>
          </w:tcPr>
          <w:p w14:paraId="2089E0CB" w14:textId="77777777" w:rsidR="003675A0" w:rsidRPr="007009BB" w:rsidRDefault="003675A0" w:rsidP="007009BB">
            <w:pPr>
              <w:pStyle w:val="TableContent"/>
              <w:rPr>
                <w:sz w:val="24"/>
              </w:rPr>
            </w:pPr>
            <w:r w:rsidRPr="007009BB">
              <w:rPr>
                <w:color w:val="231F20"/>
                <w:spacing w:val="3"/>
                <w:sz w:val="24"/>
              </w:rPr>
              <w:t>[Na</w:t>
            </w:r>
            <w:r w:rsidRPr="007009BB">
              <w:rPr>
                <w:color w:val="231F20"/>
                <w:spacing w:val="2"/>
                <w:sz w:val="24"/>
              </w:rPr>
              <w:t>m</w:t>
            </w:r>
            <w:r w:rsidRPr="007009BB">
              <w:rPr>
                <w:color w:val="231F20"/>
                <w:sz w:val="24"/>
              </w:rPr>
              <w:t>e</w:t>
            </w:r>
            <w:r w:rsidRPr="007009BB">
              <w:rPr>
                <w:color w:val="231F20"/>
                <w:spacing w:val="-16"/>
                <w:sz w:val="24"/>
              </w:rPr>
              <w:t xml:space="preserve"> </w:t>
            </w:r>
            <w:r w:rsidRPr="007009BB">
              <w:rPr>
                <w:color w:val="231F20"/>
                <w:spacing w:val="3"/>
                <w:sz w:val="24"/>
              </w:rPr>
              <w:t>a</w:t>
            </w:r>
            <w:r w:rsidRPr="007009BB">
              <w:rPr>
                <w:color w:val="231F20"/>
                <w:spacing w:val="2"/>
                <w:sz w:val="24"/>
              </w:rPr>
              <w:t>n</w:t>
            </w:r>
            <w:r w:rsidRPr="007009BB">
              <w:rPr>
                <w:color w:val="231F20"/>
                <w:sz w:val="24"/>
              </w:rPr>
              <w:t>d</w:t>
            </w:r>
            <w:r w:rsidRPr="007009BB">
              <w:rPr>
                <w:color w:val="231F20"/>
                <w:spacing w:val="-7"/>
                <w:sz w:val="24"/>
              </w:rPr>
              <w:t xml:space="preserve"> </w:t>
            </w:r>
            <w:r w:rsidRPr="007009BB">
              <w:rPr>
                <w:color w:val="231F20"/>
                <w:spacing w:val="3"/>
                <w:sz w:val="24"/>
              </w:rPr>
              <w:t>c</w:t>
            </w:r>
            <w:r w:rsidRPr="007009BB">
              <w:rPr>
                <w:color w:val="231F20"/>
                <w:spacing w:val="2"/>
                <w:sz w:val="24"/>
              </w:rPr>
              <w:t>o</w:t>
            </w:r>
            <w:r w:rsidRPr="007009BB">
              <w:rPr>
                <w:color w:val="231F20"/>
                <w:spacing w:val="1"/>
                <w:sz w:val="24"/>
              </w:rPr>
              <w:t>n</w:t>
            </w:r>
            <w:r w:rsidRPr="007009BB">
              <w:rPr>
                <w:color w:val="231F20"/>
                <w:spacing w:val="2"/>
                <w:sz w:val="24"/>
              </w:rPr>
              <w:t>tac</w:t>
            </w:r>
            <w:r w:rsidRPr="007009BB">
              <w:rPr>
                <w:color w:val="231F20"/>
                <w:sz w:val="24"/>
              </w:rPr>
              <w:t xml:space="preserve">t </w:t>
            </w:r>
            <w:r w:rsidRPr="007009BB">
              <w:rPr>
                <w:color w:val="231F20"/>
                <w:spacing w:val="2"/>
                <w:sz w:val="24"/>
              </w:rPr>
              <w:t>num</w:t>
            </w:r>
            <w:r w:rsidRPr="007009BB">
              <w:rPr>
                <w:color w:val="231F20"/>
                <w:spacing w:val="3"/>
                <w:sz w:val="24"/>
              </w:rPr>
              <w:t>ber</w:t>
            </w:r>
            <w:r w:rsidRPr="007009BB">
              <w:rPr>
                <w:color w:val="231F20"/>
                <w:sz w:val="24"/>
              </w:rPr>
              <w:t>s</w:t>
            </w:r>
            <w:r w:rsidRPr="007009BB">
              <w:rPr>
                <w:color w:val="231F20"/>
                <w:spacing w:val="-17"/>
                <w:sz w:val="24"/>
              </w:rPr>
              <w:t xml:space="preserve"> </w:t>
            </w:r>
            <w:r w:rsidRPr="007009BB">
              <w:rPr>
                <w:color w:val="231F20"/>
                <w:sz w:val="24"/>
              </w:rPr>
              <w:t>of</w:t>
            </w:r>
            <w:r w:rsidRPr="007009BB">
              <w:rPr>
                <w:color w:val="231F20"/>
                <w:spacing w:val="-3"/>
                <w:sz w:val="24"/>
              </w:rPr>
              <w:t xml:space="preserve"> </w:t>
            </w:r>
            <w:r w:rsidRPr="007009BB">
              <w:rPr>
                <w:color w:val="231F20"/>
                <w:spacing w:val="2"/>
                <w:w w:val="103"/>
                <w:sz w:val="24"/>
              </w:rPr>
              <w:t>p</w:t>
            </w:r>
            <w:r w:rsidRPr="007009BB">
              <w:rPr>
                <w:color w:val="231F20"/>
                <w:w w:val="94"/>
                <w:sz w:val="24"/>
              </w:rPr>
              <w:t>r</w:t>
            </w:r>
            <w:r w:rsidRPr="007009BB">
              <w:rPr>
                <w:color w:val="231F20"/>
                <w:spacing w:val="2"/>
                <w:sz w:val="24"/>
              </w:rPr>
              <w:t>o</w:t>
            </w:r>
            <w:r w:rsidRPr="007009BB">
              <w:rPr>
                <w:color w:val="231F20"/>
                <w:spacing w:val="2"/>
                <w:w w:val="83"/>
                <w:sz w:val="24"/>
              </w:rPr>
              <w:t>j</w:t>
            </w:r>
            <w:r w:rsidRPr="007009BB">
              <w:rPr>
                <w:color w:val="231F20"/>
                <w:spacing w:val="3"/>
                <w:w w:val="93"/>
                <w:sz w:val="24"/>
              </w:rPr>
              <w:t>e</w:t>
            </w:r>
            <w:r w:rsidRPr="007009BB">
              <w:rPr>
                <w:color w:val="231F20"/>
                <w:spacing w:val="2"/>
                <w:w w:val="103"/>
                <w:sz w:val="24"/>
              </w:rPr>
              <w:t>c</w:t>
            </w:r>
            <w:r w:rsidRPr="007009BB">
              <w:rPr>
                <w:color w:val="231F20"/>
                <w:w w:val="106"/>
                <w:sz w:val="24"/>
              </w:rPr>
              <w:t xml:space="preserve">t </w:t>
            </w:r>
            <w:r w:rsidRPr="007009BB">
              <w:rPr>
                <w:color w:val="231F20"/>
                <w:spacing w:val="2"/>
                <w:sz w:val="24"/>
              </w:rPr>
              <w:t>m</w:t>
            </w:r>
            <w:r w:rsidRPr="007009BB">
              <w:rPr>
                <w:color w:val="231F20"/>
                <w:spacing w:val="3"/>
                <w:sz w:val="24"/>
              </w:rPr>
              <w:t>a</w:t>
            </w:r>
            <w:r w:rsidRPr="007009BB">
              <w:rPr>
                <w:color w:val="231F20"/>
                <w:spacing w:val="2"/>
                <w:sz w:val="24"/>
              </w:rPr>
              <w:t>na</w:t>
            </w:r>
            <w:r w:rsidRPr="007009BB">
              <w:rPr>
                <w:color w:val="231F20"/>
                <w:spacing w:val="3"/>
                <w:sz w:val="24"/>
              </w:rPr>
              <w:t>ge</w:t>
            </w:r>
            <w:r w:rsidRPr="007009BB">
              <w:rPr>
                <w:color w:val="231F20"/>
                <w:sz w:val="24"/>
              </w:rPr>
              <w:t>r]</w:t>
            </w:r>
          </w:p>
        </w:tc>
      </w:tr>
      <w:tr w:rsidR="003675A0" w:rsidRPr="00265708" w14:paraId="6651F5FF" w14:textId="77777777" w:rsidTr="004B7282">
        <w:tc>
          <w:tcPr>
            <w:tcW w:w="2835" w:type="dxa"/>
          </w:tcPr>
          <w:p w14:paraId="57539B5E" w14:textId="77777777" w:rsidR="003675A0" w:rsidRPr="007009BB" w:rsidRDefault="003675A0" w:rsidP="007009BB">
            <w:pPr>
              <w:pStyle w:val="TableContent"/>
              <w:rPr>
                <w:b/>
                <w:bCs/>
                <w:sz w:val="24"/>
              </w:rPr>
            </w:pPr>
            <w:r w:rsidRPr="007009BB">
              <w:rPr>
                <w:b/>
                <w:bCs/>
                <w:color w:val="231F20"/>
                <w:spacing w:val="3"/>
                <w:sz w:val="24"/>
              </w:rPr>
              <w:t>Du</w:t>
            </w:r>
            <w:r w:rsidRPr="007009BB">
              <w:rPr>
                <w:b/>
                <w:bCs/>
                <w:color w:val="231F20"/>
                <w:sz w:val="24"/>
              </w:rPr>
              <w:t>e</w:t>
            </w:r>
            <w:r w:rsidRPr="007009BB">
              <w:rPr>
                <w:b/>
                <w:bCs/>
                <w:color w:val="231F20"/>
                <w:spacing w:val="-17"/>
                <w:sz w:val="24"/>
              </w:rPr>
              <w:t xml:space="preserve"> </w:t>
            </w:r>
            <w:r w:rsidRPr="007009BB">
              <w:rPr>
                <w:b/>
                <w:bCs/>
                <w:color w:val="231F20"/>
                <w:spacing w:val="2"/>
                <w:sz w:val="24"/>
              </w:rPr>
              <w:t>d</w:t>
            </w:r>
            <w:r w:rsidRPr="007009BB">
              <w:rPr>
                <w:b/>
                <w:bCs/>
                <w:color w:val="231F20"/>
                <w:spacing w:val="1"/>
                <w:sz w:val="24"/>
              </w:rPr>
              <w:t>a</w:t>
            </w:r>
            <w:r w:rsidRPr="007009BB">
              <w:rPr>
                <w:b/>
                <w:bCs/>
                <w:color w:val="231F20"/>
                <w:spacing w:val="-1"/>
                <w:sz w:val="24"/>
              </w:rPr>
              <w:t>t</w:t>
            </w:r>
            <w:r w:rsidRPr="007009BB">
              <w:rPr>
                <w:b/>
                <w:bCs/>
                <w:color w:val="231F20"/>
                <w:sz w:val="24"/>
              </w:rPr>
              <w:t>e</w:t>
            </w:r>
            <w:r w:rsidRPr="007009BB">
              <w:rPr>
                <w:b/>
                <w:bCs/>
                <w:color w:val="231F20"/>
                <w:spacing w:val="-7"/>
                <w:sz w:val="24"/>
              </w:rPr>
              <w:t xml:space="preserve"> </w:t>
            </w:r>
            <w:r w:rsidRPr="007009BB">
              <w:rPr>
                <w:b/>
                <w:bCs/>
                <w:color w:val="231F20"/>
                <w:spacing w:val="3"/>
                <w:sz w:val="24"/>
              </w:rPr>
              <w:t>a</w:t>
            </w:r>
            <w:r w:rsidRPr="007009BB">
              <w:rPr>
                <w:b/>
                <w:bCs/>
                <w:color w:val="231F20"/>
                <w:spacing w:val="2"/>
                <w:sz w:val="24"/>
              </w:rPr>
              <w:t>n</w:t>
            </w:r>
            <w:r w:rsidRPr="007009BB">
              <w:rPr>
                <w:b/>
                <w:bCs/>
                <w:color w:val="231F20"/>
                <w:sz w:val="24"/>
              </w:rPr>
              <w:t>d</w:t>
            </w:r>
            <w:r w:rsidRPr="007009BB">
              <w:rPr>
                <w:b/>
                <w:bCs/>
                <w:color w:val="231F20"/>
                <w:spacing w:val="-7"/>
                <w:sz w:val="24"/>
              </w:rPr>
              <w:t xml:space="preserve"> </w:t>
            </w:r>
            <w:r w:rsidRPr="007009BB">
              <w:rPr>
                <w:b/>
                <w:bCs/>
                <w:color w:val="231F20"/>
                <w:spacing w:val="1"/>
                <w:w w:val="106"/>
                <w:sz w:val="24"/>
              </w:rPr>
              <w:t>t</w:t>
            </w:r>
            <w:r w:rsidRPr="007009BB">
              <w:rPr>
                <w:b/>
                <w:bCs/>
                <w:color w:val="231F20"/>
                <w:spacing w:val="2"/>
                <w:w w:val="83"/>
                <w:sz w:val="24"/>
              </w:rPr>
              <w:t>i</w:t>
            </w:r>
            <w:r w:rsidRPr="007009BB">
              <w:rPr>
                <w:b/>
                <w:bCs/>
                <w:color w:val="231F20"/>
                <w:spacing w:val="2"/>
                <w:sz w:val="24"/>
              </w:rPr>
              <w:t>m</w:t>
            </w:r>
            <w:r w:rsidRPr="007009BB">
              <w:rPr>
                <w:b/>
                <w:bCs/>
                <w:color w:val="231F20"/>
                <w:w w:val="93"/>
                <w:sz w:val="24"/>
              </w:rPr>
              <w:t>e</w:t>
            </w:r>
          </w:p>
        </w:tc>
        <w:tc>
          <w:tcPr>
            <w:tcW w:w="6237" w:type="dxa"/>
          </w:tcPr>
          <w:p w14:paraId="3D7C583D" w14:textId="77777777" w:rsidR="003675A0" w:rsidRPr="007009BB" w:rsidRDefault="003675A0" w:rsidP="007009BB">
            <w:pPr>
              <w:pStyle w:val="TableContent"/>
              <w:rPr>
                <w:sz w:val="24"/>
              </w:rPr>
            </w:pPr>
            <w:r w:rsidRPr="007009BB">
              <w:rPr>
                <w:color w:val="231F20"/>
                <w:spacing w:val="3"/>
                <w:w w:val="93"/>
                <w:sz w:val="24"/>
              </w:rPr>
              <w:t>[T</w:t>
            </w:r>
            <w:r w:rsidRPr="007009BB">
              <w:rPr>
                <w:color w:val="231F20"/>
                <w:spacing w:val="2"/>
                <w:w w:val="93"/>
                <w:sz w:val="24"/>
              </w:rPr>
              <w:t>im</w:t>
            </w:r>
            <w:r w:rsidRPr="007009BB">
              <w:rPr>
                <w:color w:val="231F20"/>
                <w:w w:val="93"/>
                <w:sz w:val="24"/>
              </w:rPr>
              <w:t>e</w:t>
            </w:r>
            <w:r w:rsidRPr="007009BB">
              <w:rPr>
                <w:color w:val="231F20"/>
                <w:spacing w:val="6"/>
                <w:w w:val="93"/>
                <w:sz w:val="24"/>
              </w:rPr>
              <w:t xml:space="preserve"> </w:t>
            </w:r>
            <w:r w:rsidRPr="007009BB">
              <w:rPr>
                <w:color w:val="231F20"/>
                <w:spacing w:val="3"/>
                <w:sz w:val="24"/>
              </w:rPr>
              <w:t>a</w:t>
            </w:r>
            <w:r w:rsidRPr="007009BB">
              <w:rPr>
                <w:color w:val="231F20"/>
                <w:spacing w:val="2"/>
                <w:sz w:val="24"/>
              </w:rPr>
              <w:t>n</w:t>
            </w:r>
            <w:r w:rsidRPr="007009BB">
              <w:rPr>
                <w:color w:val="231F20"/>
                <w:sz w:val="24"/>
              </w:rPr>
              <w:t>d</w:t>
            </w:r>
            <w:r w:rsidRPr="007009BB">
              <w:rPr>
                <w:color w:val="231F20"/>
                <w:spacing w:val="-7"/>
                <w:sz w:val="24"/>
              </w:rPr>
              <w:t xml:space="preserve"> </w:t>
            </w:r>
            <w:r w:rsidRPr="007009BB">
              <w:rPr>
                <w:color w:val="231F20"/>
                <w:spacing w:val="2"/>
                <w:sz w:val="24"/>
              </w:rPr>
              <w:t>d</w:t>
            </w:r>
            <w:r w:rsidRPr="007009BB">
              <w:rPr>
                <w:color w:val="231F20"/>
                <w:spacing w:val="1"/>
                <w:sz w:val="24"/>
              </w:rPr>
              <w:t>a</w:t>
            </w:r>
            <w:r w:rsidRPr="007009BB">
              <w:rPr>
                <w:color w:val="231F20"/>
                <w:spacing w:val="-1"/>
                <w:sz w:val="24"/>
              </w:rPr>
              <w:t>t</w:t>
            </w:r>
            <w:r w:rsidRPr="007009BB">
              <w:rPr>
                <w:color w:val="231F20"/>
                <w:sz w:val="24"/>
              </w:rPr>
              <w:t>e</w:t>
            </w:r>
            <w:r w:rsidRPr="007009BB">
              <w:rPr>
                <w:color w:val="231F20"/>
                <w:spacing w:val="-7"/>
                <w:sz w:val="24"/>
              </w:rPr>
              <w:t xml:space="preserve"> </w:t>
            </w:r>
            <w:r w:rsidRPr="007009BB">
              <w:rPr>
                <w:color w:val="231F20"/>
                <w:sz w:val="24"/>
              </w:rPr>
              <w:t>of</w:t>
            </w:r>
            <w:r w:rsidRPr="007009BB">
              <w:rPr>
                <w:color w:val="231F20"/>
                <w:spacing w:val="-3"/>
                <w:sz w:val="24"/>
              </w:rPr>
              <w:t xml:space="preserve"> </w:t>
            </w:r>
            <w:r w:rsidRPr="007009BB">
              <w:rPr>
                <w:color w:val="231F20"/>
                <w:spacing w:val="2"/>
                <w:w w:val="103"/>
                <w:sz w:val="24"/>
              </w:rPr>
              <w:t>c</w:t>
            </w:r>
            <w:r w:rsidRPr="007009BB">
              <w:rPr>
                <w:color w:val="231F20"/>
                <w:spacing w:val="2"/>
                <w:w w:val="83"/>
                <w:sz w:val="24"/>
              </w:rPr>
              <w:t>l</w:t>
            </w:r>
            <w:r w:rsidRPr="007009BB">
              <w:rPr>
                <w:color w:val="231F20"/>
                <w:spacing w:val="2"/>
                <w:sz w:val="24"/>
              </w:rPr>
              <w:t>o</w:t>
            </w:r>
            <w:r w:rsidRPr="007009BB">
              <w:rPr>
                <w:color w:val="231F20"/>
                <w:spacing w:val="2"/>
                <w:w w:val="96"/>
                <w:sz w:val="24"/>
              </w:rPr>
              <w:t>s</w:t>
            </w:r>
            <w:r w:rsidRPr="007009BB">
              <w:rPr>
                <w:color w:val="231F20"/>
                <w:spacing w:val="2"/>
                <w:w w:val="83"/>
                <w:sz w:val="24"/>
              </w:rPr>
              <w:t>i</w:t>
            </w:r>
            <w:r w:rsidRPr="007009BB">
              <w:rPr>
                <w:color w:val="231F20"/>
                <w:spacing w:val="2"/>
                <w:w w:val="96"/>
                <w:sz w:val="24"/>
              </w:rPr>
              <w:t>n</w:t>
            </w:r>
            <w:r w:rsidRPr="007009BB">
              <w:rPr>
                <w:color w:val="231F20"/>
                <w:sz w:val="24"/>
              </w:rPr>
              <w:t>g]</w:t>
            </w:r>
          </w:p>
        </w:tc>
      </w:tr>
    </w:tbl>
    <w:p w14:paraId="71572FAB" w14:textId="77777777" w:rsidR="003675A0" w:rsidRPr="00265708" w:rsidRDefault="003675A0" w:rsidP="006218C2">
      <w:pPr>
        <w:pStyle w:val="Heading4"/>
      </w:pPr>
      <w:r w:rsidRPr="00265708">
        <w:t>2 Objective and scope of work</w:t>
      </w:r>
    </w:p>
    <w:p w14:paraId="38CCB2E0" w14:textId="77777777" w:rsidR="003675A0" w:rsidRPr="00265708" w:rsidRDefault="003675A0" w:rsidP="00D70B5C">
      <w:pPr>
        <w:pStyle w:val="BodyText"/>
      </w:pPr>
      <w:r w:rsidRPr="00265708">
        <w:t xml:space="preserve">Local government has traditionally outsourced the valuation of its assets. However, in conjunction with the desire to improve asset management capability, local government also wishes to develop its own internal asset valuation capability. </w:t>
      </w:r>
    </w:p>
    <w:p w14:paraId="1FF709AD" w14:textId="77777777" w:rsidR="003675A0" w:rsidRPr="00265708" w:rsidRDefault="003675A0" w:rsidP="00D70B5C">
      <w:pPr>
        <w:pStyle w:val="BodyText"/>
      </w:pPr>
      <w:r w:rsidRPr="00265708">
        <w:t>It is critical that the asset valuation methodology is fully compliant with AAS and enables close integration with local government’s asset management planning framework. In terms of valuation methodology, it must provide for:</w:t>
      </w:r>
    </w:p>
    <w:p w14:paraId="633B0491" w14:textId="77777777" w:rsidR="003675A0" w:rsidRPr="00265708" w:rsidRDefault="003675A0">
      <w:pPr>
        <w:pStyle w:val="BodyText"/>
        <w:numPr>
          <w:ilvl w:val="0"/>
          <w:numId w:val="132"/>
        </w:numPr>
      </w:pPr>
      <w:r w:rsidRPr="00265708">
        <w:t>valuing assets appropriately on either market, income or cost approaches</w:t>
      </w:r>
    </w:p>
    <w:p w14:paraId="6A2B1CE5" w14:textId="236FA1F4" w:rsidR="003675A0" w:rsidRPr="006218C2" w:rsidRDefault="003675A0">
      <w:pPr>
        <w:pStyle w:val="BodyText"/>
        <w:numPr>
          <w:ilvl w:val="0"/>
          <w:numId w:val="132"/>
        </w:numPr>
      </w:pPr>
      <w:r w:rsidRPr="00265708">
        <w:t>splitting assets into components</w:t>
      </w:r>
      <w:r w:rsidR="00D16FCF">
        <w:t>;</w:t>
      </w:r>
      <w:r w:rsidRPr="00265708">
        <w:t xml:space="preserve"> </w:t>
      </w:r>
      <w:r w:rsidRPr="006218C2">
        <w:t>and</w:t>
      </w:r>
    </w:p>
    <w:p w14:paraId="13005E74" w14:textId="77777777" w:rsidR="003675A0" w:rsidRPr="00265708" w:rsidRDefault="003675A0">
      <w:pPr>
        <w:pStyle w:val="BodyText"/>
        <w:numPr>
          <w:ilvl w:val="0"/>
          <w:numId w:val="132"/>
        </w:numPr>
      </w:pPr>
      <w:r w:rsidRPr="00265708">
        <w:t>determining a valuation based on consideration of condition, location, restrictions and general obsolescence.</w:t>
      </w:r>
    </w:p>
    <w:p w14:paraId="103432C7" w14:textId="77777777" w:rsidR="003675A0" w:rsidRPr="00265708" w:rsidRDefault="003675A0" w:rsidP="00D70B5C">
      <w:pPr>
        <w:pStyle w:val="BodyText"/>
      </w:pPr>
      <w:r w:rsidRPr="00265708">
        <w:t xml:space="preserve">The types of assets to be valued and included in the financial statements will include: </w:t>
      </w:r>
    </w:p>
    <w:p w14:paraId="3D8CBD55" w14:textId="77777777" w:rsidR="003675A0" w:rsidRPr="00265708" w:rsidRDefault="003675A0">
      <w:pPr>
        <w:pStyle w:val="BodyText"/>
        <w:numPr>
          <w:ilvl w:val="0"/>
          <w:numId w:val="133"/>
        </w:numPr>
      </w:pPr>
      <w:r w:rsidRPr="00265708">
        <w:t>buildings (both specialised and general purpose)</w:t>
      </w:r>
    </w:p>
    <w:p w14:paraId="5B4832D4" w14:textId="77777777" w:rsidR="003675A0" w:rsidRPr="00265708" w:rsidRDefault="003675A0">
      <w:pPr>
        <w:pStyle w:val="BodyText"/>
        <w:numPr>
          <w:ilvl w:val="0"/>
          <w:numId w:val="133"/>
        </w:numPr>
      </w:pPr>
      <w:r w:rsidRPr="00265708">
        <w:t>road infrastructure</w:t>
      </w:r>
    </w:p>
    <w:p w14:paraId="7BD2DDC2" w14:textId="77777777" w:rsidR="003675A0" w:rsidRPr="00265708" w:rsidRDefault="003675A0">
      <w:pPr>
        <w:pStyle w:val="BodyText"/>
        <w:numPr>
          <w:ilvl w:val="0"/>
          <w:numId w:val="133"/>
        </w:numPr>
      </w:pPr>
      <w:r w:rsidRPr="00265708">
        <w:t>water and wastewater infrastructure</w:t>
      </w:r>
    </w:p>
    <w:p w14:paraId="63924726" w14:textId="77777777" w:rsidR="003675A0" w:rsidRPr="00265708" w:rsidRDefault="003675A0">
      <w:pPr>
        <w:pStyle w:val="BodyText"/>
        <w:numPr>
          <w:ilvl w:val="0"/>
          <w:numId w:val="133"/>
        </w:numPr>
      </w:pPr>
      <w:r w:rsidRPr="00265708">
        <w:t>marine infrastructure (including wharves and jetties)</w:t>
      </w:r>
    </w:p>
    <w:p w14:paraId="7DC05764" w14:textId="77777777" w:rsidR="003675A0" w:rsidRPr="00265708" w:rsidRDefault="003675A0">
      <w:pPr>
        <w:pStyle w:val="BodyText"/>
        <w:numPr>
          <w:ilvl w:val="0"/>
          <w:numId w:val="133"/>
        </w:numPr>
      </w:pPr>
      <w:r w:rsidRPr="00265708">
        <w:t>drainage Infrastructure</w:t>
      </w:r>
    </w:p>
    <w:p w14:paraId="56E58852" w14:textId="77777777" w:rsidR="003675A0" w:rsidRPr="00265708" w:rsidRDefault="003675A0">
      <w:pPr>
        <w:pStyle w:val="BodyText"/>
        <w:numPr>
          <w:ilvl w:val="0"/>
          <w:numId w:val="133"/>
        </w:numPr>
      </w:pPr>
      <w:r w:rsidRPr="00265708">
        <w:t>major plant</w:t>
      </w:r>
    </w:p>
    <w:p w14:paraId="3EAB8855" w14:textId="0CA4DE7E" w:rsidR="003675A0" w:rsidRPr="006218C2" w:rsidRDefault="003675A0">
      <w:pPr>
        <w:pStyle w:val="BodyText"/>
        <w:numPr>
          <w:ilvl w:val="0"/>
          <w:numId w:val="133"/>
        </w:numPr>
      </w:pPr>
      <w:r w:rsidRPr="00265708">
        <w:t>open space and recreational assets</w:t>
      </w:r>
      <w:r w:rsidR="00D16FCF">
        <w:t>;</w:t>
      </w:r>
      <w:r w:rsidRPr="00265708">
        <w:t xml:space="preserve"> </w:t>
      </w:r>
      <w:r w:rsidRPr="006218C2">
        <w:t>and</w:t>
      </w:r>
    </w:p>
    <w:p w14:paraId="5599F6D9" w14:textId="77777777" w:rsidR="003675A0" w:rsidRPr="00265708" w:rsidRDefault="003675A0">
      <w:pPr>
        <w:pStyle w:val="BodyText"/>
        <w:numPr>
          <w:ilvl w:val="0"/>
          <w:numId w:val="133"/>
        </w:numPr>
      </w:pPr>
      <w:r w:rsidRPr="00265708">
        <w:t>miscellaneous infrastructure.</w:t>
      </w:r>
    </w:p>
    <w:p w14:paraId="0E9FD819" w14:textId="77777777" w:rsidR="003675A0" w:rsidRPr="00265708" w:rsidRDefault="003675A0" w:rsidP="00D70B5C">
      <w:pPr>
        <w:pStyle w:val="BodyText"/>
      </w:pPr>
      <w:r w:rsidRPr="00265708">
        <w:t xml:space="preserve">Data for most assets is currently available from our finance and asset management systems with some data also held in GIS. </w:t>
      </w:r>
    </w:p>
    <w:p w14:paraId="2531F4D3" w14:textId="77777777" w:rsidR="003675A0" w:rsidRPr="00265708" w:rsidRDefault="003675A0" w:rsidP="00D70B5C">
      <w:pPr>
        <w:pStyle w:val="BodyText"/>
      </w:pPr>
      <w:r w:rsidRPr="00265708">
        <w:t>It is expected that the project will involve:</w:t>
      </w:r>
    </w:p>
    <w:p w14:paraId="088A0FE8" w14:textId="77777777" w:rsidR="003675A0" w:rsidRPr="00265708" w:rsidRDefault="003675A0">
      <w:pPr>
        <w:pStyle w:val="BodyText"/>
        <w:numPr>
          <w:ilvl w:val="0"/>
          <w:numId w:val="134"/>
        </w:numPr>
      </w:pPr>
      <w:r w:rsidRPr="00265708">
        <w:t>on-site workshops and training regarding compliance with AAS and valuation methodology</w:t>
      </w:r>
    </w:p>
    <w:p w14:paraId="3390F52C" w14:textId="77777777" w:rsidR="003675A0" w:rsidRPr="00265708" w:rsidRDefault="003675A0">
      <w:pPr>
        <w:pStyle w:val="BodyText"/>
        <w:numPr>
          <w:ilvl w:val="0"/>
          <w:numId w:val="134"/>
        </w:numPr>
      </w:pPr>
      <w:r w:rsidRPr="00265708">
        <w:t>provision of relevant valuation tools and software</w:t>
      </w:r>
    </w:p>
    <w:p w14:paraId="5B1A742C" w14:textId="77777777" w:rsidR="003675A0" w:rsidRPr="00265708" w:rsidRDefault="003675A0">
      <w:pPr>
        <w:pStyle w:val="BodyText"/>
        <w:numPr>
          <w:ilvl w:val="0"/>
          <w:numId w:val="134"/>
        </w:numPr>
      </w:pPr>
      <w:r w:rsidRPr="00265708">
        <w:t>in-the-field training and mentoring of staff</w:t>
      </w:r>
    </w:p>
    <w:p w14:paraId="20E79800" w14:textId="77777777" w:rsidR="003675A0" w:rsidRPr="00265708" w:rsidRDefault="003675A0">
      <w:pPr>
        <w:pStyle w:val="BodyText"/>
        <w:numPr>
          <w:ilvl w:val="0"/>
          <w:numId w:val="134"/>
        </w:numPr>
      </w:pPr>
      <w:r w:rsidRPr="00265708">
        <w:lastRenderedPageBreak/>
        <w:t>overall quality review and provision of expert advice regarding valuation under AAS</w:t>
      </w:r>
    </w:p>
    <w:p w14:paraId="6FBEED92" w14:textId="2BF83AE0" w:rsidR="003675A0" w:rsidRPr="006218C2" w:rsidRDefault="003675A0">
      <w:pPr>
        <w:pStyle w:val="BodyText"/>
        <w:numPr>
          <w:ilvl w:val="0"/>
          <w:numId w:val="134"/>
        </w:numPr>
      </w:pPr>
      <w:r w:rsidRPr="00265708">
        <w:t>delivery of outputs including valuations, financial reporting and outputs to support the asset management framework</w:t>
      </w:r>
      <w:r w:rsidR="00D16FCF">
        <w:t>;</w:t>
      </w:r>
      <w:r w:rsidRPr="00265708">
        <w:t xml:space="preserve"> </w:t>
      </w:r>
      <w:r w:rsidRPr="006218C2">
        <w:t>and</w:t>
      </w:r>
    </w:p>
    <w:p w14:paraId="0AACF560" w14:textId="77777777" w:rsidR="003675A0" w:rsidRPr="00265708" w:rsidRDefault="003675A0">
      <w:pPr>
        <w:pStyle w:val="BodyText"/>
        <w:numPr>
          <w:ilvl w:val="0"/>
          <w:numId w:val="134"/>
        </w:numPr>
      </w:pPr>
      <w:r w:rsidRPr="00265708">
        <w:t>provision of a peer review for both valuations delivered as part of this project.</w:t>
      </w:r>
    </w:p>
    <w:p w14:paraId="284E16C1" w14:textId="6CF77891" w:rsidR="003675A0" w:rsidRPr="00265708" w:rsidRDefault="003675A0" w:rsidP="00D70B5C">
      <w:pPr>
        <w:pStyle w:val="BodyText"/>
      </w:pPr>
      <w:r w:rsidRPr="00265708">
        <w:t>As the project’s primary objective is to develop in-house capability</w:t>
      </w:r>
      <w:r w:rsidR="00D16FCF">
        <w:t>,</w:t>
      </w:r>
      <w:r w:rsidRPr="00265708">
        <w:t xml:space="preserve"> it is expected that the total project will initially involve the valuation of transport assets with follow up training in the following year involving the valuation of buildings.</w:t>
      </w:r>
    </w:p>
    <w:p w14:paraId="56CBAA67" w14:textId="77777777" w:rsidR="003675A0" w:rsidRPr="00265708" w:rsidRDefault="003675A0" w:rsidP="006218C2">
      <w:pPr>
        <w:pStyle w:val="Heading4"/>
      </w:pPr>
      <w:r w:rsidRPr="00265708">
        <w:t>3 Criteria</w:t>
      </w:r>
    </w:p>
    <w:p w14:paraId="5E550569" w14:textId="79316097" w:rsidR="003675A0" w:rsidRDefault="003675A0" w:rsidP="00D70B5C">
      <w:pPr>
        <w:pStyle w:val="BodyText"/>
      </w:pPr>
      <w:r w:rsidRPr="00265708">
        <w:t>In addition to overall fixed price</w:t>
      </w:r>
      <w:r w:rsidR="00D16FCF">
        <w:t>,</w:t>
      </w:r>
      <w:r w:rsidRPr="00265708">
        <w:t xml:space="preserve"> the selection process will include consideration of the following qualitative criteria</w:t>
      </w:r>
      <w:r w:rsidR="00D16FCF">
        <w:t>:</w:t>
      </w:r>
    </w:p>
    <w:p w14:paraId="584177E2" w14:textId="77777777" w:rsidR="00D16FCF" w:rsidRPr="00265708" w:rsidRDefault="00D16FCF">
      <w:pPr>
        <w:pStyle w:val="BodyText"/>
        <w:numPr>
          <w:ilvl w:val="0"/>
          <w:numId w:val="135"/>
        </w:numPr>
      </w:pPr>
      <w:r w:rsidRPr="00265708">
        <w:t>experience in delivering similar projects (25%)</w:t>
      </w:r>
    </w:p>
    <w:p w14:paraId="62A0EBBF" w14:textId="77777777" w:rsidR="00D16FCF" w:rsidRPr="00265708" w:rsidRDefault="00D16FCF">
      <w:pPr>
        <w:pStyle w:val="BodyText"/>
        <w:numPr>
          <w:ilvl w:val="0"/>
          <w:numId w:val="135"/>
        </w:numPr>
      </w:pPr>
      <w:r w:rsidRPr="00265708">
        <w:t>expertise in and experience with the provision of training regarding valuation and asset management (15%)</w:t>
      </w:r>
    </w:p>
    <w:p w14:paraId="5280E5A3" w14:textId="77777777" w:rsidR="00D16FCF" w:rsidRPr="00265708" w:rsidRDefault="00D16FCF">
      <w:pPr>
        <w:pStyle w:val="BodyText"/>
        <w:numPr>
          <w:ilvl w:val="0"/>
          <w:numId w:val="135"/>
        </w:numPr>
      </w:pPr>
      <w:r w:rsidRPr="00265708">
        <w:t xml:space="preserve">project methodology </w:t>
      </w:r>
      <w:proofErr w:type="gramStart"/>
      <w:r w:rsidRPr="00265708">
        <w:t>include</w:t>
      </w:r>
      <w:proofErr w:type="gramEnd"/>
      <w:r w:rsidRPr="00265708">
        <w:t xml:space="preserve"> process, tools, software and timetable (10%)</w:t>
      </w:r>
    </w:p>
    <w:p w14:paraId="35F68398" w14:textId="59C8D907" w:rsidR="00D16FCF" w:rsidRPr="00265708" w:rsidRDefault="00D16FCF">
      <w:pPr>
        <w:pStyle w:val="BodyText"/>
        <w:numPr>
          <w:ilvl w:val="0"/>
          <w:numId w:val="135"/>
        </w:numPr>
      </w:pPr>
      <w:r w:rsidRPr="00265708">
        <w:t>consultants proposed valuation methodology and outputs and its alignment to the overall project objectives (40%)</w:t>
      </w:r>
      <w:r>
        <w:t>;</w:t>
      </w:r>
      <w:r w:rsidRPr="00265708">
        <w:t xml:space="preserve"> and</w:t>
      </w:r>
    </w:p>
    <w:p w14:paraId="4D232ED7" w14:textId="77777777" w:rsidR="00D16FCF" w:rsidRPr="00265708" w:rsidRDefault="00D16FCF">
      <w:pPr>
        <w:pStyle w:val="BodyText"/>
        <w:numPr>
          <w:ilvl w:val="0"/>
          <w:numId w:val="135"/>
        </w:numPr>
      </w:pPr>
      <w:r w:rsidRPr="00265708">
        <w:t>customer feedback and quality management system (10%).</w:t>
      </w:r>
    </w:p>
    <w:p w14:paraId="7EBD7EBB" w14:textId="77777777" w:rsidR="003675A0" w:rsidRPr="00265708" w:rsidRDefault="003675A0" w:rsidP="00D70B5C">
      <w:pPr>
        <w:pStyle w:val="BodyText"/>
      </w:pPr>
      <w:r w:rsidRPr="00265708">
        <w:t xml:space="preserve">The overall budget is to be provided as a fixed price including all travel, accommodation and provision of relevant tools. </w:t>
      </w:r>
    </w:p>
    <w:p w14:paraId="0CCA731F" w14:textId="77777777" w:rsidR="003675A0" w:rsidRPr="00265708" w:rsidRDefault="003675A0" w:rsidP="006218C2">
      <w:pPr>
        <w:pStyle w:val="Heading4"/>
      </w:pPr>
      <w:r w:rsidRPr="00265708">
        <w:t>4 Pricing schedule</w:t>
      </w:r>
    </w:p>
    <w:p w14:paraId="4DAF27D4" w14:textId="77777777" w:rsidR="003675A0" w:rsidRPr="00265708" w:rsidRDefault="003675A0" w:rsidP="00D70B5C">
      <w:pPr>
        <w:pStyle w:val="BodyText"/>
      </w:pPr>
      <w:r w:rsidRPr="00D71E5A">
        <w:t>All c</w:t>
      </w:r>
      <w:r w:rsidRPr="00265708">
        <w:t>os</w:t>
      </w:r>
      <w:r w:rsidRPr="00D71E5A">
        <w:t>t</w:t>
      </w:r>
      <w:r w:rsidRPr="00265708">
        <w:t>s</w:t>
      </w:r>
      <w:r w:rsidRPr="00D71E5A">
        <w:t xml:space="preserve"> ar</w:t>
      </w:r>
      <w:r w:rsidRPr="00265708">
        <w:t>e</w:t>
      </w:r>
      <w:r w:rsidRPr="00D71E5A">
        <w:t xml:space="preserve"> t</w:t>
      </w:r>
      <w:r w:rsidRPr="00265708">
        <w:t>o</w:t>
      </w:r>
      <w:r w:rsidRPr="00D71E5A">
        <w:t xml:space="preserve"> b</w:t>
      </w:r>
      <w:r w:rsidRPr="00265708">
        <w:t>e</w:t>
      </w:r>
      <w:r w:rsidRPr="00D71E5A">
        <w:t xml:space="preserve"> </w:t>
      </w:r>
      <w:r w:rsidRPr="00265708">
        <w:t>qu</w:t>
      </w:r>
      <w:r w:rsidRPr="00D71E5A">
        <w:t>ote</w:t>
      </w:r>
      <w:r w:rsidRPr="00265708">
        <w:t>d</w:t>
      </w:r>
      <w:r w:rsidRPr="00D71E5A">
        <w:t xml:space="preserve"> </w:t>
      </w:r>
      <w:r w:rsidRPr="00265708">
        <w:t>as</w:t>
      </w:r>
      <w:r w:rsidRPr="00D71E5A">
        <w:t xml:space="preserve"> </w:t>
      </w:r>
      <w:r w:rsidRPr="00265708">
        <w:t>a</w:t>
      </w:r>
      <w:r w:rsidRPr="00D71E5A">
        <w:t xml:space="preserve"> </w:t>
      </w:r>
      <w:r w:rsidRPr="00265708">
        <w:t>f</w:t>
      </w:r>
      <w:r w:rsidRPr="00D71E5A">
        <w:t>ixe</w:t>
      </w:r>
      <w:r w:rsidRPr="00265708">
        <w:t>d</w:t>
      </w:r>
      <w:r w:rsidRPr="00D71E5A">
        <w:t xml:space="preserve"> price (inclusive</w:t>
      </w:r>
      <w:r w:rsidRPr="00265708">
        <w:t xml:space="preserve"> </w:t>
      </w:r>
      <w:r w:rsidRPr="00D71E5A">
        <w:t>of travel</w:t>
      </w:r>
      <w:r w:rsidRPr="00265708">
        <w:t xml:space="preserve">, </w:t>
      </w:r>
      <w:r w:rsidRPr="00D71E5A">
        <w:t>ancillary costs, a</w:t>
      </w:r>
      <w:r w:rsidRPr="00265708">
        <w:t>nd</w:t>
      </w:r>
      <w:r w:rsidRPr="00D71E5A">
        <w:t xml:space="preserve"> </w:t>
      </w:r>
      <w:r w:rsidRPr="00265708">
        <w:t>t</w:t>
      </w:r>
      <w:r w:rsidRPr="00D71E5A">
        <w:t>a</w:t>
      </w:r>
      <w:r w:rsidRPr="00265708">
        <w:t>x</w:t>
      </w:r>
      <w:r w:rsidRPr="00D71E5A">
        <w:t>)</w:t>
      </w:r>
      <w:r w:rsidRPr="00265708">
        <w:t xml:space="preserve"> </w:t>
      </w:r>
      <w:r w:rsidRPr="00D71E5A">
        <w:t>using t</w:t>
      </w:r>
      <w:r w:rsidRPr="00265708">
        <w:t>he</w:t>
      </w:r>
      <w:r w:rsidRPr="00D71E5A">
        <w:t xml:space="preserve"> following schedule</w:t>
      </w:r>
      <w:r w:rsidRPr="00265708">
        <w:t>.</w:t>
      </w:r>
    </w:p>
    <w:tbl>
      <w:tblPr>
        <w:tblW w:w="907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250"/>
        <w:gridCol w:w="1701"/>
        <w:gridCol w:w="3121"/>
      </w:tblGrid>
      <w:tr w:rsidR="003675A0" w:rsidRPr="00265708" w14:paraId="7E655CDF" w14:textId="77777777" w:rsidTr="00D71E5A">
        <w:trPr>
          <w:cantSplit/>
        </w:trPr>
        <w:tc>
          <w:tcPr>
            <w:tcW w:w="4250" w:type="dxa"/>
            <w:shd w:val="clear" w:color="auto" w:fill="F2F2F2" w:themeFill="background1" w:themeFillShade="F2"/>
          </w:tcPr>
          <w:p w14:paraId="5397D95D" w14:textId="77777777" w:rsidR="003675A0" w:rsidRPr="00B577FF" w:rsidRDefault="003675A0" w:rsidP="00A409FB">
            <w:pPr>
              <w:pStyle w:val="TableContent"/>
              <w:rPr>
                <w:b/>
                <w:bCs/>
                <w:lang w:val="en-US"/>
              </w:rPr>
            </w:pPr>
            <w:r w:rsidRPr="00B577FF">
              <w:rPr>
                <w:b/>
                <w:bCs/>
              </w:rPr>
              <w:t>Activity</w:t>
            </w:r>
          </w:p>
        </w:tc>
        <w:tc>
          <w:tcPr>
            <w:tcW w:w="1701" w:type="dxa"/>
            <w:shd w:val="clear" w:color="auto" w:fill="F2F2F2" w:themeFill="background1" w:themeFillShade="F2"/>
          </w:tcPr>
          <w:p w14:paraId="037AAD77" w14:textId="77777777" w:rsidR="003675A0" w:rsidRPr="00D57B66" w:rsidRDefault="003675A0" w:rsidP="00A409FB">
            <w:pPr>
              <w:pStyle w:val="TableContent"/>
              <w:rPr>
                <w:b/>
                <w:bCs/>
              </w:rPr>
            </w:pPr>
            <w:r w:rsidRPr="00D57B66">
              <w:rPr>
                <w:b/>
                <w:bCs/>
              </w:rPr>
              <w:t>Rate</w:t>
            </w:r>
          </w:p>
        </w:tc>
        <w:tc>
          <w:tcPr>
            <w:tcW w:w="3121" w:type="dxa"/>
            <w:shd w:val="clear" w:color="auto" w:fill="F2F2F2" w:themeFill="background1" w:themeFillShade="F2"/>
            <w:hideMark/>
          </w:tcPr>
          <w:p w14:paraId="145D5831" w14:textId="77777777" w:rsidR="003675A0" w:rsidRPr="00D57B66" w:rsidRDefault="003675A0" w:rsidP="00A409FB">
            <w:pPr>
              <w:pStyle w:val="TableContent"/>
              <w:rPr>
                <w:b/>
                <w:bCs/>
              </w:rPr>
            </w:pPr>
            <w:r w:rsidRPr="00D57B66">
              <w:rPr>
                <w:b/>
                <w:bCs/>
              </w:rPr>
              <w:t>Price</w:t>
            </w:r>
          </w:p>
          <w:p w14:paraId="5C0D1ED9" w14:textId="77777777" w:rsidR="003675A0" w:rsidRPr="00D57B66" w:rsidRDefault="003675A0" w:rsidP="00A409FB">
            <w:pPr>
              <w:pStyle w:val="TableContent"/>
              <w:rPr>
                <w:b/>
                <w:bCs/>
              </w:rPr>
            </w:pPr>
            <w:r w:rsidRPr="00D57B66">
              <w:rPr>
                <w:b/>
                <w:bCs/>
              </w:rPr>
              <w:t>(Inclusive of travel, ancillary costs and tax)</w:t>
            </w:r>
          </w:p>
        </w:tc>
      </w:tr>
      <w:tr w:rsidR="003675A0" w:rsidRPr="00265708" w14:paraId="6658B932" w14:textId="77777777" w:rsidTr="00D71E5A">
        <w:trPr>
          <w:cantSplit/>
        </w:trPr>
        <w:tc>
          <w:tcPr>
            <w:tcW w:w="4250" w:type="dxa"/>
          </w:tcPr>
          <w:p w14:paraId="11A8C263" w14:textId="77777777" w:rsidR="003675A0" w:rsidRPr="00D71E5A" w:rsidRDefault="003675A0" w:rsidP="00D70B5C">
            <w:pPr>
              <w:pStyle w:val="BodyText"/>
            </w:pPr>
            <w:r w:rsidRPr="00D71E5A">
              <w:t>Year 1 – Transport assets</w:t>
            </w:r>
          </w:p>
        </w:tc>
        <w:tc>
          <w:tcPr>
            <w:tcW w:w="1701" w:type="dxa"/>
          </w:tcPr>
          <w:p w14:paraId="12360EAF" w14:textId="77777777" w:rsidR="003675A0" w:rsidRPr="00D71E5A" w:rsidRDefault="003675A0" w:rsidP="00D70B5C">
            <w:pPr>
              <w:pStyle w:val="BodyText"/>
            </w:pPr>
            <w:r w:rsidRPr="00D71E5A">
              <w:t>Total</w:t>
            </w:r>
          </w:p>
        </w:tc>
        <w:tc>
          <w:tcPr>
            <w:tcW w:w="3121" w:type="dxa"/>
          </w:tcPr>
          <w:p w14:paraId="3EDE0453" w14:textId="77777777" w:rsidR="003675A0" w:rsidRPr="00265708" w:rsidRDefault="003675A0" w:rsidP="00A409FB">
            <w:pPr>
              <w:pStyle w:val="TableContent"/>
              <w:rPr>
                <w:lang w:val="en-US"/>
              </w:rPr>
            </w:pPr>
          </w:p>
        </w:tc>
      </w:tr>
      <w:tr w:rsidR="003675A0" w:rsidRPr="00265708" w14:paraId="49C5A552" w14:textId="77777777" w:rsidTr="00D71E5A">
        <w:trPr>
          <w:cantSplit/>
        </w:trPr>
        <w:tc>
          <w:tcPr>
            <w:tcW w:w="4250" w:type="dxa"/>
          </w:tcPr>
          <w:p w14:paraId="74C59338" w14:textId="77777777" w:rsidR="003675A0" w:rsidRPr="00D71E5A" w:rsidRDefault="003675A0" w:rsidP="00D70B5C">
            <w:pPr>
              <w:pStyle w:val="BodyText"/>
            </w:pPr>
            <w:r w:rsidRPr="00D71E5A">
              <w:t>Year 2 - Buildings</w:t>
            </w:r>
          </w:p>
        </w:tc>
        <w:tc>
          <w:tcPr>
            <w:tcW w:w="1701" w:type="dxa"/>
          </w:tcPr>
          <w:p w14:paraId="5AADC64D" w14:textId="77777777" w:rsidR="003675A0" w:rsidRPr="00D71E5A" w:rsidRDefault="003675A0" w:rsidP="00D70B5C">
            <w:pPr>
              <w:pStyle w:val="BodyText"/>
            </w:pPr>
            <w:r w:rsidRPr="00D71E5A">
              <w:t>Total</w:t>
            </w:r>
          </w:p>
        </w:tc>
        <w:tc>
          <w:tcPr>
            <w:tcW w:w="3121" w:type="dxa"/>
          </w:tcPr>
          <w:p w14:paraId="579D54A8" w14:textId="77777777" w:rsidR="003675A0" w:rsidRPr="00265708" w:rsidRDefault="003675A0" w:rsidP="00A409FB">
            <w:pPr>
              <w:pStyle w:val="TableContent"/>
              <w:rPr>
                <w:lang w:val="en-US"/>
              </w:rPr>
            </w:pPr>
          </w:p>
        </w:tc>
      </w:tr>
      <w:tr w:rsidR="003675A0" w:rsidRPr="00265708" w14:paraId="2CA36103" w14:textId="77777777" w:rsidTr="00D71E5A">
        <w:trPr>
          <w:cantSplit/>
        </w:trPr>
        <w:tc>
          <w:tcPr>
            <w:tcW w:w="4250" w:type="dxa"/>
          </w:tcPr>
          <w:p w14:paraId="3E641108" w14:textId="77777777" w:rsidR="003675A0" w:rsidRPr="00D71E5A" w:rsidRDefault="003675A0" w:rsidP="00D70B5C">
            <w:pPr>
              <w:pStyle w:val="BodyText"/>
            </w:pPr>
            <w:r w:rsidRPr="00D71E5A">
              <w:t>Software</w:t>
            </w:r>
          </w:p>
        </w:tc>
        <w:tc>
          <w:tcPr>
            <w:tcW w:w="1701" w:type="dxa"/>
          </w:tcPr>
          <w:p w14:paraId="1FEE3C5F" w14:textId="77777777" w:rsidR="003675A0" w:rsidRPr="00D71E5A" w:rsidRDefault="003675A0" w:rsidP="00D70B5C">
            <w:pPr>
              <w:pStyle w:val="BodyText"/>
            </w:pPr>
            <w:r w:rsidRPr="00D71E5A">
              <w:t>Total</w:t>
            </w:r>
          </w:p>
        </w:tc>
        <w:tc>
          <w:tcPr>
            <w:tcW w:w="3121" w:type="dxa"/>
          </w:tcPr>
          <w:p w14:paraId="118EC189" w14:textId="77777777" w:rsidR="003675A0" w:rsidRPr="00265708" w:rsidRDefault="003675A0" w:rsidP="00A409FB">
            <w:pPr>
              <w:pStyle w:val="TableContent"/>
              <w:rPr>
                <w:lang w:val="en-US"/>
              </w:rPr>
            </w:pPr>
          </w:p>
        </w:tc>
      </w:tr>
    </w:tbl>
    <w:p w14:paraId="12CD8B6E" w14:textId="77777777" w:rsidR="003675A0" w:rsidRPr="00FA1558" w:rsidRDefault="003675A0" w:rsidP="003675A0">
      <w:pPr>
        <w:spacing w:after="0"/>
        <w:rPr>
          <w:rFonts w:cs="Arial"/>
        </w:rPr>
      </w:pPr>
      <w:r w:rsidRPr="00FA1558">
        <w:rPr>
          <w:rFonts w:cs="Arial"/>
        </w:rPr>
        <w:br w:type="page"/>
      </w:r>
    </w:p>
    <w:p w14:paraId="726ABE8B" w14:textId="77777777" w:rsidR="003675A0" w:rsidRPr="00265708" w:rsidRDefault="003675A0" w:rsidP="003675A0">
      <w:pPr>
        <w:pStyle w:val="Heading1"/>
        <w:rPr>
          <w:b w:val="0"/>
          <w:bCs w:val="0"/>
          <w:szCs w:val="42"/>
        </w:rPr>
      </w:pPr>
      <w:bookmarkStart w:id="157" w:name="_Toc207722771"/>
      <w:bookmarkStart w:id="158" w:name="_Toc223445103"/>
      <w:r w:rsidRPr="00265708">
        <w:rPr>
          <w:szCs w:val="42"/>
        </w:rPr>
        <w:lastRenderedPageBreak/>
        <w:t>References</w:t>
      </w:r>
      <w:bookmarkEnd w:id="157"/>
      <w:bookmarkEnd w:id="158"/>
    </w:p>
    <w:p w14:paraId="041CD48F" w14:textId="77777777" w:rsidR="003675A0" w:rsidRPr="000B7CD2" w:rsidRDefault="003675A0" w:rsidP="006218C2">
      <w:pPr>
        <w:pStyle w:val="Heading4"/>
      </w:pPr>
      <w:r w:rsidRPr="000B7CD2">
        <w:t>Legislation</w:t>
      </w:r>
    </w:p>
    <w:p w14:paraId="61132161" w14:textId="77777777" w:rsidR="003675A0" w:rsidRPr="00265708" w:rsidRDefault="003675A0" w:rsidP="00D70B5C">
      <w:pPr>
        <w:pStyle w:val="BodyText"/>
      </w:pPr>
      <w:r w:rsidRPr="00265708">
        <w:t>Local Government Act 1995 (WA).</w:t>
      </w:r>
    </w:p>
    <w:p w14:paraId="35F45F41" w14:textId="77777777" w:rsidR="003675A0" w:rsidRPr="00265708" w:rsidRDefault="003675A0" w:rsidP="00D70B5C">
      <w:pPr>
        <w:pStyle w:val="BodyText"/>
      </w:pPr>
      <w:r w:rsidRPr="00265708">
        <w:t>Local Government (Financial Management) Regulations 1996 (WA).</w:t>
      </w:r>
    </w:p>
    <w:p w14:paraId="7AF7125B" w14:textId="77777777" w:rsidR="003675A0" w:rsidRPr="000B7CD2" w:rsidRDefault="003675A0" w:rsidP="006218C2">
      <w:pPr>
        <w:pStyle w:val="Heading4"/>
      </w:pPr>
      <w:r w:rsidRPr="000B7CD2">
        <w:t>Other</w:t>
      </w:r>
    </w:p>
    <w:p w14:paraId="738833C7" w14:textId="77777777" w:rsidR="003675A0" w:rsidRPr="00265708" w:rsidRDefault="003675A0" w:rsidP="00D70B5C">
      <w:pPr>
        <w:pStyle w:val="BodyText"/>
      </w:pPr>
      <w:r w:rsidRPr="00265708">
        <w:t xml:space="preserve">AASB (Australian Accounting Standards Board) (2020) </w:t>
      </w:r>
      <w:hyperlink r:id="rId20" w:history="1">
        <w:r w:rsidRPr="00265708">
          <w:rPr>
            <w:rStyle w:val="Hyperlink"/>
          </w:rPr>
          <w:t>Framework for the Preparation and Presentation of Financial Statements</w:t>
        </w:r>
      </w:hyperlink>
      <w:r w:rsidRPr="00265708">
        <w:t xml:space="preserve"> (Framework), AASB, accessed 30 July 2025.</w:t>
      </w:r>
    </w:p>
    <w:p w14:paraId="4B3749E9" w14:textId="77777777" w:rsidR="003675A0" w:rsidRPr="00265708" w:rsidRDefault="003675A0" w:rsidP="00D70B5C">
      <w:pPr>
        <w:pStyle w:val="BodyText"/>
      </w:pPr>
      <w:r w:rsidRPr="00265708">
        <w:t xml:space="preserve">AASB (2020) </w:t>
      </w:r>
      <w:hyperlink r:id="rId21" w:history="1">
        <w:r w:rsidRPr="00265708">
          <w:rPr>
            <w:rStyle w:val="Hyperlink"/>
          </w:rPr>
          <w:t>Land Under Roads</w:t>
        </w:r>
      </w:hyperlink>
      <w:r w:rsidRPr="00265708">
        <w:t xml:space="preserve"> (AASB 1051), AASB, accessed 29 July 2025.</w:t>
      </w:r>
    </w:p>
    <w:p w14:paraId="231B49C9" w14:textId="77777777" w:rsidR="003675A0" w:rsidRPr="00265708" w:rsidRDefault="003675A0" w:rsidP="00D70B5C">
      <w:pPr>
        <w:pStyle w:val="BodyText"/>
      </w:pPr>
      <w:r w:rsidRPr="00265708">
        <w:t xml:space="preserve">AASB (2021) </w:t>
      </w:r>
      <w:hyperlink r:id="rId22" w:history="1">
        <w:r w:rsidRPr="00265708">
          <w:rPr>
            <w:rStyle w:val="Hyperlink"/>
          </w:rPr>
          <w:t>Accounting Policies, Changes in Accounting Estimates and Errors</w:t>
        </w:r>
      </w:hyperlink>
      <w:r w:rsidRPr="00265708">
        <w:t xml:space="preserve"> (AASB 108), AASB, accessed 25 July 2025.</w:t>
      </w:r>
    </w:p>
    <w:p w14:paraId="68EA6B33" w14:textId="77777777" w:rsidR="003675A0" w:rsidRPr="00265708" w:rsidRDefault="003675A0" w:rsidP="00D70B5C">
      <w:pPr>
        <w:pStyle w:val="BodyText"/>
      </w:pPr>
      <w:r w:rsidRPr="00265708">
        <w:t xml:space="preserve">AASB (2022) </w:t>
      </w:r>
      <w:hyperlink r:id="rId23" w:history="1">
        <w:r w:rsidRPr="00265708">
          <w:rPr>
            <w:rStyle w:val="Hyperlink"/>
          </w:rPr>
          <w:t>Leases</w:t>
        </w:r>
      </w:hyperlink>
      <w:r w:rsidRPr="00265708">
        <w:t xml:space="preserve"> (AASB 16), AASB, accessed 28 July 2025.</w:t>
      </w:r>
    </w:p>
    <w:p w14:paraId="041F72CD" w14:textId="77777777" w:rsidR="003675A0" w:rsidRPr="00265708" w:rsidRDefault="003675A0" w:rsidP="00D70B5C">
      <w:pPr>
        <w:pStyle w:val="BodyText"/>
      </w:pPr>
      <w:r w:rsidRPr="00265708">
        <w:t xml:space="preserve">AASB (2022) </w:t>
      </w:r>
      <w:hyperlink r:id="rId24" w:history="1">
        <w:r w:rsidRPr="00265708">
          <w:rPr>
            <w:rStyle w:val="Hyperlink"/>
          </w:rPr>
          <w:t>Fair Value Measurement</w:t>
        </w:r>
      </w:hyperlink>
      <w:r w:rsidRPr="00265708">
        <w:t xml:space="preserve"> (AASB 13), AASB, accessed 29 July 2025.</w:t>
      </w:r>
    </w:p>
    <w:p w14:paraId="4583CBD5" w14:textId="77777777" w:rsidR="003675A0" w:rsidRPr="00265708" w:rsidRDefault="003675A0" w:rsidP="00D70B5C">
      <w:pPr>
        <w:pStyle w:val="BodyText"/>
      </w:pPr>
      <w:r w:rsidRPr="00265708">
        <w:t xml:space="preserve">AASB (2022) </w:t>
      </w:r>
      <w:hyperlink r:id="rId25" w:history="1">
        <w:r w:rsidRPr="00265708">
          <w:rPr>
            <w:rStyle w:val="Hyperlink"/>
          </w:rPr>
          <w:t>Impairment of Assets</w:t>
        </w:r>
      </w:hyperlink>
      <w:r w:rsidRPr="00265708">
        <w:t xml:space="preserve"> (AASB 136), AASB, accessed 24 July 2025.</w:t>
      </w:r>
    </w:p>
    <w:p w14:paraId="6C2F8E68" w14:textId="77777777" w:rsidR="003675A0" w:rsidRPr="00265708" w:rsidRDefault="003675A0" w:rsidP="00D70B5C">
      <w:pPr>
        <w:pStyle w:val="BodyText"/>
      </w:pPr>
      <w:r w:rsidRPr="00265708">
        <w:t xml:space="preserve">AASB (2022) </w:t>
      </w:r>
      <w:hyperlink r:id="rId26" w:history="1">
        <w:r w:rsidRPr="00265708">
          <w:rPr>
            <w:rStyle w:val="Hyperlink"/>
          </w:rPr>
          <w:t>Investment Property</w:t>
        </w:r>
      </w:hyperlink>
      <w:r w:rsidRPr="00265708">
        <w:t xml:space="preserve"> (AASB 140), AASB, accessed 25 July 2025.</w:t>
      </w:r>
    </w:p>
    <w:p w14:paraId="7777186D" w14:textId="77777777" w:rsidR="003675A0" w:rsidRPr="00265708" w:rsidRDefault="003675A0" w:rsidP="00D70B5C">
      <w:pPr>
        <w:pStyle w:val="BodyText"/>
      </w:pPr>
      <w:r w:rsidRPr="00265708">
        <w:t xml:space="preserve">AASB (2022) </w:t>
      </w:r>
      <w:hyperlink r:id="rId27" w:history="1">
        <w:r w:rsidRPr="00265708">
          <w:rPr>
            <w:rStyle w:val="Hyperlink"/>
          </w:rPr>
          <w:t>Non-current Assets Held for Sale and Discontinued Operations</w:t>
        </w:r>
      </w:hyperlink>
      <w:r w:rsidRPr="00265708">
        <w:t xml:space="preserve"> (AASB 5), AASB, accessed 25 July 2025.</w:t>
      </w:r>
    </w:p>
    <w:p w14:paraId="2EF0F620" w14:textId="77777777" w:rsidR="003675A0" w:rsidRPr="00265708" w:rsidRDefault="003675A0" w:rsidP="00D70B5C">
      <w:pPr>
        <w:pStyle w:val="BodyText"/>
      </w:pPr>
      <w:r w:rsidRPr="00265708">
        <w:t xml:space="preserve">AASB (2022) </w:t>
      </w:r>
      <w:hyperlink r:id="rId28" w:history="1">
        <w:r w:rsidRPr="00265708">
          <w:rPr>
            <w:rStyle w:val="Hyperlink"/>
          </w:rPr>
          <w:t>Property, Plant and Equipment</w:t>
        </w:r>
      </w:hyperlink>
      <w:r w:rsidRPr="00265708">
        <w:t xml:space="preserve"> (AASB 116), AASB, accessed 30 July 2025.</w:t>
      </w:r>
    </w:p>
    <w:p w14:paraId="6D1EEC15" w14:textId="77777777" w:rsidR="003675A0" w:rsidRPr="00265708" w:rsidRDefault="003675A0" w:rsidP="00D70B5C">
      <w:pPr>
        <w:pStyle w:val="BodyText"/>
      </w:pPr>
      <w:r w:rsidRPr="00265708">
        <w:t xml:space="preserve">AASB (2022) </w:t>
      </w:r>
      <w:hyperlink r:id="rId29" w:history="1">
        <w:r w:rsidRPr="00265708">
          <w:rPr>
            <w:rStyle w:val="Hyperlink"/>
          </w:rPr>
          <w:t>Provisions, Contingent Liabilities and Contingent Assets</w:t>
        </w:r>
      </w:hyperlink>
      <w:r w:rsidRPr="00265708">
        <w:t xml:space="preserve"> (AASB 137), AASB, accessed 29 July 2025.</w:t>
      </w:r>
    </w:p>
    <w:p w14:paraId="5653E640" w14:textId="77777777" w:rsidR="003675A0" w:rsidRPr="00265708" w:rsidRDefault="003675A0" w:rsidP="00D70B5C">
      <w:pPr>
        <w:pStyle w:val="BodyText"/>
        <w:rPr>
          <w:color w:val="000000"/>
        </w:rPr>
      </w:pPr>
      <w:r w:rsidRPr="00265708">
        <w:t xml:space="preserve">AASB </w:t>
      </w:r>
      <w:r w:rsidRPr="00265708">
        <w:rPr>
          <w:color w:val="000000"/>
        </w:rPr>
        <w:t xml:space="preserve">(2022) </w:t>
      </w:r>
      <w:hyperlink r:id="rId30" w:history="1">
        <w:r w:rsidRPr="00265708">
          <w:rPr>
            <w:rStyle w:val="Hyperlink"/>
          </w:rPr>
          <w:t>Amendments to Australian Accounting Standards - Fair Value Measurement of Non-Financial Assets of Not-for-Profit Public Sector Entities</w:t>
        </w:r>
      </w:hyperlink>
      <w:r w:rsidRPr="00265708">
        <w:rPr>
          <w:color w:val="000000"/>
        </w:rPr>
        <w:t xml:space="preserve"> (AASB 2022-10), AASB, accessed 29 July 2025.</w:t>
      </w:r>
    </w:p>
    <w:p w14:paraId="6BB51291" w14:textId="77777777" w:rsidR="003675A0" w:rsidRPr="00265708" w:rsidRDefault="003675A0" w:rsidP="00D70B5C">
      <w:pPr>
        <w:pStyle w:val="BodyText"/>
      </w:pPr>
      <w:r w:rsidRPr="00265708">
        <w:rPr>
          <w:color w:val="000000"/>
        </w:rPr>
        <w:t>C</w:t>
      </w:r>
      <w:r w:rsidRPr="00265708">
        <w:t xml:space="preserve">ity of Joondalup (2019) </w:t>
      </w:r>
      <w:hyperlink r:id="rId31" w:history="1">
        <w:r w:rsidRPr="00265708">
          <w:rPr>
            <w:rStyle w:val="Hyperlink"/>
          </w:rPr>
          <w:t>Crossover Guidelines - Residential and Non-Residential</w:t>
        </w:r>
      </w:hyperlink>
      <w:r w:rsidRPr="00265708">
        <w:t xml:space="preserve"> (Version 2.0), City of Joondalup, accessed 30 July 2025.</w:t>
      </w:r>
    </w:p>
    <w:p w14:paraId="1C964568" w14:textId="77777777" w:rsidR="003675A0" w:rsidRPr="00265708" w:rsidRDefault="003675A0" w:rsidP="00D70B5C">
      <w:pPr>
        <w:pStyle w:val="BodyText"/>
      </w:pPr>
      <w:r w:rsidRPr="00265708">
        <w:t xml:space="preserve">City of Joondalup (2025) </w:t>
      </w:r>
      <w:hyperlink r:id="rId32" w:history="1">
        <w:r w:rsidRPr="00265708">
          <w:rPr>
            <w:rStyle w:val="Hyperlink"/>
          </w:rPr>
          <w:t>Your Street Verge – Guidelines</w:t>
        </w:r>
      </w:hyperlink>
      <w:r w:rsidRPr="00265708">
        <w:rPr>
          <w:i/>
          <w:iCs/>
        </w:rPr>
        <w:t xml:space="preserve"> </w:t>
      </w:r>
      <w:r w:rsidRPr="00265708">
        <w:t>(Version 4.0), City of Joondalup, accessed 30 July 2025.</w:t>
      </w:r>
    </w:p>
    <w:p w14:paraId="46886479" w14:textId="5B527865" w:rsidR="00A409FB" w:rsidRPr="009F56C0" w:rsidRDefault="00A409FB" w:rsidP="00D70B5C">
      <w:pPr>
        <w:pStyle w:val="BodyText"/>
      </w:pPr>
      <w:r w:rsidRPr="005E0417">
        <w:rPr>
          <w:lang w:val="en-AU"/>
        </w:rPr>
        <w:t>Local Government Victoria in the Department of Environment, Land, Water and Planning</w:t>
      </w:r>
      <w:r>
        <w:rPr>
          <w:lang w:val="en-AU"/>
        </w:rPr>
        <w:t xml:space="preserve"> </w:t>
      </w:r>
      <w:r w:rsidR="0010568D">
        <w:rPr>
          <w:lang w:val="en-AU"/>
        </w:rPr>
        <w:t>(</w:t>
      </w:r>
      <w:r w:rsidRPr="009F56C0">
        <w:t>2017</w:t>
      </w:r>
      <w:r w:rsidR="0010568D">
        <w:t xml:space="preserve">) </w:t>
      </w:r>
      <w:hyperlink r:id="rId33" w:history="1">
        <w:r w:rsidR="00E64D3A" w:rsidRPr="00E64D3A">
          <w:rPr>
            <w:rStyle w:val="Hyperlink"/>
          </w:rPr>
          <w:t xml:space="preserve">Local Government - Accounting for </w:t>
        </w:r>
        <w:r w:rsidR="00BF3370">
          <w:rPr>
            <w:rStyle w:val="Hyperlink"/>
          </w:rPr>
          <w:t>L</w:t>
        </w:r>
        <w:r w:rsidR="00E64D3A" w:rsidRPr="00E64D3A">
          <w:rPr>
            <w:rStyle w:val="Hyperlink"/>
          </w:rPr>
          <w:t>andfills - 2016-17</w:t>
        </w:r>
      </w:hyperlink>
      <w:r w:rsidR="00FD7518">
        <w:t xml:space="preserve">, </w:t>
      </w:r>
      <w:r w:rsidR="00FD7518" w:rsidRPr="00FD7518">
        <w:rPr>
          <w:lang w:val="en-AU"/>
        </w:rPr>
        <w:t>The State of Victoria Department of Environment, Land, Water and Planning</w:t>
      </w:r>
      <w:r w:rsidR="008E7939">
        <w:rPr>
          <w:lang w:val="en-AU"/>
        </w:rPr>
        <w:t xml:space="preserve">, accessed on 31 </w:t>
      </w:r>
      <w:r w:rsidR="00255002">
        <w:rPr>
          <w:lang w:val="en-AU"/>
        </w:rPr>
        <w:t>July</w:t>
      </w:r>
      <w:r w:rsidR="008E7939">
        <w:rPr>
          <w:lang w:val="en-AU"/>
        </w:rPr>
        <w:t xml:space="preserve"> 2025</w:t>
      </w:r>
    </w:p>
    <w:p w14:paraId="4BF15CA7" w14:textId="77777777" w:rsidR="003675A0" w:rsidRPr="00265708" w:rsidRDefault="003675A0" w:rsidP="00D70B5C">
      <w:pPr>
        <w:pStyle w:val="BodyText"/>
      </w:pPr>
      <w:r w:rsidRPr="00265708">
        <w:t xml:space="preserve">NSW Government – Office of Local Government (OLG) (2025) </w:t>
      </w:r>
      <w:hyperlink r:id="rId34" w:history="1">
        <w:r w:rsidRPr="00265708">
          <w:rPr>
            <w:rStyle w:val="Hyperlink"/>
          </w:rPr>
          <w:t>Local Government – Code of Accounting Practice and Financial Reporting 2024/25</w:t>
        </w:r>
      </w:hyperlink>
      <w:r w:rsidRPr="00265708">
        <w:t xml:space="preserve">, NSW Government – OLG, accessed on 30 July 2025. </w:t>
      </w:r>
    </w:p>
    <w:bookmarkEnd w:id="5"/>
    <w:bookmarkEnd w:id="6"/>
    <w:p w14:paraId="057C6384" w14:textId="03FF4DE0" w:rsidR="003675A0" w:rsidRDefault="003675A0" w:rsidP="003675A0">
      <w:pPr>
        <w:spacing w:after="160" w:line="278" w:lineRule="auto"/>
        <w:rPr>
          <w:highlight w:val="green"/>
        </w:rPr>
      </w:pPr>
    </w:p>
    <w:sectPr w:rsidR="003675A0" w:rsidSect="002175DF">
      <w:pgSz w:w="11900" w:h="16840" w:code="9"/>
      <w:pgMar w:top="1985" w:right="1134" w:bottom="1134" w:left="1134" w:header="567" w:footer="147" w:gutter="0"/>
      <w:cols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4B67E" w14:textId="77777777" w:rsidR="006170B2" w:rsidRDefault="006170B2" w:rsidP="00D41211">
      <w:r>
        <w:separator/>
      </w:r>
    </w:p>
  </w:endnote>
  <w:endnote w:type="continuationSeparator" w:id="0">
    <w:p w14:paraId="2848FAE6" w14:textId="77777777" w:rsidR="006170B2" w:rsidRDefault="006170B2"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XKCV G+ Area Normal">
    <w:altName w:val="Calibri"/>
    <w:panose1 w:val="00000000000000000000"/>
    <w:charset w:val="00"/>
    <w:family w:val="swiss"/>
    <w:notTrueType/>
    <w:pitch w:val="default"/>
    <w:sig w:usb0="00000003" w:usb1="00000000" w:usb2="00000000" w:usb3="00000000" w:csb0="00000001" w:csb1="00000000"/>
  </w:font>
  <w:font w:name="Aptos SemiBold">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NeueLTPro-Lt">
    <w:altName w:val="Times New Roman"/>
    <w:panose1 w:val="00000000000000000000"/>
    <w:charset w:val="4D"/>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HelveticaNeueLTPro-Bd">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8784" w14:textId="1CDCC2F6" w:rsidR="00611207" w:rsidRDefault="00611207" w:rsidP="00674712">
    <w:pPr>
      <w:pStyle w:val="Footer"/>
      <w:rPr>
        <w:noProof/>
      </w:rPr>
    </w:pPr>
  </w:p>
  <w:p w14:paraId="4592EE55" w14:textId="567441A0" w:rsidR="00611207" w:rsidRDefault="00611207" w:rsidP="00674712">
    <w:pPr>
      <w:pStyle w:val="Footer"/>
    </w:pPr>
    <w:r>
      <w:rPr>
        <w:noProof/>
      </w:rPr>
      <w:drawing>
        <wp:anchor distT="0" distB="0" distL="114300" distR="114300" simplePos="0" relativeHeight="251658242" behindDoc="1" locked="0" layoutInCell="1" allowOverlap="1" wp14:anchorId="6C705872" wp14:editId="7F50C82F">
          <wp:simplePos x="0" y="0"/>
          <wp:positionH relativeFrom="page">
            <wp:align>left</wp:align>
          </wp:positionH>
          <wp:positionV relativeFrom="paragraph">
            <wp:posOffset>4956</wp:posOffset>
          </wp:positionV>
          <wp:extent cx="7813964" cy="779104"/>
          <wp:effectExtent l="0" t="0" r="0" b="2540"/>
          <wp:wrapNone/>
          <wp:docPr id="211986742" name="Picture 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30988" name="Picture 1" descr="Footer image"/>
                  <pic:cNvPicPr/>
                </pic:nvPicPr>
                <pic:blipFill>
                  <a:blip r:embed="rId1">
                    <a:extLst>
                      <a:ext uri="{28A0092B-C50C-407E-A947-70E740481C1C}">
                        <a14:useLocalDpi xmlns:a14="http://schemas.microsoft.com/office/drawing/2010/main" val="0"/>
                      </a:ext>
                    </a:extLst>
                  </a:blip>
                  <a:stretch>
                    <a:fillRect/>
                  </a:stretch>
                </pic:blipFill>
                <pic:spPr>
                  <a:xfrm>
                    <a:off x="0" y="0"/>
                    <a:ext cx="7838244" cy="781525"/>
                  </a:xfrm>
                  <a:prstGeom prst="rect">
                    <a:avLst/>
                  </a:prstGeom>
                </pic:spPr>
              </pic:pic>
            </a:graphicData>
          </a:graphic>
          <wp14:sizeRelH relativeFrom="page">
            <wp14:pctWidth>0</wp14:pctWidth>
          </wp14:sizeRelH>
          <wp14:sizeRelV relativeFrom="page">
            <wp14:pctHeight>0</wp14:pctHeight>
          </wp14:sizeRelV>
        </wp:anchor>
      </w:drawing>
    </w:r>
  </w:p>
  <w:p w14:paraId="16AB5238" w14:textId="7F0C89EB" w:rsidR="00C13A96" w:rsidRPr="000B3BDE" w:rsidRDefault="00000000" w:rsidP="00674712">
    <w:pPr>
      <w:pStyle w:val="Footer"/>
      <w:rPr>
        <w:rStyle w:val="PageNumber"/>
        <w:sz w:val="20"/>
      </w:rPr>
    </w:pPr>
    <w:sdt>
      <w:sdtPr>
        <w:rPr>
          <w:sz w:val="14"/>
        </w:rPr>
        <w:id w:val="-2141409493"/>
        <w:docPartObj>
          <w:docPartGallery w:val="Page Numbers (Bottom of Page)"/>
          <w:docPartUnique/>
        </w:docPartObj>
      </w:sdtPr>
      <w:sdtEndPr>
        <w:rPr>
          <w:noProof/>
          <w:sz w:val="20"/>
        </w:rPr>
      </w:sdtEndPr>
      <w:sdtContent>
        <w:r w:rsidR="00C13A96">
          <w:fldChar w:fldCharType="begin"/>
        </w:r>
        <w:r w:rsidR="00C13A96">
          <w:instrText xml:space="preserve"> PAGE   \* MERGEFORMAT </w:instrText>
        </w:r>
        <w:r w:rsidR="00C13A96">
          <w:fldChar w:fldCharType="separate"/>
        </w:r>
        <w:r w:rsidR="00C13A96">
          <w:rPr>
            <w:noProof/>
          </w:rPr>
          <w:t>i</w:t>
        </w:r>
        <w:r w:rsidR="00C13A9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3AEE" w14:textId="2C0BD543" w:rsidR="000B3BDE" w:rsidRPr="00085A49" w:rsidRDefault="00250839" w:rsidP="00674712">
    <w:pPr>
      <w:pStyle w:val="Footer"/>
      <w:rPr>
        <w:rStyle w:val="PageNumber"/>
        <w:sz w:val="20"/>
      </w:rPr>
    </w:pPr>
    <w:bookmarkStart w:id="28" w:name="_Hlk504552203"/>
    <w:bookmarkStart w:id="29" w:name="_Hlk504552204"/>
    <w:bookmarkStart w:id="30" w:name="_Hlk504552205"/>
    <w:r>
      <w:rPr>
        <w:noProof/>
        <w:lang w:eastAsia="en-AU"/>
      </w:rPr>
      <w:drawing>
        <wp:anchor distT="0" distB="0" distL="114300" distR="114300" simplePos="0" relativeHeight="251658243" behindDoc="1" locked="0" layoutInCell="1" allowOverlap="1" wp14:anchorId="08ED5670" wp14:editId="591CA4D0">
          <wp:simplePos x="0" y="0"/>
          <wp:positionH relativeFrom="margin">
            <wp:posOffset>-5683976</wp:posOffset>
          </wp:positionH>
          <wp:positionV relativeFrom="paragraph">
            <wp:posOffset>-182773</wp:posOffset>
          </wp:positionV>
          <wp:extent cx="16079190" cy="583540"/>
          <wp:effectExtent l="0" t="0" r="0" b="7620"/>
          <wp:wrapNone/>
          <wp:docPr id="16879665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4517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368347" cy="594034"/>
                  </a:xfrm>
                  <a:prstGeom prst="rect">
                    <a:avLst/>
                  </a:prstGeom>
                </pic:spPr>
              </pic:pic>
            </a:graphicData>
          </a:graphic>
          <wp14:sizeRelH relativeFrom="page">
            <wp14:pctWidth>0</wp14:pctWidth>
          </wp14:sizeRelH>
          <wp14:sizeRelV relativeFrom="page">
            <wp14:pctHeight>0</wp14:pctHeight>
          </wp14:sizeRelV>
        </wp:anchor>
      </w:drawing>
    </w:r>
    <w:r w:rsidR="00BC3586" w:rsidRPr="00085A49">
      <w:ptab w:relativeTo="margin" w:alignment="left" w:leader="none"/>
    </w:r>
    <w:r w:rsidR="00BC3586" w:rsidRPr="00085A49">
      <w:t xml:space="preserve">Page </w:t>
    </w:r>
    <w:r w:rsidR="00BC3586" w:rsidRPr="00085A49">
      <w:fldChar w:fldCharType="begin"/>
    </w:r>
    <w:r w:rsidR="00BC3586" w:rsidRPr="00085A49">
      <w:instrText xml:space="preserve"> PAGE   \* MERGEFORMAT </w:instrText>
    </w:r>
    <w:r w:rsidR="00BC3586" w:rsidRPr="00085A49">
      <w:fldChar w:fldCharType="separate"/>
    </w:r>
    <w:r w:rsidR="00C13A96" w:rsidRPr="00085A49">
      <w:t>6</w:t>
    </w:r>
    <w:r w:rsidR="00BC3586" w:rsidRPr="00085A49">
      <w:fldChar w:fldCharType="end"/>
    </w:r>
    <w:bookmarkEnd w:id="28"/>
    <w:bookmarkEnd w:id="29"/>
    <w:bookmarkEnd w:id="3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001B2" w14:textId="5EEA8F2A" w:rsidR="002936F0" w:rsidRPr="00085A49" w:rsidRDefault="002936F0" w:rsidP="00674712">
    <w:pPr>
      <w:pStyle w:val="Footer"/>
      <w:rPr>
        <w:rStyle w:val="PageNumber"/>
        <w:sz w:val="20"/>
      </w:rPr>
    </w:pPr>
    <w:r>
      <w:rPr>
        <w:noProof/>
        <w:lang w:eastAsia="en-AU"/>
      </w:rPr>
      <w:drawing>
        <wp:anchor distT="0" distB="0" distL="114300" distR="114300" simplePos="0" relativeHeight="251658244" behindDoc="1" locked="0" layoutInCell="1" allowOverlap="1" wp14:anchorId="590DDE42" wp14:editId="0B10E971">
          <wp:simplePos x="0" y="0"/>
          <wp:positionH relativeFrom="margin">
            <wp:posOffset>-5820610</wp:posOffset>
          </wp:positionH>
          <wp:positionV relativeFrom="paragraph">
            <wp:posOffset>-166440</wp:posOffset>
          </wp:positionV>
          <wp:extent cx="16079190" cy="583540"/>
          <wp:effectExtent l="0" t="0" r="0" b="7620"/>
          <wp:wrapNone/>
          <wp:docPr id="10896722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091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079190" cy="583540"/>
                  </a:xfrm>
                  <a:prstGeom prst="rect">
                    <a:avLst/>
                  </a:prstGeom>
                </pic:spPr>
              </pic:pic>
            </a:graphicData>
          </a:graphic>
          <wp14:sizeRelH relativeFrom="page">
            <wp14:pctWidth>0</wp14:pctWidth>
          </wp14:sizeRelH>
          <wp14:sizeRelV relativeFrom="page">
            <wp14:pctHeight>0</wp14:pctHeight>
          </wp14:sizeRelV>
        </wp:anchor>
      </w:drawing>
    </w:r>
    <w:r w:rsidRPr="00085A49">
      <w:ptab w:relativeTo="margin" w:alignment="left" w:leader="none"/>
    </w:r>
    <w:r w:rsidRPr="00085A49">
      <w:t xml:space="preserve">Page </w:t>
    </w:r>
    <w:r w:rsidRPr="00085A49">
      <w:fldChar w:fldCharType="begin"/>
    </w:r>
    <w:r w:rsidRPr="00085A49">
      <w:instrText xml:space="preserve"> PAGE   \* MERGEFORMAT </w:instrText>
    </w:r>
    <w:r w:rsidRPr="00085A49">
      <w:fldChar w:fldCharType="separate"/>
    </w:r>
    <w:r w:rsidRPr="00085A49">
      <w:t>6</w:t>
    </w:r>
    <w:r w:rsidRPr="00085A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62284" w14:textId="77777777" w:rsidR="006170B2" w:rsidRDefault="006170B2" w:rsidP="00D41211">
      <w:r>
        <w:separator/>
      </w:r>
    </w:p>
  </w:footnote>
  <w:footnote w:type="continuationSeparator" w:id="0">
    <w:p w14:paraId="32B99D29" w14:textId="77777777" w:rsidR="006170B2" w:rsidRDefault="006170B2"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7AAA7" w14:textId="678320F0" w:rsidR="00C13A96" w:rsidRPr="00085A49" w:rsidRDefault="005C6228" w:rsidP="00674712">
    <w:pPr>
      <w:pStyle w:val="Header"/>
      <w:tabs>
        <w:tab w:val="left" w:pos="2430"/>
      </w:tabs>
      <w:spacing w:before="100" w:beforeAutospacing="1"/>
      <w:rPr>
        <w:rStyle w:val="Bold"/>
      </w:rPr>
    </w:pPr>
    <w:r>
      <w:rPr>
        <w:noProof/>
        <w:color w:val="FFFFFF" w:themeColor="background1"/>
      </w:rPr>
      <w:drawing>
        <wp:anchor distT="0" distB="0" distL="114300" distR="114300" simplePos="0" relativeHeight="251658241" behindDoc="1" locked="0" layoutInCell="1" allowOverlap="1" wp14:anchorId="4073F3A6" wp14:editId="52021E50">
          <wp:simplePos x="0" y="0"/>
          <wp:positionH relativeFrom="page">
            <wp:align>right</wp:align>
          </wp:positionH>
          <wp:positionV relativeFrom="paragraph">
            <wp:posOffset>-455295</wp:posOffset>
          </wp:positionV>
          <wp:extent cx="10753725" cy="778510"/>
          <wp:effectExtent l="0" t="0" r="9525" b="2540"/>
          <wp:wrapNone/>
          <wp:docPr id="1951211657" name="Picture 1" descr="Page header with title: Non-financial assets valuation guide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11657" name="Picture 1" descr="Page header with title: Non-financial assets valuation guidelines&#10;&#10;"/>
                  <pic:cNvPicPr/>
                </pic:nvPicPr>
                <pic:blipFill>
                  <a:blip r:embed="rId1">
                    <a:extLst>
                      <a:ext uri="{28A0092B-C50C-407E-A947-70E740481C1C}">
                        <a14:useLocalDpi xmlns:a14="http://schemas.microsoft.com/office/drawing/2010/main" val="0"/>
                      </a:ext>
                    </a:extLst>
                  </a:blip>
                  <a:stretch>
                    <a:fillRect/>
                  </a:stretch>
                </pic:blipFill>
                <pic:spPr>
                  <a:xfrm>
                    <a:off x="0" y="0"/>
                    <a:ext cx="10753725" cy="778510"/>
                  </a:xfrm>
                  <a:prstGeom prst="rect">
                    <a:avLst/>
                  </a:prstGeom>
                </pic:spPr>
              </pic:pic>
            </a:graphicData>
          </a:graphic>
          <wp14:sizeRelH relativeFrom="page">
            <wp14:pctWidth>0</wp14:pctWidth>
          </wp14:sizeRelH>
          <wp14:sizeRelV relativeFrom="page">
            <wp14:pctHeight>0</wp14:pctHeight>
          </wp14:sizeRelV>
        </wp:anchor>
      </w:drawing>
    </w:r>
    <w:r w:rsidR="00D3768C">
      <w:rPr>
        <w:rStyle w:val="Bold"/>
        <w:color w:val="FFFFFF" w:themeColor="background1"/>
      </w:rPr>
      <w:t>Non-financial assets valuation guidelines</w:t>
    </w:r>
    <w:r w:rsidR="0035214B">
      <w:rPr>
        <w:rStyle w:val="Bold"/>
      </w:rPr>
      <w:tab/>
    </w:r>
  </w:p>
  <w:p w14:paraId="0BDAA7FB" w14:textId="29EF9F1A" w:rsidR="00C13A96" w:rsidRPr="00455F4B" w:rsidRDefault="00C13A96" w:rsidP="00455F4B">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50F6" w14:textId="13503512" w:rsidR="00C13A96" w:rsidRDefault="0035214B" w:rsidP="00982C9B">
    <w:pPr>
      <w:pStyle w:val="Header"/>
      <w:ind w:hanging="1134"/>
    </w:pPr>
    <w:r>
      <w:rPr>
        <w:noProof/>
      </w:rPr>
      <w:drawing>
        <wp:anchor distT="0" distB="0" distL="114300" distR="114300" simplePos="0" relativeHeight="251658240" behindDoc="1" locked="0" layoutInCell="1" allowOverlap="1" wp14:anchorId="0710BF12" wp14:editId="1CC2ACC6">
          <wp:simplePos x="0" y="0"/>
          <wp:positionH relativeFrom="column">
            <wp:posOffset>-720090</wp:posOffset>
          </wp:positionH>
          <wp:positionV relativeFrom="paragraph">
            <wp:posOffset>0</wp:posOffset>
          </wp:positionV>
          <wp:extent cx="7558377" cy="10688398"/>
          <wp:effectExtent l="0" t="0" r="5080" b="0"/>
          <wp:wrapNone/>
          <wp:docPr id="253013057" name="Picture 1" descr="Cover page with title: Non-financial assets valuation guidelines&#10;Local government context&#10;Septembe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13057" name="Picture 1" descr="Cover page with title: Non-financial assets valuation guidelines&#10;Local government context&#10;September 2025&#10;"/>
                  <pic:cNvPicPr/>
                </pic:nvPicPr>
                <pic:blipFill>
                  <a:blip r:embed="rId1">
                    <a:extLst>
                      <a:ext uri="{28A0092B-C50C-407E-A947-70E740481C1C}">
                        <a14:useLocalDpi xmlns:a14="http://schemas.microsoft.com/office/drawing/2010/main" val="0"/>
                      </a:ext>
                    </a:extLst>
                  </a:blip>
                  <a:stretch>
                    <a:fillRect/>
                  </a:stretch>
                </pic:blipFill>
                <pic:spPr>
                  <a:xfrm>
                    <a:off x="0" y="0"/>
                    <a:ext cx="7558377" cy="106883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B440" w14:textId="70F79D07" w:rsidR="00D71E5A" w:rsidRPr="00085A49" w:rsidRDefault="00D71E5A" w:rsidP="00674712">
    <w:pPr>
      <w:pStyle w:val="Header"/>
      <w:tabs>
        <w:tab w:val="left" w:pos="2430"/>
      </w:tabs>
      <w:spacing w:before="100" w:beforeAutospacing="1"/>
      <w:rPr>
        <w:rStyle w:val="Bold"/>
      </w:rPr>
    </w:pPr>
    <w:r>
      <w:rPr>
        <w:noProof/>
        <w:color w:val="FFFFFF" w:themeColor="background1"/>
      </w:rPr>
      <w:drawing>
        <wp:anchor distT="0" distB="0" distL="114300" distR="114300" simplePos="0" relativeHeight="251658245" behindDoc="1" locked="0" layoutInCell="1" allowOverlap="1" wp14:anchorId="07DC8F3F" wp14:editId="37F156F2">
          <wp:simplePos x="0" y="0"/>
          <wp:positionH relativeFrom="page">
            <wp:posOffset>16971</wp:posOffset>
          </wp:positionH>
          <wp:positionV relativeFrom="paragraph">
            <wp:posOffset>-399615</wp:posOffset>
          </wp:positionV>
          <wp:extent cx="10688955" cy="778510"/>
          <wp:effectExtent l="0" t="0" r="0" b="2540"/>
          <wp:wrapNone/>
          <wp:docPr id="3272767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5460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955" cy="778510"/>
                  </a:xfrm>
                  <a:prstGeom prst="rect">
                    <a:avLst/>
                  </a:prstGeom>
                </pic:spPr>
              </pic:pic>
            </a:graphicData>
          </a:graphic>
          <wp14:sizeRelH relativeFrom="page">
            <wp14:pctWidth>0</wp14:pctWidth>
          </wp14:sizeRelH>
          <wp14:sizeRelV relativeFrom="page">
            <wp14:pctHeight>0</wp14:pctHeight>
          </wp14:sizeRelV>
        </wp:anchor>
      </w:drawing>
    </w:r>
    <w:r>
      <w:rPr>
        <w:rStyle w:val="Bold"/>
        <w:color w:val="FFFFFF" w:themeColor="background1"/>
      </w:rPr>
      <w:t>Non-financial assets valuation guidelines</w:t>
    </w:r>
    <w:r>
      <w:rPr>
        <w:rStyle w:val="Bold"/>
      </w:rPr>
      <w:tab/>
    </w:r>
  </w:p>
  <w:p w14:paraId="2094CF2C" w14:textId="77777777" w:rsidR="00D71E5A" w:rsidRPr="00455F4B" w:rsidRDefault="00D71E5A" w:rsidP="00455F4B">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9E8"/>
    <w:multiLevelType w:val="hybridMultilevel"/>
    <w:tmpl w:val="425E7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A349C"/>
    <w:multiLevelType w:val="hybridMultilevel"/>
    <w:tmpl w:val="FE906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F735C0"/>
    <w:multiLevelType w:val="hybridMultilevel"/>
    <w:tmpl w:val="73D2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F7081C"/>
    <w:multiLevelType w:val="hybridMultilevel"/>
    <w:tmpl w:val="902A1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7B3EB1"/>
    <w:multiLevelType w:val="hybridMultilevel"/>
    <w:tmpl w:val="80DAD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E7356E"/>
    <w:multiLevelType w:val="hybridMultilevel"/>
    <w:tmpl w:val="04883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EC3FED"/>
    <w:multiLevelType w:val="hybridMultilevel"/>
    <w:tmpl w:val="FDAC40CE"/>
    <w:lvl w:ilvl="0" w:tplc="A964E386">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2301D6"/>
    <w:multiLevelType w:val="hybridMultilevel"/>
    <w:tmpl w:val="4C7C9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37090B"/>
    <w:multiLevelType w:val="hybridMultilevel"/>
    <w:tmpl w:val="45289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C05850"/>
    <w:multiLevelType w:val="hybridMultilevel"/>
    <w:tmpl w:val="64D81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4130BE"/>
    <w:multiLevelType w:val="multilevel"/>
    <w:tmpl w:val="9028EE40"/>
    <w:styleLink w:val="StyleBulletedSymbolsymbolLeft063cmHanging063cm1"/>
    <w:lvl w:ilvl="0">
      <w:start w:val="1"/>
      <w:numFmt w:val="bullet"/>
      <w:lvlText w:val=""/>
      <w:lvlJc w:val="left"/>
      <w:pPr>
        <w:ind w:left="851" w:hanging="851"/>
      </w:pPr>
      <w:rPr>
        <w:rFonts w:ascii="Symbol" w:hAnsi="Symbol" w:hint="default"/>
        <w:color w:val="auto"/>
      </w:rPr>
    </w:lvl>
    <w:lvl w:ilvl="1">
      <w:start w:val="1"/>
      <w:numFmt w:val="bullet"/>
      <w:lvlText w:val="o"/>
      <w:lvlJc w:val="left"/>
      <w:pPr>
        <w:ind w:left="1702" w:hanging="851"/>
      </w:pPr>
      <w:rPr>
        <w:rFonts w:ascii="Courier New" w:hAnsi="Courier New" w:hint="default"/>
      </w:rPr>
    </w:lvl>
    <w:lvl w:ilvl="2">
      <w:start w:val="1"/>
      <w:numFmt w:val="bullet"/>
      <w:lvlText w:val=""/>
      <w:lvlJc w:val="left"/>
      <w:pPr>
        <w:ind w:left="2553" w:hanging="851"/>
      </w:pPr>
      <w:rPr>
        <w:rFonts w:ascii="Symbol" w:hAnsi="Symbol" w:hint="default"/>
      </w:rPr>
    </w:lvl>
    <w:lvl w:ilvl="3">
      <w:start w:val="1"/>
      <w:numFmt w:val="bullet"/>
      <w:lvlText w:val="o"/>
      <w:lvlJc w:val="left"/>
      <w:pPr>
        <w:ind w:left="3404" w:hanging="851"/>
      </w:pPr>
      <w:rPr>
        <w:rFonts w:ascii="Courier New" w:hAnsi="Courier New" w:hint="default"/>
      </w:rPr>
    </w:lvl>
    <w:lvl w:ilvl="4">
      <w:start w:val="1"/>
      <w:numFmt w:val="bullet"/>
      <w:lvlText w:val=""/>
      <w:lvlJc w:val="left"/>
      <w:pPr>
        <w:ind w:left="4255" w:hanging="851"/>
      </w:pPr>
      <w:rPr>
        <w:rFonts w:ascii="Symbol" w:hAnsi="Symbol" w:hint="default"/>
      </w:rPr>
    </w:lvl>
    <w:lvl w:ilvl="5">
      <w:start w:val="1"/>
      <w:numFmt w:val="bullet"/>
      <w:lvlText w:val="o"/>
      <w:lvlJc w:val="left"/>
      <w:pPr>
        <w:ind w:left="5103" w:hanging="848"/>
      </w:pPr>
      <w:rPr>
        <w:rFonts w:ascii="Courier New" w:hAnsi="Courier New" w:hint="default"/>
      </w:rPr>
    </w:lvl>
    <w:lvl w:ilvl="6">
      <w:start w:val="1"/>
      <w:numFmt w:val="bullet"/>
      <w:lvlText w:val=""/>
      <w:lvlJc w:val="left"/>
      <w:pPr>
        <w:ind w:left="5954" w:hanging="848"/>
      </w:pPr>
      <w:rPr>
        <w:rFonts w:ascii="Symbol" w:hAnsi="Symbol" w:hint="default"/>
      </w:rPr>
    </w:lvl>
    <w:lvl w:ilvl="7">
      <w:start w:val="1"/>
      <w:numFmt w:val="bullet"/>
      <w:lvlText w:val="o"/>
      <w:lvlJc w:val="left"/>
      <w:pPr>
        <w:ind w:left="6804" w:hanging="850"/>
      </w:pPr>
      <w:rPr>
        <w:rFonts w:ascii="Courier New" w:hAnsi="Courier New" w:hint="default"/>
      </w:rPr>
    </w:lvl>
    <w:lvl w:ilvl="8">
      <w:start w:val="1"/>
      <w:numFmt w:val="bullet"/>
      <w:lvlText w:val=""/>
      <w:lvlJc w:val="left"/>
      <w:pPr>
        <w:ind w:left="7655" w:hanging="851"/>
      </w:pPr>
      <w:rPr>
        <w:rFonts w:ascii="Symbol" w:hAnsi="Symbol" w:hint="default"/>
      </w:rPr>
    </w:lvl>
  </w:abstractNum>
  <w:abstractNum w:abstractNumId="11" w15:restartNumberingAfterBreak="0">
    <w:nsid w:val="0A4F1CB6"/>
    <w:multiLevelType w:val="hybridMultilevel"/>
    <w:tmpl w:val="37F06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9D4F57"/>
    <w:multiLevelType w:val="hybridMultilevel"/>
    <w:tmpl w:val="49C2E65A"/>
    <w:lvl w:ilvl="0" w:tplc="4AF4C744">
      <w:start w:val="1"/>
      <w:numFmt w:val="bullet"/>
      <w:lvlText w:val=""/>
      <w:lvlJc w:val="left"/>
      <w:pPr>
        <w:ind w:left="720" w:hanging="360"/>
      </w:pPr>
      <w:rPr>
        <w:rFonts w:ascii="Symbol" w:hAnsi="Symbol" w:hint="default"/>
      </w:rPr>
    </w:lvl>
    <w:lvl w:ilvl="1" w:tplc="2BE0B558" w:tentative="1">
      <w:start w:val="1"/>
      <w:numFmt w:val="bullet"/>
      <w:lvlText w:val="o"/>
      <w:lvlJc w:val="left"/>
      <w:pPr>
        <w:ind w:left="-2736" w:hanging="360"/>
      </w:pPr>
      <w:rPr>
        <w:rFonts w:ascii="Courier New" w:hAnsi="Courier New" w:hint="default"/>
      </w:rPr>
    </w:lvl>
    <w:lvl w:ilvl="2" w:tplc="6D06DAFA" w:tentative="1">
      <w:start w:val="1"/>
      <w:numFmt w:val="bullet"/>
      <w:lvlText w:val=""/>
      <w:lvlJc w:val="left"/>
      <w:pPr>
        <w:ind w:left="-2016" w:hanging="360"/>
      </w:pPr>
      <w:rPr>
        <w:rFonts w:ascii="Wingdings" w:hAnsi="Wingdings" w:hint="default"/>
      </w:rPr>
    </w:lvl>
    <w:lvl w:ilvl="3" w:tplc="618CB0DA" w:tentative="1">
      <w:start w:val="1"/>
      <w:numFmt w:val="bullet"/>
      <w:lvlText w:val=""/>
      <w:lvlJc w:val="left"/>
      <w:pPr>
        <w:ind w:left="-1296" w:hanging="360"/>
      </w:pPr>
      <w:rPr>
        <w:rFonts w:ascii="Symbol" w:hAnsi="Symbol" w:hint="default"/>
      </w:rPr>
    </w:lvl>
    <w:lvl w:ilvl="4" w:tplc="0848F412" w:tentative="1">
      <w:start w:val="1"/>
      <w:numFmt w:val="bullet"/>
      <w:lvlText w:val="o"/>
      <w:lvlJc w:val="left"/>
      <w:pPr>
        <w:ind w:left="-576" w:hanging="360"/>
      </w:pPr>
      <w:rPr>
        <w:rFonts w:ascii="Courier New" w:hAnsi="Courier New" w:hint="default"/>
      </w:rPr>
    </w:lvl>
    <w:lvl w:ilvl="5" w:tplc="E62A7A4C" w:tentative="1">
      <w:start w:val="1"/>
      <w:numFmt w:val="bullet"/>
      <w:lvlText w:val=""/>
      <w:lvlJc w:val="left"/>
      <w:pPr>
        <w:ind w:left="144" w:hanging="360"/>
      </w:pPr>
      <w:rPr>
        <w:rFonts w:ascii="Wingdings" w:hAnsi="Wingdings" w:hint="default"/>
      </w:rPr>
    </w:lvl>
    <w:lvl w:ilvl="6" w:tplc="441EC516" w:tentative="1">
      <w:start w:val="1"/>
      <w:numFmt w:val="bullet"/>
      <w:lvlText w:val=""/>
      <w:lvlJc w:val="left"/>
      <w:pPr>
        <w:ind w:left="864" w:hanging="360"/>
      </w:pPr>
      <w:rPr>
        <w:rFonts w:ascii="Symbol" w:hAnsi="Symbol" w:hint="default"/>
      </w:rPr>
    </w:lvl>
    <w:lvl w:ilvl="7" w:tplc="93D62498" w:tentative="1">
      <w:start w:val="1"/>
      <w:numFmt w:val="bullet"/>
      <w:lvlText w:val="o"/>
      <w:lvlJc w:val="left"/>
      <w:pPr>
        <w:ind w:left="1584" w:hanging="360"/>
      </w:pPr>
      <w:rPr>
        <w:rFonts w:ascii="Courier New" w:hAnsi="Courier New" w:hint="default"/>
      </w:rPr>
    </w:lvl>
    <w:lvl w:ilvl="8" w:tplc="3A88C512" w:tentative="1">
      <w:start w:val="1"/>
      <w:numFmt w:val="bullet"/>
      <w:lvlText w:val=""/>
      <w:lvlJc w:val="left"/>
      <w:pPr>
        <w:ind w:left="2304" w:hanging="360"/>
      </w:pPr>
      <w:rPr>
        <w:rFonts w:ascii="Wingdings" w:hAnsi="Wingdings" w:hint="default"/>
      </w:rPr>
    </w:lvl>
  </w:abstractNum>
  <w:abstractNum w:abstractNumId="13" w15:restartNumberingAfterBreak="0">
    <w:nsid w:val="0BE34609"/>
    <w:multiLevelType w:val="hybridMultilevel"/>
    <w:tmpl w:val="2E62D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25563B"/>
    <w:multiLevelType w:val="hybridMultilevel"/>
    <w:tmpl w:val="B5B69C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3913D2"/>
    <w:multiLevelType w:val="hybridMultilevel"/>
    <w:tmpl w:val="3AE83E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B4742F"/>
    <w:multiLevelType w:val="hybridMultilevel"/>
    <w:tmpl w:val="F7C03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CE4185"/>
    <w:multiLevelType w:val="hybridMultilevel"/>
    <w:tmpl w:val="9A0C6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1B29B6"/>
    <w:multiLevelType w:val="multilevel"/>
    <w:tmpl w:val="7012C592"/>
    <w:styleLink w:val="MLlistailiststyle"/>
    <w:lvl w:ilvl="0">
      <w:start w:val="1"/>
      <w:numFmt w:val="decimal"/>
      <w:pStyle w:val="Listnumber111"/>
      <w:lvlText w:val="%1."/>
      <w:lvlJc w:val="left"/>
      <w:pPr>
        <w:tabs>
          <w:tab w:val="num" w:pos="709"/>
        </w:tabs>
        <w:ind w:left="709" w:hanging="709"/>
      </w:pPr>
      <w:rPr>
        <w:rFonts w:hint="default"/>
        <w:color w:val="auto"/>
      </w:rPr>
    </w:lvl>
    <w:lvl w:ilvl="1">
      <w:start w:val="1"/>
      <w:numFmt w:val="lowerLetter"/>
      <w:isLgl/>
      <w:lvlText w:val="%1.%2."/>
      <w:lvlJc w:val="left"/>
      <w:pPr>
        <w:tabs>
          <w:tab w:val="num" w:pos="1418"/>
        </w:tabs>
        <w:ind w:left="1418" w:hanging="709"/>
      </w:pPr>
      <w:rPr>
        <w:rFonts w:hint="default"/>
      </w:rPr>
    </w:lvl>
    <w:lvl w:ilvl="2">
      <w:start w:val="1"/>
      <w:numFmt w:val="lowerRoman"/>
      <w:isLgl/>
      <w:lvlText w:val="%1.%2.%3."/>
      <w:lvlJc w:val="left"/>
      <w:pPr>
        <w:tabs>
          <w:tab w:val="num" w:pos="2126"/>
        </w:tabs>
        <w:ind w:left="2127" w:hanging="709"/>
      </w:pPr>
      <w:rPr>
        <w:rFonts w:hint="default"/>
      </w:rPr>
    </w:lvl>
    <w:lvl w:ilvl="3">
      <w:start w:val="1"/>
      <w:numFmt w:val="decimal"/>
      <w:isLgl/>
      <w:lvlText w:val="%1.%2.%3.%4."/>
      <w:lvlJc w:val="left"/>
      <w:pPr>
        <w:tabs>
          <w:tab w:val="num" w:pos="2835"/>
        </w:tabs>
        <w:ind w:left="2836" w:hanging="709"/>
      </w:pPr>
      <w:rPr>
        <w:rFonts w:hint="default"/>
      </w:rPr>
    </w:lvl>
    <w:lvl w:ilvl="4">
      <w:start w:val="1"/>
      <w:numFmt w:val="lowerLetter"/>
      <w:isLgl/>
      <w:lvlText w:val="%1.%2.%3.%4.%5."/>
      <w:lvlJc w:val="left"/>
      <w:pPr>
        <w:tabs>
          <w:tab w:val="num" w:pos="3544"/>
        </w:tabs>
        <w:ind w:left="3545" w:hanging="709"/>
      </w:pPr>
      <w:rPr>
        <w:rFonts w:hint="default"/>
      </w:rPr>
    </w:lvl>
    <w:lvl w:ilvl="5">
      <w:start w:val="1"/>
      <w:numFmt w:val="lowerRoman"/>
      <w:isLgl/>
      <w:lvlText w:val="%1.%2.%3.%4.%5.%6."/>
      <w:lvlJc w:val="left"/>
      <w:pPr>
        <w:tabs>
          <w:tab w:val="num" w:pos="4253"/>
        </w:tabs>
        <w:ind w:left="4254" w:hanging="709"/>
      </w:pPr>
      <w:rPr>
        <w:rFonts w:hint="default"/>
      </w:rPr>
    </w:lvl>
    <w:lvl w:ilvl="6">
      <w:start w:val="1"/>
      <w:numFmt w:val="decimal"/>
      <w:isLgl/>
      <w:lvlText w:val="%1.%2.%3.%4.%5.%6.%7."/>
      <w:lvlJc w:val="left"/>
      <w:pPr>
        <w:tabs>
          <w:tab w:val="num" w:pos="4961"/>
        </w:tabs>
        <w:ind w:left="4963" w:hanging="709"/>
      </w:pPr>
      <w:rPr>
        <w:rFonts w:hint="default"/>
      </w:rPr>
    </w:lvl>
    <w:lvl w:ilvl="7">
      <w:start w:val="1"/>
      <w:numFmt w:val="lowerLetter"/>
      <w:isLgl/>
      <w:lvlText w:val="%1.%2.%3.%4.%5.%6.%7.%8."/>
      <w:lvlJc w:val="left"/>
      <w:pPr>
        <w:tabs>
          <w:tab w:val="num" w:pos="5670"/>
        </w:tabs>
        <w:ind w:left="5672" w:hanging="709"/>
      </w:pPr>
      <w:rPr>
        <w:rFonts w:hint="default"/>
      </w:rPr>
    </w:lvl>
    <w:lvl w:ilvl="8">
      <w:start w:val="1"/>
      <w:numFmt w:val="lowerRoman"/>
      <w:isLgl/>
      <w:lvlText w:val="%1.%2.%3.%4.%5.%6.%7.%8.%9."/>
      <w:lvlJc w:val="left"/>
      <w:pPr>
        <w:tabs>
          <w:tab w:val="num" w:pos="6379"/>
        </w:tabs>
        <w:ind w:left="6381" w:hanging="709"/>
      </w:pPr>
      <w:rPr>
        <w:rFonts w:hint="default"/>
      </w:rPr>
    </w:lvl>
  </w:abstractNum>
  <w:abstractNum w:abstractNumId="19" w15:restartNumberingAfterBreak="0">
    <w:nsid w:val="17915643"/>
    <w:multiLevelType w:val="multilevel"/>
    <w:tmpl w:val="851AD0B6"/>
    <w:lvl w:ilvl="0">
      <w:start w:val="1"/>
      <w:numFmt w:val="decimal"/>
      <w:pStyle w:val="HeadinglistnumL1"/>
      <w:lvlText w:val="%1."/>
      <w:lvlJc w:val="left"/>
      <w:pPr>
        <w:ind w:left="709" w:hanging="709"/>
      </w:pPr>
      <w:rPr>
        <w:rFonts w:hint="default"/>
      </w:rPr>
    </w:lvl>
    <w:lvl w:ilvl="1">
      <w:start w:val="1"/>
      <w:numFmt w:val="lowerLetter"/>
      <w:pStyle w:val="HeadinglistnumL2"/>
      <w:isLgl/>
      <w:lvlText w:val="%1.%2."/>
      <w:lvlJc w:val="left"/>
      <w:pPr>
        <w:ind w:left="1418" w:hanging="709"/>
      </w:pPr>
      <w:rPr>
        <w:rFonts w:hint="default"/>
      </w:rPr>
    </w:lvl>
    <w:lvl w:ilvl="2">
      <w:start w:val="1"/>
      <w:numFmt w:val="lowerRoman"/>
      <w:pStyle w:val="HeadinglistnumL3"/>
      <w:isLgl/>
      <w:lvlText w:val="%1.%2.%3."/>
      <w:lvlJc w:val="left"/>
      <w:pPr>
        <w:ind w:left="2127" w:hanging="709"/>
      </w:pPr>
      <w:rPr>
        <w:rFonts w:hint="default"/>
      </w:rPr>
    </w:lvl>
    <w:lvl w:ilvl="3">
      <w:start w:val="1"/>
      <w:numFmt w:val="decimal"/>
      <w:isLgl/>
      <w:lvlText w:val="%1.%2.%3.%4."/>
      <w:lvlJc w:val="left"/>
      <w:pPr>
        <w:ind w:left="2836" w:hanging="709"/>
      </w:pPr>
      <w:rPr>
        <w:rFonts w:hint="default"/>
      </w:rPr>
    </w:lvl>
    <w:lvl w:ilvl="4">
      <w:start w:val="1"/>
      <w:numFmt w:val="lowerLetter"/>
      <w:isLgl/>
      <w:lvlText w:val="%1.%2.%3.%4.%5."/>
      <w:lvlJc w:val="left"/>
      <w:pPr>
        <w:ind w:left="3545" w:hanging="709"/>
      </w:pPr>
      <w:rPr>
        <w:rFonts w:hint="default"/>
      </w:rPr>
    </w:lvl>
    <w:lvl w:ilvl="5">
      <w:start w:val="1"/>
      <w:numFmt w:val="lowerRoman"/>
      <w:isLgl/>
      <w:lvlText w:val="%1.%2.%3.%4.%5.%6."/>
      <w:lvlJc w:val="left"/>
      <w:pPr>
        <w:ind w:left="4254" w:hanging="709"/>
      </w:pPr>
      <w:rPr>
        <w:rFonts w:hint="default"/>
      </w:rPr>
    </w:lvl>
    <w:lvl w:ilvl="6">
      <w:start w:val="1"/>
      <w:numFmt w:val="decimal"/>
      <w:isLgl/>
      <w:lvlText w:val="%1.%2.%3.%4.%5.%6.%7."/>
      <w:lvlJc w:val="left"/>
      <w:pPr>
        <w:ind w:left="4963" w:hanging="709"/>
      </w:pPr>
      <w:rPr>
        <w:rFonts w:hint="default"/>
      </w:rPr>
    </w:lvl>
    <w:lvl w:ilvl="7">
      <w:start w:val="1"/>
      <w:numFmt w:val="lowerLetter"/>
      <w:isLgl/>
      <w:lvlText w:val="%1.%2.%3.%4.%5.%6.%8."/>
      <w:lvlJc w:val="left"/>
      <w:pPr>
        <w:ind w:left="5672" w:hanging="709"/>
      </w:pPr>
      <w:rPr>
        <w:rFonts w:hint="default"/>
      </w:rPr>
    </w:lvl>
    <w:lvl w:ilvl="8">
      <w:start w:val="1"/>
      <w:numFmt w:val="lowerRoman"/>
      <w:isLgl/>
      <w:lvlText w:val="%1.%2.%3.%4.%5.%6.%9."/>
      <w:lvlJc w:val="left"/>
      <w:pPr>
        <w:ind w:left="6381" w:hanging="709"/>
      </w:pPr>
      <w:rPr>
        <w:rFonts w:hint="default"/>
      </w:rPr>
    </w:lvl>
  </w:abstractNum>
  <w:abstractNum w:abstractNumId="20" w15:restartNumberingAfterBreak="0">
    <w:nsid w:val="17D5089F"/>
    <w:multiLevelType w:val="hybridMultilevel"/>
    <w:tmpl w:val="E71CD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3439CA"/>
    <w:multiLevelType w:val="hybridMultilevel"/>
    <w:tmpl w:val="7F2E9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BF1BA5"/>
    <w:multiLevelType w:val="hybridMultilevel"/>
    <w:tmpl w:val="806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9E6376A"/>
    <w:multiLevelType w:val="hybridMultilevel"/>
    <w:tmpl w:val="D7DE10D0"/>
    <w:lvl w:ilvl="0" w:tplc="79CAB2A4">
      <w:start w:val="1"/>
      <w:numFmt w:val="bullet"/>
      <w:pStyle w:val="ListParagraph"/>
      <w:lvlText w:val="o"/>
      <w:lvlJc w:val="left"/>
      <w:pPr>
        <w:ind w:left="4472" w:hanging="360"/>
      </w:pPr>
      <w:rPr>
        <w:rFonts w:ascii="Courier New" w:hAnsi="Courier New" w:cs="Courier New" w:hint="default"/>
      </w:rPr>
    </w:lvl>
    <w:lvl w:ilvl="1" w:tplc="0C090003" w:tentative="1">
      <w:start w:val="1"/>
      <w:numFmt w:val="bullet"/>
      <w:lvlText w:val="o"/>
      <w:lvlJc w:val="left"/>
      <w:pPr>
        <w:ind w:left="5192" w:hanging="360"/>
      </w:pPr>
      <w:rPr>
        <w:rFonts w:ascii="Courier New" w:hAnsi="Courier New" w:cs="Courier New" w:hint="default"/>
      </w:rPr>
    </w:lvl>
    <w:lvl w:ilvl="2" w:tplc="0C090005" w:tentative="1">
      <w:start w:val="1"/>
      <w:numFmt w:val="bullet"/>
      <w:lvlText w:val=""/>
      <w:lvlJc w:val="left"/>
      <w:pPr>
        <w:ind w:left="5912" w:hanging="360"/>
      </w:pPr>
      <w:rPr>
        <w:rFonts w:ascii="Wingdings" w:hAnsi="Wingdings" w:hint="default"/>
      </w:rPr>
    </w:lvl>
    <w:lvl w:ilvl="3" w:tplc="0C090001" w:tentative="1">
      <w:start w:val="1"/>
      <w:numFmt w:val="bullet"/>
      <w:lvlText w:val=""/>
      <w:lvlJc w:val="left"/>
      <w:pPr>
        <w:ind w:left="6632" w:hanging="360"/>
      </w:pPr>
      <w:rPr>
        <w:rFonts w:ascii="Symbol" w:hAnsi="Symbol" w:hint="default"/>
      </w:rPr>
    </w:lvl>
    <w:lvl w:ilvl="4" w:tplc="0C090003" w:tentative="1">
      <w:start w:val="1"/>
      <w:numFmt w:val="bullet"/>
      <w:lvlText w:val="o"/>
      <w:lvlJc w:val="left"/>
      <w:pPr>
        <w:ind w:left="7352" w:hanging="360"/>
      </w:pPr>
      <w:rPr>
        <w:rFonts w:ascii="Courier New" w:hAnsi="Courier New" w:cs="Courier New" w:hint="default"/>
      </w:rPr>
    </w:lvl>
    <w:lvl w:ilvl="5" w:tplc="0C090005" w:tentative="1">
      <w:start w:val="1"/>
      <w:numFmt w:val="bullet"/>
      <w:lvlText w:val=""/>
      <w:lvlJc w:val="left"/>
      <w:pPr>
        <w:ind w:left="8072" w:hanging="360"/>
      </w:pPr>
      <w:rPr>
        <w:rFonts w:ascii="Wingdings" w:hAnsi="Wingdings" w:hint="default"/>
      </w:rPr>
    </w:lvl>
    <w:lvl w:ilvl="6" w:tplc="0C090001" w:tentative="1">
      <w:start w:val="1"/>
      <w:numFmt w:val="bullet"/>
      <w:lvlText w:val=""/>
      <w:lvlJc w:val="left"/>
      <w:pPr>
        <w:ind w:left="8792" w:hanging="360"/>
      </w:pPr>
      <w:rPr>
        <w:rFonts w:ascii="Symbol" w:hAnsi="Symbol" w:hint="default"/>
      </w:rPr>
    </w:lvl>
    <w:lvl w:ilvl="7" w:tplc="0C090003" w:tentative="1">
      <w:start w:val="1"/>
      <w:numFmt w:val="bullet"/>
      <w:lvlText w:val="o"/>
      <w:lvlJc w:val="left"/>
      <w:pPr>
        <w:ind w:left="9512" w:hanging="360"/>
      </w:pPr>
      <w:rPr>
        <w:rFonts w:ascii="Courier New" w:hAnsi="Courier New" w:cs="Courier New" w:hint="default"/>
      </w:rPr>
    </w:lvl>
    <w:lvl w:ilvl="8" w:tplc="0C090005" w:tentative="1">
      <w:start w:val="1"/>
      <w:numFmt w:val="bullet"/>
      <w:lvlText w:val=""/>
      <w:lvlJc w:val="left"/>
      <w:pPr>
        <w:ind w:left="10232" w:hanging="360"/>
      </w:pPr>
      <w:rPr>
        <w:rFonts w:ascii="Wingdings" w:hAnsi="Wingdings" w:hint="default"/>
      </w:rPr>
    </w:lvl>
  </w:abstractNum>
  <w:abstractNum w:abstractNumId="24" w15:restartNumberingAfterBreak="0">
    <w:nsid w:val="19F637B2"/>
    <w:multiLevelType w:val="hybridMultilevel"/>
    <w:tmpl w:val="E4926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86445B"/>
    <w:multiLevelType w:val="hybridMultilevel"/>
    <w:tmpl w:val="4C70E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B635B11"/>
    <w:multiLevelType w:val="multilevel"/>
    <w:tmpl w:val="DB749BDA"/>
    <w:lvl w:ilvl="0">
      <w:start w:val="1"/>
      <w:numFmt w:val="bullet"/>
      <w:pStyle w:val="Listbullet"/>
      <w:lvlText w:val=""/>
      <w:lvlJc w:val="left"/>
      <w:pPr>
        <w:ind w:left="709" w:hanging="709"/>
      </w:pPr>
      <w:rPr>
        <w:rFonts w:ascii="Symbol" w:hAnsi="Symbol" w:hint="default"/>
        <w:color w:val="auto"/>
      </w:rPr>
    </w:lvl>
    <w:lvl w:ilvl="1">
      <w:start w:val="1"/>
      <w:numFmt w:val="bullet"/>
      <w:lvlText w:val="o"/>
      <w:lvlJc w:val="left"/>
      <w:pPr>
        <w:ind w:left="1418" w:hanging="709"/>
      </w:pPr>
      <w:rPr>
        <w:rFonts w:ascii="Courier New" w:hAnsi="Courier New" w:hint="default"/>
      </w:rPr>
    </w:lvl>
    <w:lvl w:ilvl="2">
      <w:start w:val="1"/>
      <w:numFmt w:val="bullet"/>
      <w:lvlText w:val=""/>
      <w:lvlJc w:val="left"/>
      <w:pPr>
        <w:ind w:left="2127" w:hanging="709"/>
      </w:pPr>
      <w:rPr>
        <w:rFonts w:ascii="Symbol" w:hAnsi="Symbol" w:hint="default"/>
        <w:color w:val="auto"/>
      </w:rPr>
    </w:lvl>
    <w:lvl w:ilvl="3">
      <w:start w:val="1"/>
      <w:numFmt w:val="bullet"/>
      <w:lvlText w:val="o"/>
      <w:lvlJc w:val="left"/>
      <w:pPr>
        <w:ind w:left="2836" w:hanging="709"/>
      </w:pPr>
      <w:rPr>
        <w:rFonts w:ascii="Courier New" w:hAnsi="Courier New" w:hint="default"/>
      </w:rPr>
    </w:lvl>
    <w:lvl w:ilvl="4">
      <w:start w:val="1"/>
      <w:numFmt w:val="bullet"/>
      <w:lvlText w:val=""/>
      <w:lvlJc w:val="left"/>
      <w:pPr>
        <w:ind w:left="3545" w:hanging="709"/>
      </w:pPr>
      <w:rPr>
        <w:rFonts w:ascii="Symbol" w:hAnsi="Symbol" w:hint="default"/>
        <w:color w:val="auto"/>
      </w:rPr>
    </w:lvl>
    <w:lvl w:ilvl="5">
      <w:start w:val="1"/>
      <w:numFmt w:val="bullet"/>
      <w:lvlText w:val="o"/>
      <w:lvlJc w:val="left"/>
      <w:pPr>
        <w:ind w:left="4254" w:hanging="709"/>
      </w:pPr>
      <w:rPr>
        <w:rFonts w:ascii="Courier New" w:hAnsi="Courier New" w:hint="default"/>
      </w:rPr>
    </w:lvl>
    <w:lvl w:ilvl="6">
      <w:start w:val="1"/>
      <w:numFmt w:val="bullet"/>
      <w:lvlText w:val=""/>
      <w:lvlJc w:val="left"/>
      <w:pPr>
        <w:ind w:left="4963" w:hanging="709"/>
      </w:pPr>
      <w:rPr>
        <w:rFonts w:ascii="Symbol" w:hAnsi="Symbol" w:hint="default"/>
      </w:rPr>
    </w:lvl>
    <w:lvl w:ilvl="7">
      <w:start w:val="1"/>
      <w:numFmt w:val="bullet"/>
      <w:lvlText w:val="o"/>
      <w:lvlJc w:val="left"/>
      <w:pPr>
        <w:ind w:left="5672" w:hanging="709"/>
      </w:pPr>
      <w:rPr>
        <w:rFonts w:ascii="Courier New" w:hAnsi="Courier New" w:hint="default"/>
      </w:rPr>
    </w:lvl>
    <w:lvl w:ilvl="8">
      <w:start w:val="1"/>
      <w:numFmt w:val="bullet"/>
      <w:lvlText w:val=""/>
      <w:lvlJc w:val="left"/>
      <w:pPr>
        <w:ind w:left="6381" w:hanging="709"/>
      </w:pPr>
      <w:rPr>
        <w:rFonts w:ascii="Symbol" w:hAnsi="Symbol" w:hint="default"/>
        <w:color w:val="auto"/>
      </w:rPr>
    </w:lvl>
  </w:abstractNum>
  <w:abstractNum w:abstractNumId="27" w15:restartNumberingAfterBreak="0">
    <w:nsid w:val="1C4C4058"/>
    <w:multiLevelType w:val="hybridMultilevel"/>
    <w:tmpl w:val="4594A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D3957CB"/>
    <w:multiLevelType w:val="hybridMultilevel"/>
    <w:tmpl w:val="FAB6E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E071727"/>
    <w:multiLevelType w:val="hybridMultilevel"/>
    <w:tmpl w:val="F0D0E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E09023A"/>
    <w:multiLevelType w:val="hybridMultilevel"/>
    <w:tmpl w:val="2B828B1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1EA14BB4"/>
    <w:multiLevelType w:val="multilevel"/>
    <w:tmpl w:val="39C4A09E"/>
    <w:styleLink w:val="StyleNumberedLeft063cmHanging063cm1"/>
    <w:lvl w:ilvl="0">
      <w:start w:val="1"/>
      <w:numFmt w:val="decimal"/>
      <w:isLgl/>
      <w:lvlText w:val="%1."/>
      <w:lvlJc w:val="left"/>
      <w:pPr>
        <w:ind w:left="709" w:hanging="709"/>
      </w:pPr>
      <w:rPr>
        <w:rFonts w:hint="default"/>
        <w:color w:val="auto"/>
      </w:rPr>
    </w:lvl>
    <w:lvl w:ilvl="1">
      <w:start w:val="1"/>
      <w:numFmt w:val="lowerLetter"/>
      <w:isLgl/>
      <w:lvlText w:val="%1.%2."/>
      <w:lvlJc w:val="left"/>
      <w:pPr>
        <w:ind w:left="1418" w:hanging="709"/>
      </w:pPr>
      <w:rPr>
        <w:rFonts w:hint="default"/>
      </w:rPr>
    </w:lvl>
    <w:lvl w:ilvl="2">
      <w:start w:val="1"/>
      <w:numFmt w:val="lowerRoman"/>
      <w:isLgl/>
      <w:lvlText w:val="%1.%2.%3."/>
      <w:lvlJc w:val="right"/>
      <w:pPr>
        <w:ind w:left="2127" w:hanging="709"/>
      </w:pPr>
      <w:rPr>
        <w:rFonts w:hint="default"/>
      </w:rPr>
    </w:lvl>
    <w:lvl w:ilvl="3">
      <w:start w:val="1"/>
      <w:numFmt w:val="decimal"/>
      <w:isLgl/>
      <w:lvlText w:val="%1.%2.%3.%4."/>
      <w:lvlJc w:val="left"/>
      <w:pPr>
        <w:ind w:left="2836" w:hanging="709"/>
      </w:pPr>
      <w:rPr>
        <w:rFonts w:hint="default"/>
      </w:rPr>
    </w:lvl>
    <w:lvl w:ilvl="4">
      <w:start w:val="1"/>
      <w:numFmt w:val="lowerLetter"/>
      <w:isLgl/>
      <w:lvlText w:val="%1.%2.%3.%4.%5."/>
      <w:lvlJc w:val="left"/>
      <w:pPr>
        <w:ind w:left="3545" w:hanging="709"/>
      </w:pPr>
      <w:rPr>
        <w:rFonts w:hint="default"/>
      </w:rPr>
    </w:lvl>
    <w:lvl w:ilvl="5">
      <w:start w:val="1"/>
      <w:numFmt w:val="lowerRoman"/>
      <w:isLgl/>
      <w:lvlText w:val="%1.%2.%3.%4.%5.%6."/>
      <w:lvlJc w:val="right"/>
      <w:pPr>
        <w:ind w:left="4254" w:hanging="709"/>
      </w:pPr>
      <w:rPr>
        <w:rFonts w:hint="default"/>
      </w:rPr>
    </w:lvl>
    <w:lvl w:ilvl="6">
      <w:start w:val="1"/>
      <w:numFmt w:val="decimal"/>
      <w:isLgl/>
      <w:lvlText w:val="%1.%2.%3.%4.%5.%6.%7."/>
      <w:lvlJc w:val="left"/>
      <w:pPr>
        <w:ind w:left="4963" w:hanging="709"/>
      </w:pPr>
      <w:rPr>
        <w:rFonts w:hint="default"/>
      </w:rPr>
    </w:lvl>
    <w:lvl w:ilvl="7">
      <w:start w:val="1"/>
      <w:numFmt w:val="lowerLetter"/>
      <w:isLgl/>
      <w:lvlText w:val="%1.%2.%3.%4.%5.%6.%7.%8."/>
      <w:lvlJc w:val="left"/>
      <w:pPr>
        <w:ind w:left="5672" w:hanging="709"/>
      </w:pPr>
      <w:rPr>
        <w:rFonts w:hint="default"/>
      </w:rPr>
    </w:lvl>
    <w:lvl w:ilvl="8">
      <w:start w:val="1"/>
      <w:numFmt w:val="lowerRoman"/>
      <w:isLgl/>
      <w:lvlText w:val="%1.%2.%3.%4.%5.%6.%7.%8.%9."/>
      <w:lvlJc w:val="right"/>
      <w:pPr>
        <w:ind w:left="6381" w:hanging="709"/>
      </w:pPr>
      <w:rPr>
        <w:rFonts w:hint="default"/>
      </w:rPr>
    </w:lvl>
  </w:abstractNum>
  <w:abstractNum w:abstractNumId="32" w15:restartNumberingAfterBreak="0">
    <w:nsid w:val="1F7B6308"/>
    <w:multiLevelType w:val="hybridMultilevel"/>
    <w:tmpl w:val="D38AD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000653A"/>
    <w:multiLevelType w:val="hybridMultilevel"/>
    <w:tmpl w:val="58B48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0F52D2"/>
    <w:multiLevelType w:val="hybridMultilevel"/>
    <w:tmpl w:val="03588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2166868"/>
    <w:multiLevelType w:val="hybridMultilevel"/>
    <w:tmpl w:val="A306A0B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27D3D77"/>
    <w:multiLevelType w:val="hybridMultilevel"/>
    <w:tmpl w:val="89CE0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077015"/>
    <w:multiLevelType w:val="hybridMultilevel"/>
    <w:tmpl w:val="BC885BA8"/>
    <w:lvl w:ilvl="0" w:tplc="9088287C">
      <w:start w:val="1"/>
      <w:numFmt w:val="bullet"/>
      <w:pStyle w:val="APV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A46716"/>
    <w:multiLevelType w:val="hybridMultilevel"/>
    <w:tmpl w:val="984AF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4BD2005"/>
    <w:multiLevelType w:val="hybridMultilevel"/>
    <w:tmpl w:val="52BC7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6EF5C00"/>
    <w:multiLevelType w:val="hybridMultilevel"/>
    <w:tmpl w:val="65D6300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714578F"/>
    <w:multiLevelType w:val="multilevel"/>
    <w:tmpl w:val="9996A862"/>
    <w:styleLink w:val="StyleNumberedLeft063cmHanging063cm"/>
    <w:lvl w:ilvl="0">
      <w:start w:val="1"/>
      <w:numFmt w:val="bullet"/>
      <w:lvlText w:val=""/>
      <w:lvlJc w:val="left"/>
      <w:pPr>
        <w:ind w:left="709" w:hanging="709"/>
      </w:pPr>
      <w:rPr>
        <w:rFonts w:ascii="Symbol" w:hAnsi="Symbol" w:hint="default"/>
        <w:color w:val="auto"/>
      </w:rPr>
    </w:lvl>
    <w:lvl w:ilvl="1">
      <w:start w:val="1"/>
      <w:numFmt w:val="bullet"/>
      <w:lvlText w:val="o"/>
      <w:lvlJc w:val="left"/>
      <w:pPr>
        <w:ind w:left="1418" w:hanging="709"/>
      </w:pPr>
      <w:rPr>
        <w:rFonts w:ascii="Courier New" w:hAnsi="Courier New" w:hint="default"/>
      </w:rPr>
    </w:lvl>
    <w:lvl w:ilvl="2">
      <w:start w:val="1"/>
      <w:numFmt w:val="bullet"/>
      <w:lvlText w:val=""/>
      <w:lvlJc w:val="left"/>
      <w:pPr>
        <w:ind w:left="2127" w:hanging="709"/>
      </w:pPr>
      <w:rPr>
        <w:rFonts w:ascii="Symbol" w:hAnsi="Symbol" w:hint="default"/>
        <w:color w:val="auto"/>
      </w:rPr>
    </w:lvl>
    <w:lvl w:ilvl="3">
      <w:start w:val="1"/>
      <w:numFmt w:val="bullet"/>
      <w:lvlText w:val="o"/>
      <w:lvlJc w:val="left"/>
      <w:pPr>
        <w:ind w:left="2836" w:hanging="709"/>
      </w:pPr>
      <w:rPr>
        <w:rFonts w:ascii="Courier New" w:hAnsi="Courier New" w:hint="default"/>
      </w:rPr>
    </w:lvl>
    <w:lvl w:ilvl="4">
      <w:start w:val="1"/>
      <w:numFmt w:val="bullet"/>
      <w:lvlText w:val=""/>
      <w:lvlJc w:val="left"/>
      <w:pPr>
        <w:ind w:left="3545" w:hanging="709"/>
      </w:pPr>
      <w:rPr>
        <w:rFonts w:ascii="Symbol" w:hAnsi="Symbol" w:hint="default"/>
        <w:color w:val="auto"/>
      </w:rPr>
    </w:lvl>
    <w:lvl w:ilvl="5">
      <w:start w:val="1"/>
      <w:numFmt w:val="bullet"/>
      <w:lvlText w:val="o"/>
      <w:lvlJc w:val="left"/>
      <w:pPr>
        <w:ind w:left="4254" w:hanging="709"/>
      </w:pPr>
      <w:rPr>
        <w:rFonts w:ascii="Courier New" w:hAnsi="Courier New" w:hint="default"/>
      </w:rPr>
    </w:lvl>
    <w:lvl w:ilvl="6">
      <w:start w:val="1"/>
      <w:numFmt w:val="bullet"/>
      <w:lvlText w:val=""/>
      <w:lvlJc w:val="left"/>
      <w:pPr>
        <w:ind w:left="4963" w:hanging="709"/>
      </w:pPr>
      <w:rPr>
        <w:rFonts w:ascii="Symbol" w:hAnsi="Symbol" w:hint="default"/>
      </w:rPr>
    </w:lvl>
    <w:lvl w:ilvl="7">
      <w:start w:val="1"/>
      <w:numFmt w:val="bullet"/>
      <w:lvlText w:val="o"/>
      <w:lvlJc w:val="left"/>
      <w:pPr>
        <w:ind w:left="5672" w:hanging="709"/>
      </w:pPr>
      <w:rPr>
        <w:rFonts w:ascii="Courier New" w:hAnsi="Courier New" w:hint="default"/>
      </w:rPr>
    </w:lvl>
    <w:lvl w:ilvl="8">
      <w:start w:val="1"/>
      <w:numFmt w:val="bullet"/>
      <w:lvlText w:val=""/>
      <w:lvlJc w:val="left"/>
      <w:pPr>
        <w:ind w:left="6381" w:hanging="709"/>
      </w:pPr>
      <w:rPr>
        <w:rFonts w:ascii="Symbol" w:hAnsi="Symbol" w:hint="default"/>
        <w:color w:val="auto"/>
      </w:rPr>
    </w:lvl>
  </w:abstractNum>
  <w:abstractNum w:abstractNumId="42" w15:restartNumberingAfterBreak="0">
    <w:nsid w:val="28173E70"/>
    <w:multiLevelType w:val="multilevel"/>
    <w:tmpl w:val="0C09001D"/>
    <w:styleLink w:val="StyleBulletedSymbolsymbolLeft063cmHanging063cm"/>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28795D4F"/>
    <w:multiLevelType w:val="hybridMultilevel"/>
    <w:tmpl w:val="F1A62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8835200"/>
    <w:multiLevelType w:val="hybridMultilevel"/>
    <w:tmpl w:val="29C6F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88939DC"/>
    <w:multiLevelType w:val="hybridMultilevel"/>
    <w:tmpl w:val="D3D41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A025B95"/>
    <w:multiLevelType w:val="hybridMultilevel"/>
    <w:tmpl w:val="468E3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A1F21BD"/>
    <w:multiLevelType w:val="multilevel"/>
    <w:tmpl w:val="D430B500"/>
    <w:lvl w:ilvl="0">
      <w:start w:val="1"/>
      <w:numFmt w:val="decimal"/>
      <w:pStyle w:val="NumberedlistLevel1"/>
      <w:lvlText w:val="%1."/>
      <w:lvlJc w:val="left"/>
      <w:pPr>
        <w:ind w:left="567" w:hanging="283"/>
      </w:pPr>
      <w:rPr>
        <w:rFonts w:ascii="Arial Narrow" w:hAnsi="Arial Narrow" w:hint="default"/>
        <w:b w:val="0"/>
        <w:i w:val="0"/>
        <w:color w:val="000000"/>
        <w:sz w:val="20"/>
      </w:rPr>
    </w:lvl>
    <w:lvl w:ilvl="1">
      <w:start w:val="1"/>
      <w:numFmt w:val="decimal"/>
      <w:pStyle w:val="NumberedListLevel2"/>
      <w:lvlText w:val="%1.%2."/>
      <w:lvlJc w:val="left"/>
      <w:pPr>
        <w:ind w:left="964" w:hanging="396"/>
      </w:pPr>
      <w:rPr>
        <w:rFonts w:ascii="Arial Narrow" w:hAnsi="Arial Narrow" w:hint="default"/>
        <w:sz w:val="20"/>
      </w:rPr>
    </w:lvl>
    <w:lvl w:ilvl="2">
      <w:start w:val="1"/>
      <w:numFmt w:val="decimal"/>
      <w:pStyle w:val="NumberedListLevel3"/>
      <w:lvlText w:val="%1.%2.%3."/>
      <w:lvlJc w:val="left"/>
      <w:pPr>
        <w:ind w:left="1021" w:hanging="169"/>
      </w:pPr>
      <w:rPr>
        <w:rFonts w:ascii="Arial Narrow" w:hAnsi="Arial Narrow" w:hint="default"/>
        <w:b w:val="0"/>
        <w:i w:val="0"/>
        <w:color w:val="auto"/>
        <w:sz w:val="20"/>
      </w:rPr>
    </w:lvl>
    <w:lvl w:ilvl="3">
      <w:start w:val="1"/>
      <w:numFmt w:val="decimal"/>
      <w:lvlText w:val="%1.%2.%3.%4."/>
      <w:lvlJc w:val="left"/>
      <w:pPr>
        <w:ind w:left="1419" w:hanging="283"/>
      </w:pPr>
      <w:rPr>
        <w:rFonts w:hint="default"/>
      </w:rPr>
    </w:lvl>
    <w:lvl w:ilvl="4">
      <w:start w:val="1"/>
      <w:numFmt w:val="decimal"/>
      <w:lvlText w:val="%1.%2.%3.%4.%5."/>
      <w:lvlJc w:val="left"/>
      <w:pPr>
        <w:ind w:left="1703" w:hanging="283"/>
      </w:pPr>
      <w:rPr>
        <w:rFonts w:hint="default"/>
      </w:rPr>
    </w:lvl>
    <w:lvl w:ilvl="5">
      <w:start w:val="1"/>
      <w:numFmt w:val="decimal"/>
      <w:lvlText w:val="%1.%2.%3.%4.%5.%6."/>
      <w:lvlJc w:val="left"/>
      <w:pPr>
        <w:ind w:left="1987" w:hanging="283"/>
      </w:pPr>
      <w:rPr>
        <w:rFonts w:hint="default"/>
      </w:rPr>
    </w:lvl>
    <w:lvl w:ilvl="6">
      <w:start w:val="1"/>
      <w:numFmt w:val="decimal"/>
      <w:lvlText w:val="%1.%2.%3.%4.%5.%6.%7."/>
      <w:lvlJc w:val="left"/>
      <w:pPr>
        <w:ind w:left="2271" w:hanging="283"/>
      </w:pPr>
      <w:rPr>
        <w:rFonts w:hint="default"/>
      </w:rPr>
    </w:lvl>
    <w:lvl w:ilvl="7">
      <w:start w:val="1"/>
      <w:numFmt w:val="decimal"/>
      <w:lvlText w:val="%1.%2.%3.%4.%5.%6.%7.%8."/>
      <w:lvlJc w:val="left"/>
      <w:pPr>
        <w:ind w:left="2555" w:hanging="283"/>
      </w:pPr>
      <w:rPr>
        <w:rFonts w:hint="default"/>
      </w:rPr>
    </w:lvl>
    <w:lvl w:ilvl="8">
      <w:start w:val="1"/>
      <w:numFmt w:val="decimal"/>
      <w:lvlText w:val="%1.%2.%3.%4.%5.%6.%7.%8.%9."/>
      <w:lvlJc w:val="left"/>
      <w:pPr>
        <w:ind w:left="2839" w:hanging="283"/>
      </w:pPr>
      <w:rPr>
        <w:rFonts w:hint="default"/>
      </w:rPr>
    </w:lvl>
  </w:abstractNum>
  <w:abstractNum w:abstractNumId="48" w15:restartNumberingAfterBreak="0">
    <w:nsid w:val="2AC7570B"/>
    <w:multiLevelType w:val="hybridMultilevel"/>
    <w:tmpl w:val="083EB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B481924"/>
    <w:multiLevelType w:val="hybridMultilevel"/>
    <w:tmpl w:val="6B120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B6B67F5"/>
    <w:multiLevelType w:val="multilevel"/>
    <w:tmpl w:val="EF120A6E"/>
    <w:styleLink w:val="StyleOutlinenumberedLeft0cmHanging125cm3"/>
    <w:lvl w:ilvl="0">
      <w:start w:val="1"/>
      <w:numFmt w:val="decimal"/>
      <w:lvlText w:val="%1."/>
      <w:lvlJc w:val="left"/>
      <w:pPr>
        <w:tabs>
          <w:tab w:val="num" w:pos="709"/>
        </w:tabs>
        <w:ind w:left="709" w:hanging="709"/>
      </w:pPr>
      <w:rPr>
        <w:rFonts w:hint="default"/>
        <w:color w:val="auto"/>
      </w:rPr>
    </w:lvl>
    <w:lvl w:ilvl="1">
      <w:start w:val="1"/>
      <w:numFmt w:val="lowerLetter"/>
      <w:isLgl/>
      <w:lvlText w:val="%1.%2."/>
      <w:lvlJc w:val="left"/>
      <w:pPr>
        <w:tabs>
          <w:tab w:val="num" w:pos="1418"/>
        </w:tabs>
        <w:ind w:left="1418" w:hanging="709"/>
      </w:pPr>
      <w:rPr>
        <w:rFonts w:hint="default"/>
      </w:rPr>
    </w:lvl>
    <w:lvl w:ilvl="2">
      <w:start w:val="1"/>
      <w:numFmt w:val="lowerRoman"/>
      <w:isLgl/>
      <w:lvlText w:val="%1.%2.%3."/>
      <w:lvlJc w:val="left"/>
      <w:pPr>
        <w:tabs>
          <w:tab w:val="num" w:pos="2126"/>
        </w:tabs>
        <w:ind w:left="2127" w:hanging="709"/>
      </w:pPr>
      <w:rPr>
        <w:rFonts w:hint="default"/>
      </w:rPr>
    </w:lvl>
    <w:lvl w:ilvl="3">
      <w:start w:val="1"/>
      <w:numFmt w:val="decimal"/>
      <w:isLgl/>
      <w:lvlText w:val="%1.%2.%3.%4."/>
      <w:lvlJc w:val="left"/>
      <w:pPr>
        <w:tabs>
          <w:tab w:val="num" w:pos="2835"/>
        </w:tabs>
        <w:ind w:left="2836" w:hanging="709"/>
      </w:pPr>
      <w:rPr>
        <w:rFonts w:hint="default"/>
      </w:rPr>
    </w:lvl>
    <w:lvl w:ilvl="4">
      <w:start w:val="1"/>
      <w:numFmt w:val="lowerLetter"/>
      <w:isLgl/>
      <w:lvlText w:val="%1.%2.%3.%4.%5."/>
      <w:lvlJc w:val="left"/>
      <w:pPr>
        <w:tabs>
          <w:tab w:val="num" w:pos="3544"/>
        </w:tabs>
        <w:ind w:left="3545" w:hanging="709"/>
      </w:pPr>
      <w:rPr>
        <w:rFonts w:hint="default"/>
      </w:rPr>
    </w:lvl>
    <w:lvl w:ilvl="5">
      <w:start w:val="1"/>
      <w:numFmt w:val="lowerRoman"/>
      <w:isLgl/>
      <w:lvlText w:val="%1.%2.%3.%4.%5.%6."/>
      <w:lvlJc w:val="left"/>
      <w:pPr>
        <w:tabs>
          <w:tab w:val="num" w:pos="4253"/>
        </w:tabs>
        <w:ind w:left="4254" w:hanging="709"/>
      </w:pPr>
      <w:rPr>
        <w:rFonts w:hint="default"/>
      </w:rPr>
    </w:lvl>
    <w:lvl w:ilvl="6">
      <w:start w:val="1"/>
      <w:numFmt w:val="decimal"/>
      <w:isLgl/>
      <w:lvlText w:val="%1.%2.%3.%4.%5.%6.%7."/>
      <w:lvlJc w:val="left"/>
      <w:pPr>
        <w:tabs>
          <w:tab w:val="num" w:pos="4961"/>
        </w:tabs>
        <w:ind w:left="4963" w:hanging="709"/>
      </w:pPr>
      <w:rPr>
        <w:rFonts w:hint="default"/>
      </w:rPr>
    </w:lvl>
    <w:lvl w:ilvl="7">
      <w:start w:val="1"/>
      <w:numFmt w:val="lowerLetter"/>
      <w:isLgl/>
      <w:lvlText w:val="%1.%2.%3.%4.%5.%6.%7.%8."/>
      <w:lvlJc w:val="left"/>
      <w:pPr>
        <w:tabs>
          <w:tab w:val="num" w:pos="5670"/>
        </w:tabs>
        <w:ind w:left="5672" w:hanging="709"/>
      </w:pPr>
      <w:rPr>
        <w:rFonts w:hint="default"/>
      </w:rPr>
    </w:lvl>
    <w:lvl w:ilvl="8">
      <w:start w:val="1"/>
      <w:numFmt w:val="lowerRoman"/>
      <w:isLgl/>
      <w:lvlText w:val="%1.%2.%3.%4.%5.%6.%7.%8.%9."/>
      <w:lvlJc w:val="left"/>
      <w:pPr>
        <w:tabs>
          <w:tab w:val="num" w:pos="6379"/>
        </w:tabs>
        <w:ind w:left="6381" w:hanging="709"/>
      </w:pPr>
      <w:rPr>
        <w:rFonts w:hint="default"/>
      </w:rPr>
    </w:lvl>
  </w:abstractNum>
  <w:abstractNum w:abstractNumId="51" w15:restartNumberingAfterBreak="0">
    <w:nsid w:val="2C160725"/>
    <w:multiLevelType w:val="hybridMultilevel"/>
    <w:tmpl w:val="6A1293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0893383"/>
    <w:multiLevelType w:val="hybridMultilevel"/>
    <w:tmpl w:val="EF74F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0E33299"/>
    <w:multiLevelType w:val="multilevel"/>
    <w:tmpl w:val="62DC00EE"/>
    <w:styleLink w:val="StyleNumberedLeft063cmHanging063cm3"/>
    <w:lvl w:ilvl="0">
      <w:start w:val="1"/>
      <w:numFmt w:val="decimal"/>
      <w:isLgl/>
      <w:lvlText w:val="%1."/>
      <w:lvlJc w:val="left"/>
      <w:pPr>
        <w:ind w:left="709" w:hanging="709"/>
      </w:pPr>
      <w:rPr>
        <w:rFonts w:hint="default"/>
        <w:color w:val="auto"/>
      </w:rPr>
    </w:lvl>
    <w:lvl w:ilvl="1">
      <w:start w:val="1"/>
      <w:numFmt w:val="lowerLetter"/>
      <w:lvlText w:val="%2."/>
      <w:lvlJc w:val="left"/>
      <w:pPr>
        <w:ind w:left="1418" w:hanging="709"/>
      </w:pPr>
      <w:rPr>
        <w:rFonts w:hint="default"/>
      </w:rPr>
    </w:lvl>
    <w:lvl w:ilvl="2">
      <w:start w:val="1"/>
      <w:numFmt w:val="lowerRoman"/>
      <w:lvlText w:val="%3."/>
      <w:lvlJc w:val="right"/>
      <w:pPr>
        <w:ind w:left="2127" w:hanging="709"/>
      </w:pPr>
      <w:rPr>
        <w:rFonts w:hint="default"/>
      </w:rPr>
    </w:lvl>
    <w:lvl w:ilvl="3">
      <w:start w:val="1"/>
      <w:numFmt w:val="decimal"/>
      <w:lvlText w:val="%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righ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right"/>
      <w:pPr>
        <w:ind w:left="6381" w:hanging="709"/>
      </w:pPr>
      <w:rPr>
        <w:rFonts w:hint="default"/>
      </w:rPr>
    </w:lvl>
  </w:abstractNum>
  <w:abstractNum w:abstractNumId="54" w15:restartNumberingAfterBreak="0">
    <w:nsid w:val="30EF0821"/>
    <w:multiLevelType w:val="hybridMultilevel"/>
    <w:tmpl w:val="F6F60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11939A2"/>
    <w:multiLevelType w:val="hybridMultilevel"/>
    <w:tmpl w:val="7E9C8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14D0A82"/>
    <w:multiLevelType w:val="hybridMultilevel"/>
    <w:tmpl w:val="B0623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1F549FD"/>
    <w:multiLevelType w:val="hybridMultilevel"/>
    <w:tmpl w:val="4BD205A0"/>
    <w:lvl w:ilvl="0" w:tplc="10A86EB4">
      <w:start w:val="1"/>
      <w:numFmt w:val="lowerLetter"/>
      <w:pStyle w:val="LetterListLevel1"/>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8" w15:restartNumberingAfterBreak="0">
    <w:nsid w:val="33271D3D"/>
    <w:multiLevelType w:val="hybridMultilevel"/>
    <w:tmpl w:val="EC5C4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6870AD3"/>
    <w:multiLevelType w:val="hybridMultilevel"/>
    <w:tmpl w:val="F0AA5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81B1C2F"/>
    <w:multiLevelType w:val="hybridMultilevel"/>
    <w:tmpl w:val="334AFF92"/>
    <w:lvl w:ilvl="0" w:tplc="52281AA8">
      <w:start w:val="12"/>
      <w:numFmt w:val="bullet"/>
      <w:pStyle w:val="BulletListLevel2"/>
      <w:lvlText w:val="-"/>
      <w:lvlJc w:val="left"/>
      <w:pPr>
        <w:ind w:left="737" w:hanging="283"/>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1" w15:restartNumberingAfterBreak="0">
    <w:nsid w:val="3A0B6A9A"/>
    <w:multiLevelType w:val="multilevel"/>
    <w:tmpl w:val="8366618E"/>
    <w:styleLink w:val="MLlistlegliststyle"/>
    <w:lvl w:ilvl="0">
      <w:start w:val="1"/>
      <w:numFmt w:val="bullet"/>
      <w:lvlText w:val=""/>
      <w:lvlJc w:val="left"/>
      <w:pPr>
        <w:ind w:left="709" w:hanging="709"/>
      </w:pPr>
      <w:rPr>
        <w:rFonts w:ascii="Symbol" w:hAnsi="Symbol" w:hint="default"/>
      </w:rPr>
    </w:lvl>
    <w:lvl w:ilvl="1">
      <w:start w:val="1"/>
      <w:numFmt w:val="bullet"/>
      <w:lvlText w:val="○"/>
      <w:lvlJc w:val="left"/>
      <w:pPr>
        <w:ind w:left="1418" w:hanging="709"/>
      </w:pPr>
      <w:rPr>
        <w:rFonts w:ascii="Calibri" w:hAnsi="Calibri" w:hint="default"/>
      </w:rPr>
    </w:lvl>
    <w:lvl w:ilvl="2">
      <w:start w:val="1"/>
      <w:numFmt w:val="bullet"/>
      <w:lvlText w:val=""/>
      <w:lvlJc w:val="left"/>
      <w:pPr>
        <w:ind w:left="2127" w:hanging="709"/>
      </w:pPr>
      <w:rPr>
        <w:rFonts w:ascii="Symbol" w:hAnsi="Symbol" w:hint="default"/>
      </w:rPr>
    </w:lvl>
    <w:lvl w:ilvl="3">
      <w:start w:val="1"/>
      <w:numFmt w:val="bullet"/>
      <w:lvlText w:val="○"/>
      <w:lvlJc w:val="left"/>
      <w:pPr>
        <w:ind w:left="2836" w:hanging="709"/>
      </w:pPr>
      <w:rPr>
        <w:rFonts w:ascii="Calibri" w:hAnsi="Calibri" w:hint="default"/>
      </w:rPr>
    </w:lvl>
    <w:lvl w:ilvl="4">
      <w:start w:val="1"/>
      <w:numFmt w:val="bullet"/>
      <w:lvlText w:val=""/>
      <w:lvlJc w:val="left"/>
      <w:pPr>
        <w:ind w:left="3545" w:hanging="709"/>
      </w:pPr>
      <w:rPr>
        <w:rFonts w:ascii="Symbol" w:hAnsi="Symbol" w:hint="default"/>
      </w:rPr>
    </w:lvl>
    <w:lvl w:ilvl="5">
      <w:start w:val="1"/>
      <w:numFmt w:val="bullet"/>
      <w:lvlText w:val="○"/>
      <w:lvlJc w:val="left"/>
      <w:pPr>
        <w:ind w:left="4254" w:hanging="709"/>
      </w:pPr>
      <w:rPr>
        <w:rFonts w:ascii="Calibri" w:hAnsi="Calibri" w:hint="default"/>
      </w:rPr>
    </w:lvl>
    <w:lvl w:ilvl="6">
      <w:start w:val="1"/>
      <w:numFmt w:val="bullet"/>
      <w:lvlText w:val=""/>
      <w:lvlJc w:val="left"/>
      <w:pPr>
        <w:ind w:left="4963" w:hanging="709"/>
      </w:pPr>
      <w:rPr>
        <w:rFonts w:ascii="Symbol" w:hAnsi="Symbol" w:hint="default"/>
      </w:rPr>
    </w:lvl>
    <w:lvl w:ilvl="7">
      <w:start w:val="1"/>
      <w:numFmt w:val="bullet"/>
      <w:lvlText w:val="○"/>
      <w:lvlJc w:val="left"/>
      <w:pPr>
        <w:ind w:left="5672" w:hanging="709"/>
      </w:pPr>
      <w:rPr>
        <w:rFonts w:ascii="Calibri" w:hAnsi="Calibri" w:hint="default"/>
      </w:rPr>
    </w:lvl>
    <w:lvl w:ilvl="8">
      <w:start w:val="1"/>
      <w:numFmt w:val="bullet"/>
      <w:lvlText w:val=""/>
      <w:lvlJc w:val="left"/>
      <w:pPr>
        <w:ind w:left="6381" w:hanging="709"/>
      </w:pPr>
      <w:rPr>
        <w:rFonts w:ascii="Symbol" w:hAnsi="Symbol" w:hint="default"/>
      </w:rPr>
    </w:lvl>
  </w:abstractNum>
  <w:abstractNum w:abstractNumId="62" w15:restartNumberingAfterBreak="0">
    <w:nsid w:val="3AF050EE"/>
    <w:multiLevelType w:val="hybridMultilevel"/>
    <w:tmpl w:val="5A6428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B3C341F"/>
    <w:multiLevelType w:val="hybridMultilevel"/>
    <w:tmpl w:val="8FFE8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C3A5050"/>
    <w:multiLevelType w:val="hybridMultilevel"/>
    <w:tmpl w:val="B3E6F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D484109"/>
    <w:multiLevelType w:val="hybridMultilevel"/>
    <w:tmpl w:val="583C8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D4C51A0"/>
    <w:multiLevelType w:val="hybridMultilevel"/>
    <w:tmpl w:val="3B64D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D9255C9"/>
    <w:multiLevelType w:val="hybridMultilevel"/>
    <w:tmpl w:val="ABC2A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D9828F5"/>
    <w:multiLevelType w:val="hybridMultilevel"/>
    <w:tmpl w:val="CEB6B7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565C68"/>
    <w:multiLevelType w:val="hybridMultilevel"/>
    <w:tmpl w:val="FCF28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1743D1E"/>
    <w:multiLevelType w:val="hybridMultilevel"/>
    <w:tmpl w:val="E9144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1C97ED3"/>
    <w:multiLevelType w:val="multilevel"/>
    <w:tmpl w:val="13E46A30"/>
    <w:styleLink w:val="MLlistnumliststyle"/>
    <w:lvl w:ilvl="0">
      <w:start w:val="1"/>
      <w:numFmt w:val="none"/>
      <w:lvlText w:val=""/>
      <w:lvlJc w:val="left"/>
      <w:pPr>
        <w:ind w:left="709" w:firstLine="0"/>
      </w:pPr>
      <w:rPr>
        <w:rFonts w:hint="default"/>
      </w:rPr>
    </w:lvl>
    <w:lvl w:ilvl="1">
      <w:start w:val="1"/>
      <w:numFmt w:val="none"/>
      <w:lvlText w:val=""/>
      <w:lvlJc w:val="left"/>
      <w:pPr>
        <w:ind w:left="1418" w:firstLine="0"/>
      </w:pPr>
      <w:rPr>
        <w:rFonts w:hint="default"/>
      </w:rPr>
    </w:lvl>
    <w:lvl w:ilvl="2">
      <w:start w:val="1"/>
      <w:numFmt w:val="none"/>
      <w:lvlText w:val=""/>
      <w:lvlJc w:val="left"/>
      <w:pPr>
        <w:ind w:left="2127" w:firstLine="0"/>
      </w:pPr>
      <w:rPr>
        <w:rFonts w:hint="default"/>
      </w:rPr>
    </w:lvl>
    <w:lvl w:ilvl="3">
      <w:start w:val="1"/>
      <w:numFmt w:val="none"/>
      <w:lvlText w:val=""/>
      <w:lvlJc w:val="left"/>
      <w:pPr>
        <w:ind w:left="2836" w:firstLine="0"/>
      </w:pPr>
      <w:rPr>
        <w:rFonts w:hint="default"/>
      </w:rPr>
    </w:lvl>
    <w:lvl w:ilvl="4">
      <w:start w:val="1"/>
      <w:numFmt w:val="none"/>
      <w:lvlText w:val=""/>
      <w:lvlJc w:val="left"/>
      <w:pPr>
        <w:ind w:left="3545" w:firstLine="0"/>
      </w:pPr>
      <w:rPr>
        <w:rFonts w:hint="default"/>
      </w:rPr>
    </w:lvl>
    <w:lvl w:ilvl="5">
      <w:start w:val="1"/>
      <w:numFmt w:val="none"/>
      <w:lvlText w:val=""/>
      <w:lvlJc w:val="left"/>
      <w:pPr>
        <w:ind w:left="4254" w:firstLine="0"/>
      </w:pPr>
      <w:rPr>
        <w:rFonts w:hint="default"/>
      </w:rPr>
    </w:lvl>
    <w:lvl w:ilvl="6">
      <w:start w:val="1"/>
      <w:numFmt w:val="none"/>
      <w:lvlText w:val=""/>
      <w:lvlJc w:val="left"/>
      <w:pPr>
        <w:ind w:left="4963" w:firstLine="0"/>
      </w:pPr>
      <w:rPr>
        <w:rFonts w:hint="default"/>
      </w:rPr>
    </w:lvl>
    <w:lvl w:ilvl="7">
      <w:start w:val="1"/>
      <w:numFmt w:val="none"/>
      <w:lvlText w:val=""/>
      <w:lvlJc w:val="left"/>
      <w:pPr>
        <w:ind w:left="5672" w:firstLine="0"/>
      </w:pPr>
      <w:rPr>
        <w:rFonts w:hint="default"/>
      </w:rPr>
    </w:lvl>
    <w:lvl w:ilvl="8">
      <w:start w:val="1"/>
      <w:numFmt w:val="none"/>
      <w:lvlText w:val=""/>
      <w:lvlJc w:val="left"/>
      <w:pPr>
        <w:ind w:left="6381" w:firstLine="0"/>
      </w:pPr>
      <w:rPr>
        <w:rFonts w:hint="default"/>
      </w:rPr>
    </w:lvl>
  </w:abstractNum>
  <w:abstractNum w:abstractNumId="72" w15:restartNumberingAfterBreak="0">
    <w:nsid w:val="426A1BB4"/>
    <w:multiLevelType w:val="hybridMultilevel"/>
    <w:tmpl w:val="FFD0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3485FFF"/>
    <w:multiLevelType w:val="hybridMultilevel"/>
    <w:tmpl w:val="EEEC5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7611809"/>
    <w:multiLevelType w:val="hybridMultilevel"/>
    <w:tmpl w:val="80D26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91B558A"/>
    <w:multiLevelType w:val="hybridMultilevel"/>
    <w:tmpl w:val="9104C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95B6604"/>
    <w:multiLevelType w:val="hybridMultilevel"/>
    <w:tmpl w:val="68AC1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BB816E2"/>
    <w:multiLevelType w:val="hybridMultilevel"/>
    <w:tmpl w:val="31921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DFE5CAE"/>
    <w:multiLevelType w:val="hybridMultilevel"/>
    <w:tmpl w:val="8474B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E4B5A55"/>
    <w:multiLevelType w:val="hybridMultilevel"/>
    <w:tmpl w:val="83886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EC82693"/>
    <w:multiLevelType w:val="hybridMultilevel"/>
    <w:tmpl w:val="0AEC4F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ED92C27"/>
    <w:multiLevelType w:val="hybridMultilevel"/>
    <w:tmpl w:val="03C86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EF30D50"/>
    <w:multiLevelType w:val="hybridMultilevel"/>
    <w:tmpl w:val="D05CDB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FBB7441"/>
    <w:multiLevelType w:val="hybridMultilevel"/>
    <w:tmpl w:val="7AA8EF2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5045337C"/>
    <w:multiLevelType w:val="hybridMultilevel"/>
    <w:tmpl w:val="D3DC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1DF0BBA"/>
    <w:multiLevelType w:val="hybridMultilevel"/>
    <w:tmpl w:val="0B90D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20D04DD"/>
    <w:multiLevelType w:val="hybridMultilevel"/>
    <w:tmpl w:val="9118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21374AD"/>
    <w:multiLevelType w:val="hybridMultilevel"/>
    <w:tmpl w:val="C4AA6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43119D5"/>
    <w:multiLevelType w:val="multilevel"/>
    <w:tmpl w:val="192E69BA"/>
    <w:styleLink w:val="StyleOutlinenumberedLeft0cmHanging125cm2"/>
    <w:lvl w:ilvl="0">
      <w:start w:val="1"/>
      <w:numFmt w:val="decimal"/>
      <w:lvlText w:val="%1."/>
      <w:lvlJc w:val="left"/>
      <w:pPr>
        <w:tabs>
          <w:tab w:val="num" w:pos="709"/>
        </w:tabs>
        <w:ind w:left="709" w:hanging="709"/>
      </w:pPr>
      <w:rPr>
        <w:rFonts w:hint="default"/>
        <w:color w:val="auto"/>
      </w:rPr>
    </w:lvl>
    <w:lvl w:ilvl="1">
      <w:start w:val="1"/>
      <w:numFmt w:val="lowerLetter"/>
      <w:isLgl/>
      <w:lvlText w:val="%1.%2."/>
      <w:lvlJc w:val="left"/>
      <w:pPr>
        <w:tabs>
          <w:tab w:val="num" w:pos="1418"/>
        </w:tabs>
        <w:ind w:left="1418" w:hanging="709"/>
      </w:pPr>
      <w:rPr>
        <w:rFonts w:hint="default"/>
      </w:rPr>
    </w:lvl>
    <w:lvl w:ilvl="2">
      <w:start w:val="1"/>
      <w:numFmt w:val="lowerRoman"/>
      <w:isLgl/>
      <w:lvlText w:val="%1.%2.%3."/>
      <w:lvlJc w:val="right"/>
      <w:pPr>
        <w:tabs>
          <w:tab w:val="num" w:pos="2126"/>
        </w:tabs>
        <w:ind w:left="2127" w:hanging="709"/>
      </w:pPr>
      <w:rPr>
        <w:rFonts w:hint="default"/>
      </w:rPr>
    </w:lvl>
    <w:lvl w:ilvl="3">
      <w:start w:val="1"/>
      <w:numFmt w:val="decimal"/>
      <w:isLgl/>
      <w:lvlText w:val="%1.%2.%3.%4."/>
      <w:lvlJc w:val="left"/>
      <w:pPr>
        <w:tabs>
          <w:tab w:val="num" w:pos="2835"/>
        </w:tabs>
        <w:ind w:left="2836" w:hanging="709"/>
      </w:pPr>
      <w:rPr>
        <w:rFonts w:hint="default"/>
      </w:rPr>
    </w:lvl>
    <w:lvl w:ilvl="4">
      <w:start w:val="1"/>
      <w:numFmt w:val="lowerLetter"/>
      <w:isLgl/>
      <w:lvlText w:val="%1.%2.%3.%4.%5."/>
      <w:lvlJc w:val="left"/>
      <w:pPr>
        <w:tabs>
          <w:tab w:val="num" w:pos="3544"/>
        </w:tabs>
        <w:ind w:left="3545" w:hanging="709"/>
      </w:pPr>
      <w:rPr>
        <w:rFonts w:hint="default"/>
      </w:rPr>
    </w:lvl>
    <w:lvl w:ilvl="5">
      <w:start w:val="1"/>
      <w:numFmt w:val="lowerRoman"/>
      <w:isLgl/>
      <w:lvlText w:val="%1.%2.%3.%4.%5.%6."/>
      <w:lvlJc w:val="right"/>
      <w:pPr>
        <w:tabs>
          <w:tab w:val="num" w:pos="4253"/>
        </w:tabs>
        <w:ind w:left="4254" w:hanging="709"/>
      </w:pPr>
      <w:rPr>
        <w:rFonts w:hint="default"/>
      </w:rPr>
    </w:lvl>
    <w:lvl w:ilvl="6">
      <w:start w:val="1"/>
      <w:numFmt w:val="decimal"/>
      <w:isLgl/>
      <w:lvlText w:val="%1.%2.%3.%4.%5.%6.%7."/>
      <w:lvlJc w:val="left"/>
      <w:pPr>
        <w:tabs>
          <w:tab w:val="num" w:pos="4961"/>
        </w:tabs>
        <w:ind w:left="4963" w:hanging="709"/>
      </w:pPr>
      <w:rPr>
        <w:rFonts w:hint="default"/>
      </w:rPr>
    </w:lvl>
    <w:lvl w:ilvl="7">
      <w:start w:val="1"/>
      <w:numFmt w:val="lowerLetter"/>
      <w:isLgl/>
      <w:lvlText w:val="%1.%2.%3.%4.%5.%6.%7.%8."/>
      <w:lvlJc w:val="left"/>
      <w:pPr>
        <w:tabs>
          <w:tab w:val="num" w:pos="5670"/>
        </w:tabs>
        <w:ind w:left="5672" w:hanging="709"/>
      </w:pPr>
      <w:rPr>
        <w:rFonts w:hint="default"/>
      </w:rPr>
    </w:lvl>
    <w:lvl w:ilvl="8">
      <w:start w:val="1"/>
      <w:numFmt w:val="lowerRoman"/>
      <w:isLgl/>
      <w:lvlText w:val="%1.%2.%3.%4.%5.%6.%7.%8.%9."/>
      <w:lvlJc w:val="right"/>
      <w:pPr>
        <w:tabs>
          <w:tab w:val="num" w:pos="6379"/>
        </w:tabs>
        <w:ind w:left="6381" w:hanging="709"/>
      </w:pPr>
      <w:rPr>
        <w:rFonts w:hint="default"/>
      </w:rPr>
    </w:lvl>
  </w:abstractNum>
  <w:abstractNum w:abstractNumId="89" w15:restartNumberingAfterBreak="0">
    <w:nsid w:val="54492BBD"/>
    <w:multiLevelType w:val="hybridMultilevel"/>
    <w:tmpl w:val="54D4AF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45F7DFF"/>
    <w:multiLevelType w:val="hybridMultilevel"/>
    <w:tmpl w:val="FF668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5CF28E0"/>
    <w:multiLevelType w:val="hybridMultilevel"/>
    <w:tmpl w:val="BD342DDA"/>
    <w:styleLink w:val="MLheadinglistnumliststyl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93" w15:restartNumberingAfterBreak="0">
    <w:nsid w:val="584D4FD8"/>
    <w:multiLevelType w:val="hybridMultilevel"/>
    <w:tmpl w:val="A626A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9C82555"/>
    <w:multiLevelType w:val="multilevel"/>
    <w:tmpl w:val="F11A249C"/>
    <w:lvl w:ilvl="0">
      <w:start w:val="1"/>
      <w:numFmt w:val="bullet"/>
      <w:pStyle w:val="BulletListLevel1"/>
      <w:lvlText w:val=""/>
      <w:lvlJc w:val="left"/>
      <w:pPr>
        <w:ind w:left="454" w:hanging="284"/>
      </w:pPr>
      <w:rPr>
        <w:rFonts w:ascii="Wingdings" w:hAnsi="Wingdings" w:hint="default"/>
      </w:rPr>
    </w:lvl>
    <w:lvl w:ilvl="1">
      <w:start w:val="1"/>
      <w:numFmt w:val="decimal"/>
      <w:lvlText w:val="%1.%2."/>
      <w:lvlJc w:val="left"/>
      <w:pPr>
        <w:ind w:left="624" w:hanging="283"/>
      </w:pPr>
      <w:rPr>
        <w:rFonts w:hint="default"/>
      </w:rPr>
    </w:lvl>
    <w:lvl w:ilvl="2">
      <w:start w:val="1"/>
      <w:numFmt w:val="decimal"/>
      <w:lvlText w:val="%1.%2.%3."/>
      <w:lvlJc w:val="left"/>
      <w:pPr>
        <w:ind w:left="681" w:hanging="283"/>
      </w:pPr>
      <w:rPr>
        <w:rFonts w:hint="default"/>
      </w:rPr>
    </w:lvl>
    <w:lvl w:ilvl="3">
      <w:start w:val="1"/>
      <w:numFmt w:val="decimal"/>
      <w:lvlText w:val="%1.%2.%3.%4."/>
      <w:lvlJc w:val="left"/>
      <w:pPr>
        <w:ind w:left="738" w:hanging="283"/>
      </w:pPr>
      <w:rPr>
        <w:rFonts w:hint="default"/>
      </w:rPr>
    </w:lvl>
    <w:lvl w:ilvl="4">
      <w:start w:val="1"/>
      <w:numFmt w:val="decimal"/>
      <w:lvlText w:val="%1.%2.%3.%4.%5."/>
      <w:lvlJc w:val="left"/>
      <w:pPr>
        <w:ind w:left="795" w:hanging="283"/>
      </w:pPr>
      <w:rPr>
        <w:rFonts w:hint="default"/>
      </w:rPr>
    </w:lvl>
    <w:lvl w:ilvl="5">
      <w:start w:val="1"/>
      <w:numFmt w:val="decimal"/>
      <w:lvlText w:val="%1.%2.%3.%4.%5.%6."/>
      <w:lvlJc w:val="left"/>
      <w:pPr>
        <w:ind w:left="852" w:hanging="283"/>
      </w:pPr>
      <w:rPr>
        <w:rFonts w:hint="default"/>
      </w:rPr>
    </w:lvl>
    <w:lvl w:ilvl="6">
      <w:start w:val="1"/>
      <w:numFmt w:val="decimal"/>
      <w:lvlText w:val="%1.%2.%3.%4.%5.%6.%7."/>
      <w:lvlJc w:val="left"/>
      <w:pPr>
        <w:ind w:left="909" w:hanging="283"/>
      </w:pPr>
      <w:rPr>
        <w:rFonts w:hint="default"/>
      </w:rPr>
    </w:lvl>
    <w:lvl w:ilvl="7">
      <w:start w:val="1"/>
      <w:numFmt w:val="decimal"/>
      <w:lvlText w:val="%1.%2.%3.%4.%5.%6.%7.%8."/>
      <w:lvlJc w:val="left"/>
      <w:pPr>
        <w:ind w:left="966" w:hanging="283"/>
      </w:pPr>
      <w:rPr>
        <w:rFonts w:hint="default"/>
      </w:rPr>
    </w:lvl>
    <w:lvl w:ilvl="8">
      <w:start w:val="1"/>
      <w:numFmt w:val="decimal"/>
      <w:lvlText w:val="%1.%2.%3.%4.%5.%6.%7.%8.%9."/>
      <w:lvlJc w:val="left"/>
      <w:pPr>
        <w:ind w:left="1023" w:hanging="283"/>
      </w:pPr>
      <w:rPr>
        <w:rFonts w:hint="default"/>
      </w:rPr>
    </w:lvl>
  </w:abstractNum>
  <w:abstractNum w:abstractNumId="95" w15:restartNumberingAfterBreak="0">
    <w:nsid w:val="59CE0586"/>
    <w:multiLevelType w:val="hybridMultilevel"/>
    <w:tmpl w:val="13DC5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B773303"/>
    <w:multiLevelType w:val="hybridMultilevel"/>
    <w:tmpl w:val="9D7C1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BA81744"/>
    <w:multiLevelType w:val="hybridMultilevel"/>
    <w:tmpl w:val="796464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C4755AF"/>
    <w:multiLevelType w:val="multilevel"/>
    <w:tmpl w:val="854AEC32"/>
    <w:styleLink w:val="StyleOutlinenumberedLeft0cmHanging125cm"/>
    <w:lvl w:ilvl="0">
      <w:start w:val="1"/>
      <w:numFmt w:val="decimal"/>
      <w:lvlText w:val="%1."/>
      <w:lvlJc w:val="left"/>
      <w:pPr>
        <w:tabs>
          <w:tab w:val="num" w:pos="709"/>
        </w:tabs>
        <w:ind w:left="709" w:hanging="709"/>
      </w:pPr>
      <w:rPr>
        <w:rFonts w:hint="default"/>
        <w:color w:val="auto"/>
      </w:rPr>
    </w:lvl>
    <w:lvl w:ilvl="1">
      <w:start w:val="1"/>
      <w:numFmt w:val="lowerLetter"/>
      <w:lvlText w:val="%2."/>
      <w:lvlJc w:val="left"/>
      <w:pPr>
        <w:tabs>
          <w:tab w:val="num" w:pos="1418"/>
        </w:tabs>
        <w:ind w:left="1418" w:hanging="709"/>
      </w:pPr>
      <w:rPr>
        <w:rFonts w:hint="default"/>
      </w:rPr>
    </w:lvl>
    <w:lvl w:ilvl="2">
      <w:start w:val="1"/>
      <w:numFmt w:val="lowerRoman"/>
      <w:lvlText w:val="%3."/>
      <w:lvlJc w:val="right"/>
      <w:pPr>
        <w:tabs>
          <w:tab w:val="num" w:pos="2126"/>
        </w:tabs>
        <w:ind w:left="2127" w:hanging="709"/>
      </w:pPr>
      <w:rPr>
        <w:rFonts w:hint="default"/>
      </w:rPr>
    </w:lvl>
    <w:lvl w:ilvl="3">
      <w:start w:val="1"/>
      <w:numFmt w:val="decimal"/>
      <w:lvlText w:val="%4."/>
      <w:lvlJc w:val="left"/>
      <w:pPr>
        <w:tabs>
          <w:tab w:val="num" w:pos="2835"/>
        </w:tabs>
        <w:ind w:left="2836" w:hanging="709"/>
      </w:pPr>
      <w:rPr>
        <w:rFonts w:hint="default"/>
      </w:rPr>
    </w:lvl>
    <w:lvl w:ilvl="4">
      <w:start w:val="1"/>
      <w:numFmt w:val="lowerLetter"/>
      <w:lvlText w:val="%5."/>
      <w:lvlJc w:val="left"/>
      <w:pPr>
        <w:tabs>
          <w:tab w:val="num" w:pos="3544"/>
        </w:tabs>
        <w:ind w:left="3545" w:hanging="709"/>
      </w:pPr>
      <w:rPr>
        <w:rFonts w:hint="default"/>
      </w:rPr>
    </w:lvl>
    <w:lvl w:ilvl="5">
      <w:start w:val="1"/>
      <w:numFmt w:val="lowerRoman"/>
      <w:lvlText w:val="%6."/>
      <w:lvlJc w:val="right"/>
      <w:pPr>
        <w:tabs>
          <w:tab w:val="num" w:pos="4253"/>
        </w:tabs>
        <w:ind w:left="4254" w:hanging="709"/>
      </w:pPr>
      <w:rPr>
        <w:rFonts w:hint="default"/>
      </w:rPr>
    </w:lvl>
    <w:lvl w:ilvl="6">
      <w:start w:val="1"/>
      <w:numFmt w:val="decimal"/>
      <w:lvlText w:val="%7."/>
      <w:lvlJc w:val="left"/>
      <w:pPr>
        <w:tabs>
          <w:tab w:val="num" w:pos="4961"/>
        </w:tabs>
        <w:ind w:left="4963" w:hanging="709"/>
      </w:pPr>
      <w:rPr>
        <w:rFonts w:hint="default"/>
      </w:rPr>
    </w:lvl>
    <w:lvl w:ilvl="7">
      <w:start w:val="1"/>
      <w:numFmt w:val="lowerLetter"/>
      <w:lvlText w:val="%8."/>
      <w:lvlJc w:val="left"/>
      <w:pPr>
        <w:tabs>
          <w:tab w:val="num" w:pos="5670"/>
        </w:tabs>
        <w:ind w:left="5672" w:hanging="709"/>
      </w:pPr>
      <w:rPr>
        <w:rFonts w:hint="default"/>
      </w:rPr>
    </w:lvl>
    <w:lvl w:ilvl="8">
      <w:start w:val="1"/>
      <w:numFmt w:val="lowerRoman"/>
      <w:lvlText w:val="%9."/>
      <w:lvlJc w:val="right"/>
      <w:pPr>
        <w:tabs>
          <w:tab w:val="num" w:pos="6379"/>
        </w:tabs>
        <w:ind w:left="6381" w:hanging="709"/>
      </w:pPr>
      <w:rPr>
        <w:rFonts w:hint="default"/>
      </w:rPr>
    </w:lvl>
  </w:abstractNum>
  <w:abstractNum w:abstractNumId="99" w15:restartNumberingAfterBreak="0">
    <w:nsid w:val="5C8D5274"/>
    <w:multiLevelType w:val="hybridMultilevel"/>
    <w:tmpl w:val="D1566C2E"/>
    <w:lvl w:ilvl="0" w:tplc="AC1EAB58">
      <w:start w:val="1"/>
      <w:numFmt w:val="bullet"/>
      <w:lvlText w:val="o"/>
      <w:lvlJc w:val="left"/>
      <w:pPr>
        <w:ind w:left="720" w:hanging="360"/>
      </w:pPr>
      <w:rPr>
        <w:rFonts w:ascii="Courier New" w:hAnsi="Courier New" w:cs="Courier New"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D4D17FF"/>
    <w:multiLevelType w:val="hybridMultilevel"/>
    <w:tmpl w:val="6E46F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F0A50F5"/>
    <w:multiLevelType w:val="hybridMultilevel"/>
    <w:tmpl w:val="0252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0585A92"/>
    <w:multiLevelType w:val="hybridMultilevel"/>
    <w:tmpl w:val="956E1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07B1CD3"/>
    <w:multiLevelType w:val="hybridMultilevel"/>
    <w:tmpl w:val="D8BC3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1DB6933"/>
    <w:multiLevelType w:val="hybridMultilevel"/>
    <w:tmpl w:val="3A1A5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3EE60FB"/>
    <w:multiLevelType w:val="hybridMultilevel"/>
    <w:tmpl w:val="9FB09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4042BAA"/>
    <w:multiLevelType w:val="hybridMultilevel"/>
    <w:tmpl w:val="1536F80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643A4AFD"/>
    <w:multiLevelType w:val="multilevel"/>
    <w:tmpl w:val="C4384C10"/>
    <w:styleLink w:val="StyleOutlinenumberedLeft0cmHanging125cm1"/>
    <w:lvl w:ilvl="0">
      <w:start w:val="1"/>
      <w:numFmt w:val="decimal"/>
      <w:lvlText w:val="%1."/>
      <w:lvlJc w:val="left"/>
      <w:pPr>
        <w:tabs>
          <w:tab w:val="num" w:pos="709"/>
        </w:tabs>
        <w:ind w:left="709" w:hanging="709"/>
      </w:pPr>
      <w:rPr>
        <w:rFonts w:hint="default"/>
        <w:color w:val="auto"/>
      </w:rPr>
    </w:lvl>
    <w:lvl w:ilvl="1">
      <w:start w:val="1"/>
      <w:numFmt w:val="lowerLetter"/>
      <w:isLgl/>
      <w:lvlText w:val="%2."/>
      <w:lvlJc w:val="left"/>
      <w:pPr>
        <w:tabs>
          <w:tab w:val="num" w:pos="1418"/>
        </w:tabs>
        <w:ind w:left="1418" w:hanging="709"/>
      </w:pPr>
      <w:rPr>
        <w:rFonts w:hint="default"/>
      </w:rPr>
    </w:lvl>
    <w:lvl w:ilvl="2">
      <w:start w:val="1"/>
      <w:numFmt w:val="lowerRoman"/>
      <w:isLgl/>
      <w:lvlText w:val="%3."/>
      <w:lvlJc w:val="right"/>
      <w:pPr>
        <w:tabs>
          <w:tab w:val="num" w:pos="2126"/>
        </w:tabs>
        <w:ind w:left="2127" w:hanging="709"/>
      </w:pPr>
      <w:rPr>
        <w:rFonts w:hint="default"/>
      </w:rPr>
    </w:lvl>
    <w:lvl w:ilvl="3">
      <w:start w:val="1"/>
      <w:numFmt w:val="decimal"/>
      <w:isLgl/>
      <w:lvlText w:val="%4."/>
      <w:lvlJc w:val="left"/>
      <w:pPr>
        <w:tabs>
          <w:tab w:val="num" w:pos="2835"/>
        </w:tabs>
        <w:ind w:left="2836" w:hanging="709"/>
      </w:pPr>
      <w:rPr>
        <w:rFonts w:hint="default"/>
      </w:rPr>
    </w:lvl>
    <w:lvl w:ilvl="4">
      <w:start w:val="1"/>
      <w:numFmt w:val="lowerLetter"/>
      <w:isLgl/>
      <w:lvlText w:val="%5."/>
      <w:lvlJc w:val="left"/>
      <w:pPr>
        <w:tabs>
          <w:tab w:val="num" w:pos="3544"/>
        </w:tabs>
        <w:ind w:left="3545" w:hanging="709"/>
      </w:pPr>
      <w:rPr>
        <w:rFonts w:hint="default"/>
      </w:rPr>
    </w:lvl>
    <w:lvl w:ilvl="5">
      <w:start w:val="1"/>
      <w:numFmt w:val="lowerRoman"/>
      <w:isLgl/>
      <w:lvlText w:val="%6."/>
      <w:lvlJc w:val="right"/>
      <w:pPr>
        <w:tabs>
          <w:tab w:val="num" w:pos="4253"/>
        </w:tabs>
        <w:ind w:left="4254" w:hanging="709"/>
      </w:pPr>
      <w:rPr>
        <w:rFonts w:hint="default"/>
      </w:rPr>
    </w:lvl>
    <w:lvl w:ilvl="6">
      <w:start w:val="1"/>
      <w:numFmt w:val="decimal"/>
      <w:isLgl/>
      <w:lvlText w:val="%7."/>
      <w:lvlJc w:val="left"/>
      <w:pPr>
        <w:tabs>
          <w:tab w:val="num" w:pos="4961"/>
        </w:tabs>
        <w:ind w:left="4963" w:hanging="709"/>
      </w:pPr>
      <w:rPr>
        <w:rFonts w:hint="default"/>
      </w:rPr>
    </w:lvl>
    <w:lvl w:ilvl="7">
      <w:start w:val="1"/>
      <w:numFmt w:val="lowerLetter"/>
      <w:isLgl/>
      <w:lvlText w:val="%8."/>
      <w:lvlJc w:val="left"/>
      <w:pPr>
        <w:tabs>
          <w:tab w:val="num" w:pos="5670"/>
        </w:tabs>
        <w:ind w:left="5672" w:hanging="709"/>
      </w:pPr>
      <w:rPr>
        <w:rFonts w:hint="default"/>
      </w:rPr>
    </w:lvl>
    <w:lvl w:ilvl="8">
      <w:start w:val="1"/>
      <w:numFmt w:val="lowerRoman"/>
      <w:isLgl/>
      <w:lvlText w:val="%9."/>
      <w:lvlJc w:val="right"/>
      <w:pPr>
        <w:tabs>
          <w:tab w:val="num" w:pos="6379"/>
        </w:tabs>
        <w:ind w:left="6381" w:hanging="709"/>
      </w:pPr>
      <w:rPr>
        <w:rFonts w:hint="default"/>
      </w:rPr>
    </w:lvl>
  </w:abstractNum>
  <w:abstractNum w:abstractNumId="109" w15:restartNumberingAfterBreak="0">
    <w:nsid w:val="65071525"/>
    <w:multiLevelType w:val="hybridMultilevel"/>
    <w:tmpl w:val="9C20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5A40C85"/>
    <w:multiLevelType w:val="hybridMultilevel"/>
    <w:tmpl w:val="1136A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5D0374A"/>
    <w:multiLevelType w:val="multilevel"/>
    <w:tmpl w:val="5888EDB2"/>
    <w:styleLink w:val="111111"/>
    <w:lvl w:ilvl="0">
      <w:start w:val="1"/>
      <w:numFmt w:val="decimal"/>
      <w:lvlText w:val="%1."/>
      <w:lvlJc w:val="left"/>
      <w:pPr>
        <w:ind w:left="709" w:hanging="709"/>
      </w:pPr>
      <w:rPr>
        <w:rFonts w:hint="default"/>
      </w:rPr>
    </w:lvl>
    <w:lvl w:ilvl="1">
      <w:start w:val="1"/>
      <w:numFmt w:val="lowerLetter"/>
      <w:isLgl/>
      <w:lvlText w:val="%1.%2."/>
      <w:lvlJc w:val="left"/>
      <w:pPr>
        <w:ind w:left="1418" w:hanging="709"/>
      </w:pPr>
      <w:rPr>
        <w:rFonts w:hint="default"/>
      </w:rPr>
    </w:lvl>
    <w:lvl w:ilvl="2">
      <w:start w:val="1"/>
      <w:numFmt w:val="lowerRoman"/>
      <w:isLgl/>
      <w:lvlText w:val="%1.%2.%3."/>
      <w:lvlJc w:val="left"/>
      <w:pPr>
        <w:ind w:left="2127" w:hanging="709"/>
      </w:pPr>
      <w:rPr>
        <w:rFonts w:hint="default"/>
      </w:rPr>
    </w:lvl>
    <w:lvl w:ilvl="3">
      <w:start w:val="1"/>
      <w:numFmt w:val="decimal"/>
      <w:isLgl/>
      <w:lvlText w:val="%1.%2.%3.%4."/>
      <w:lvlJc w:val="left"/>
      <w:pPr>
        <w:ind w:left="2836" w:hanging="709"/>
      </w:pPr>
      <w:rPr>
        <w:rFonts w:hint="default"/>
      </w:rPr>
    </w:lvl>
    <w:lvl w:ilvl="4">
      <w:start w:val="1"/>
      <w:numFmt w:val="lowerLetter"/>
      <w:isLgl/>
      <w:lvlText w:val="%1.%2.%3.%4.%5."/>
      <w:lvlJc w:val="left"/>
      <w:pPr>
        <w:ind w:left="3545" w:hanging="709"/>
      </w:pPr>
      <w:rPr>
        <w:rFonts w:hint="default"/>
      </w:rPr>
    </w:lvl>
    <w:lvl w:ilvl="5">
      <w:start w:val="1"/>
      <w:numFmt w:val="lowerRoman"/>
      <w:isLgl/>
      <w:lvlText w:val="%1.%2.%3.%4.%5.%6."/>
      <w:lvlJc w:val="left"/>
      <w:pPr>
        <w:ind w:left="4254" w:hanging="709"/>
      </w:pPr>
      <w:rPr>
        <w:rFonts w:hint="default"/>
      </w:rPr>
    </w:lvl>
    <w:lvl w:ilvl="6">
      <w:start w:val="1"/>
      <w:numFmt w:val="decimal"/>
      <w:isLgl/>
      <w:lvlText w:val="%1.%2.%3.%4.%5.%6.%7."/>
      <w:lvlJc w:val="left"/>
      <w:pPr>
        <w:ind w:left="4963" w:hanging="709"/>
      </w:pPr>
      <w:rPr>
        <w:rFonts w:hint="default"/>
      </w:rPr>
    </w:lvl>
    <w:lvl w:ilvl="7">
      <w:start w:val="1"/>
      <w:numFmt w:val="lowerLetter"/>
      <w:isLgl/>
      <w:lvlText w:val="%1.%2.%3.%4.%5.%6.%8."/>
      <w:lvlJc w:val="left"/>
      <w:pPr>
        <w:ind w:left="5672" w:hanging="709"/>
      </w:pPr>
      <w:rPr>
        <w:rFonts w:hint="default"/>
      </w:rPr>
    </w:lvl>
    <w:lvl w:ilvl="8">
      <w:start w:val="1"/>
      <w:numFmt w:val="lowerRoman"/>
      <w:isLgl/>
      <w:lvlText w:val="%1.%2.%3.%4.%5.%6.%9."/>
      <w:lvlJc w:val="left"/>
      <w:pPr>
        <w:ind w:left="6381" w:hanging="709"/>
      </w:pPr>
      <w:rPr>
        <w:rFonts w:hint="default"/>
      </w:rPr>
    </w:lvl>
  </w:abstractNum>
  <w:abstractNum w:abstractNumId="112" w15:restartNumberingAfterBreak="0">
    <w:nsid w:val="66452ED7"/>
    <w:multiLevelType w:val="hybridMultilevel"/>
    <w:tmpl w:val="72BC0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64A6CE8"/>
    <w:multiLevelType w:val="hybridMultilevel"/>
    <w:tmpl w:val="99DE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8566EDC"/>
    <w:multiLevelType w:val="multilevel"/>
    <w:tmpl w:val="9518469E"/>
    <w:styleLink w:val="MLlistbulliststyle"/>
    <w:lvl w:ilvl="0">
      <w:start w:val="1"/>
      <w:numFmt w:val="lowerLetter"/>
      <w:lvlText w:val="(%1)"/>
      <w:lvlJc w:val="left"/>
      <w:pPr>
        <w:ind w:left="709" w:hanging="709"/>
      </w:pPr>
      <w:rPr>
        <w:rFonts w:hint="default"/>
      </w:rPr>
    </w:lvl>
    <w:lvl w:ilvl="1">
      <w:start w:val="1"/>
      <w:numFmt w:val="lowerRoman"/>
      <w:lvlText w:val="(%2)"/>
      <w:lvlJc w:val="left"/>
      <w:pPr>
        <w:ind w:left="1418" w:hanging="709"/>
      </w:pPr>
      <w:rPr>
        <w:rFonts w:hint="default"/>
      </w:rPr>
    </w:lvl>
    <w:lvl w:ilvl="2">
      <w:start w:val="1"/>
      <w:numFmt w:val="lowerLetter"/>
      <w:lvlText w:val="(%3)"/>
      <w:lvlJc w:val="left"/>
      <w:pPr>
        <w:ind w:left="2127" w:hanging="709"/>
      </w:pPr>
      <w:rPr>
        <w:rFonts w:hint="default"/>
      </w:rPr>
    </w:lvl>
    <w:lvl w:ilvl="3">
      <w:start w:val="1"/>
      <w:numFmt w:val="lowerRoman"/>
      <w:lvlText w:val="(%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left"/>
      <w:pPr>
        <w:ind w:left="4254" w:hanging="709"/>
      </w:pPr>
      <w:rPr>
        <w:rFonts w:hint="default"/>
      </w:rPr>
    </w:lvl>
    <w:lvl w:ilvl="6">
      <w:start w:val="1"/>
      <w:numFmt w:val="lowerLetter"/>
      <w:lvlText w:val="(%7)"/>
      <w:lvlJc w:val="left"/>
      <w:pPr>
        <w:ind w:left="4963" w:hanging="709"/>
      </w:pPr>
      <w:rPr>
        <w:rFonts w:hint="default"/>
      </w:rPr>
    </w:lvl>
    <w:lvl w:ilvl="7">
      <w:start w:val="1"/>
      <w:numFmt w:val="lowerRoman"/>
      <w:lvlText w:val="(%8)"/>
      <w:lvlJc w:val="left"/>
      <w:pPr>
        <w:ind w:left="5672" w:hanging="709"/>
      </w:pPr>
      <w:rPr>
        <w:rFonts w:hint="default"/>
      </w:rPr>
    </w:lvl>
    <w:lvl w:ilvl="8">
      <w:start w:val="1"/>
      <w:numFmt w:val="lowerLetter"/>
      <w:lvlText w:val="(%9)"/>
      <w:lvlJc w:val="left"/>
      <w:pPr>
        <w:ind w:left="6381" w:hanging="709"/>
      </w:pPr>
      <w:rPr>
        <w:rFonts w:hint="default"/>
      </w:rPr>
    </w:lvl>
  </w:abstractNum>
  <w:abstractNum w:abstractNumId="115" w15:restartNumberingAfterBreak="0">
    <w:nsid w:val="69175237"/>
    <w:multiLevelType w:val="hybridMultilevel"/>
    <w:tmpl w:val="7DF46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96C2A56"/>
    <w:multiLevelType w:val="hybridMultilevel"/>
    <w:tmpl w:val="65D64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AC3161D"/>
    <w:multiLevelType w:val="hybridMultilevel"/>
    <w:tmpl w:val="2DFA5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B11486E"/>
    <w:multiLevelType w:val="hybridMultilevel"/>
    <w:tmpl w:val="D4B25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B5D1424"/>
    <w:multiLevelType w:val="hybridMultilevel"/>
    <w:tmpl w:val="AA96B0D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0" w15:restartNumberingAfterBreak="0">
    <w:nsid w:val="6BC65316"/>
    <w:multiLevelType w:val="hybridMultilevel"/>
    <w:tmpl w:val="571C2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CAA010C"/>
    <w:multiLevelType w:val="hybridMultilevel"/>
    <w:tmpl w:val="2C588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CBF2139"/>
    <w:multiLevelType w:val="hybridMultilevel"/>
    <w:tmpl w:val="8E968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DB4648A"/>
    <w:multiLevelType w:val="multilevel"/>
    <w:tmpl w:val="1D4EADFC"/>
    <w:styleLink w:val="1ai"/>
    <w:lvl w:ilvl="0">
      <w:start w:val="1"/>
      <w:numFmt w:val="decimal"/>
      <w:lvlText w:val="%1."/>
      <w:lvlJc w:val="left"/>
      <w:pPr>
        <w:ind w:left="709" w:hanging="709"/>
      </w:pPr>
      <w:rPr>
        <w:rFonts w:hint="default"/>
      </w:rPr>
    </w:lvl>
    <w:lvl w:ilvl="1">
      <w:start w:val="1"/>
      <w:numFmt w:val="decimal"/>
      <w:lvlText w:val="%1.%2."/>
      <w:lvlJc w:val="left"/>
      <w:pPr>
        <w:ind w:left="1418" w:hanging="709"/>
      </w:pPr>
      <w:rPr>
        <w:rFonts w:hint="default"/>
      </w:rPr>
    </w:lvl>
    <w:lvl w:ilvl="2">
      <w:start w:val="1"/>
      <w:numFmt w:val="decimal"/>
      <w:lvlText w:val="%1.%2.%3."/>
      <w:lvlJc w:val="left"/>
      <w:pPr>
        <w:ind w:left="2127" w:hanging="709"/>
      </w:pPr>
      <w:rPr>
        <w:rFonts w:hint="default"/>
      </w:rPr>
    </w:lvl>
    <w:lvl w:ilvl="3">
      <w:start w:val="1"/>
      <w:numFmt w:val="decimal"/>
      <w:lvlText w:val="%1.%2.%3.%4."/>
      <w:lvlJc w:val="left"/>
      <w:pPr>
        <w:ind w:left="2836" w:hanging="709"/>
      </w:pPr>
      <w:rPr>
        <w:rFonts w:hint="default"/>
      </w:rPr>
    </w:lvl>
    <w:lvl w:ilvl="4">
      <w:start w:val="1"/>
      <w:numFmt w:val="decimal"/>
      <w:lvlText w:val="%1.%2.%3.%4.%5."/>
      <w:lvlJc w:val="left"/>
      <w:pPr>
        <w:ind w:left="3545" w:hanging="709"/>
      </w:pPr>
      <w:rPr>
        <w:rFonts w:hint="default"/>
      </w:rPr>
    </w:lvl>
    <w:lvl w:ilvl="5">
      <w:start w:val="1"/>
      <w:numFmt w:val="decimal"/>
      <w:lvlText w:val="%1.%2.%3.%4.%5.%6."/>
      <w:lvlJc w:val="left"/>
      <w:pPr>
        <w:ind w:left="4254" w:hanging="709"/>
      </w:pPr>
      <w:rPr>
        <w:rFonts w:hint="default"/>
      </w:rPr>
    </w:lvl>
    <w:lvl w:ilvl="6">
      <w:start w:val="1"/>
      <w:numFmt w:val="decimal"/>
      <w:lvlText w:val="%1.%2.%3.%4.%5.%6.%7."/>
      <w:lvlJc w:val="left"/>
      <w:pPr>
        <w:ind w:left="4963" w:hanging="709"/>
      </w:pPr>
      <w:rPr>
        <w:rFonts w:hint="default"/>
      </w:rPr>
    </w:lvl>
    <w:lvl w:ilvl="7">
      <w:start w:val="1"/>
      <w:numFmt w:val="decimal"/>
      <w:lvlText w:val="%1.%2.%3.%4.%5.%6.%7.%8."/>
      <w:lvlJc w:val="left"/>
      <w:pPr>
        <w:ind w:left="5672" w:hanging="709"/>
      </w:pPr>
      <w:rPr>
        <w:rFonts w:hint="default"/>
      </w:rPr>
    </w:lvl>
    <w:lvl w:ilvl="8">
      <w:start w:val="1"/>
      <w:numFmt w:val="decimal"/>
      <w:lvlText w:val="%1.%2.%3.%4.%5.%6.%7.%8.%9."/>
      <w:lvlJc w:val="left"/>
      <w:pPr>
        <w:ind w:left="6381" w:hanging="709"/>
      </w:pPr>
      <w:rPr>
        <w:rFonts w:hint="default"/>
      </w:rPr>
    </w:lvl>
  </w:abstractNum>
  <w:abstractNum w:abstractNumId="124" w15:restartNumberingAfterBreak="0">
    <w:nsid w:val="6DE706F5"/>
    <w:multiLevelType w:val="multilevel"/>
    <w:tmpl w:val="E2C400E4"/>
    <w:styleLink w:val="StyleNumberedLeft063cmHanging063cm2"/>
    <w:lvl w:ilvl="0">
      <w:start w:val="1"/>
      <w:numFmt w:val="decimal"/>
      <w:lvlText w:val="%1."/>
      <w:lvlJc w:val="left"/>
      <w:pPr>
        <w:ind w:left="709" w:hanging="709"/>
      </w:pPr>
      <w:rPr>
        <w:rFonts w:hint="default"/>
        <w:color w:val="auto"/>
      </w:rPr>
    </w:lvl>
    <w:lvl w:ilvl="1">
      <w:start w:val="1"/>
      <w:numFmt w:val="lowerLetter"/>
      <w:lvlText w:val="%2."/>
      <w:lvlJc w:val="left"/>
      <w:pPr>
        <w:ind w:left="1418" w:hanging="709"/>
      </w:pPr>
      <w:rPr>
        <w:rFonts w:hint="default"/>
      </w:rPr>
    </w:lvl>
    <w:lvl w:ilvl="2">
      <w:start w:val="1"/>
      <w:numFmt w:val="lowerRoman"/>
      <w:lvlText w:val="%3."/>
      <w:lvlJc w:val="right"/>
      <w:pPr>
        <w:ind w:left="2127" w:hanging="709"/>
      </w:pPr>
      <w:rPr>
        <w:rFonts w:hint="default"/>
      </w:rPr>
    </w:lvl>
    <w:lvl w:ilvl="3">
      <w:start w:val="1"/>
      <w:numFmt w:val="decimal"/>
      <w:lvlText w:val="%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righ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right"/>
      <w:pPr>
        <w:ind w:left="6381" w:hanging="709"/>
      </w:pPr>
      <w:rPr>
        <w:rFonts w:hint="default"/>
      </w:rPr>
    </w:lvl>
  </w:abstractNum>
  <w:abstractNum w:abstractNumId="12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6" w15:restartNumberingAfterBreak="0">
    <w:nsid w:val="6F54488C"/>
    <w:multiLevelType w:val="hybridMultilevel"/>
    <w:tmpl w:val="D752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0E83E9F"/>
    <w:multiLevelType w:val="hybridMultilevel"/>
    <w:tmpl w:val="1ADE0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1115CA2"/>
    <w:multiLevelType w:val="hybridMultilevel"/>
    <w:tmpl w:val="14A8D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13D6F4B"/>
    <w:multiLevelType w:val="hybridMultilevel"/>
    <w:tmpl w:val="B7828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1407035"/>
    <w:multiLevelType w:val="hybridMultilevel"/>
    <w:tmpl w:val="CB40DC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2101654"/>
    <w:multiLevelType w:val="hybridMultilevel"/>
    <w:tmpl w:val="80385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22B1A78"/>
    <w:multiLevelType w:val="hybridMultilevel"/>
    <w:tmpl w:val="69E04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2DB1D1F"/>
    <w:multiLevelType w:val="hybridMultilevel"/>
    <w:tmpl w:val="E97A6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38D2700"/>
    <w:multiLevelType w:val="hybridMultilevel"/>
    <w:tmpl w:val="C52CD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3BA0229"/>
    <w:multiLevelType w:val="hybridMultilevel"/>
    <w:tmpl w:val="1000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41348E1"/>
    <w:multiLevelType w:val="hybridMultilevel"/>
    <w:tmpl w:val="688AC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5384629"/>
    <w:multiLevelType w:val="hybridMultilevel"/>
    <w:tmpl w:val="B688F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57B520B"/>
    <w:multiLevelType w:val="hybridMultilevel"/>
    <w:tmpl w:val="7B8E7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763F2E63"/>
    <w:multiLevelType w:val="hybridMultilevel"/>
    <w:tmpl w:val="7752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83F48E8"/>
    <w:multiLevelType w:val="multilevel"/>
    <w:tmpl w:val="2AE26F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pStyle w:val="BulletListLevel3"/>
      <w:lvlText w:val="o"/>
      <w:lvlJc w:val="left"/>
      <w:pPr>
        <w:ind w:left="1021" w:hanging="284"/>
      </w:pPr>
      <w:rPr>
        <w:rFonts w:ascii="Courier New" w:hAnsi="Courier New" w:hint="default"/>
        <w:spacing w:val="-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9325446"/>
    <w:multiLevelType w:val="hybridMultilevel"/>
    <w:tmpl w:val="A25AF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A334E79"/>
    <w:multiLevelType w:val="hybridMultilevel"/>
    <w:tmpl w:val="7CC28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D8E7435"/>
    <w:multiLevelType w:val="hybridMultilevel"/>
    <w:tmpl w:val="F4145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E2232CC"/>
    <w:multiLevelType w:val="hybridMultilevel"/>
    <w:tmpl w:val="F9C23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EB71693"/>
    <w:multiLevelType w:val="hybridMultilevel"/>
    <w:tmpl w:val="5DE2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F6A5DBF"/>
    <w:multiLevelType w:val="hybridMultilevel"/>
    <w:tmpl w:val="8016506C"/>
    <w:lvl w:ilvl="0" w:tplc="D80E2C26">
      <w:start w:val="1"/>
      <w:numFmt w:val="decimal"/>
      <w:pStyle w:val="ListNumb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38479788">
    <w:abstractNumId w:val="6"/>
  </w:num>
  <w:num w:numId="2" w16cid:durableId="598100625">
    <w:abstractNumId w:val="92"/>
  </w:num>
  <w:num w:numId="3" w16cid:durableId="678701308">
    <w:abstractNumId w:val="105"/>
  </w:num>
  <w:num w:numId="4" w16cid:durableId="150483074">
    <w:abstractNumId w:val="146"/>
  </w:num>
  <w:num w:numId="5" w16cid:durableId="320699263">
    <w:abstractNumId w:val="125"/>
  </w:num>
  <w:num w:numId="6" w16cid:durableId="2062512870">
    <w:abstractNumId w:val="64"/>
  </w:num>
  <w:num w:numId="7" w16cid:durableId="1961764318">
    <w:abstractNumId w:val="131"/>
  </w:num>
  <w:num w:numId="8" w16cid:durableId="1393432215">
    <w:abstractNumId w:val="112"/>
  </w:num>
  <w:num w:numId="9" w16cid:durableId="312374869">
    <w:abstractNumId w:val="144"/>
  </w:num>
  <w:num w:numId="10" w16cid:durableId="1401905296">
    <w:abstractNumId w:val="54"/>
  </w:num>
  <w:num w:numId="11" w16cid:durableId="1671640274">
    <w:abstractNumId w:val="23"/>
  </w:num>
  <w:num w:numId="12" w16cid:durableId="1195850997">
    <w:abstractNumId w:val="55"/>
  </w:num>
  <w:num w:numId="13" w16cid:durableId="549071065">
    <w:abstractNumId w:val="65"/>
  </w:num>
  <w:num w:numId="14" w16cid:durableId="846559770">
    <w:abstractNumId w:val="21"/>
  </w:num>
  <w:num w:numId="15" w16cid:durableId="688264777">
    <w:abstractNumId w:val="38"/>
  </w:num>
  <w:num w:numId="16" w16cid:durableId="1992252067">
    <w:abstractNumId w:val="100"/>
  </w:num>
  <w:num w:numId="17" w16cid:durableId="820000019">
    <w:abstractNumId w:val="95"/>
  </w:num>
  <w:num w:numId="18" w16cid:durableId="1860309846">
    <w:abstractNumId w:val="2"/>
  </w:num>
  <w:num w:numId="19" w16cid:durableId="1033381026">
    <w:abstractNumId w:val="12"/>
  </w:num>
  <w:num w:numId="20" w16cid:durableId="1170558657">
    <w:abstractNumId w:val="145"/>
  </w:num>
  <w:num w:numId="21" w16cid:durableId="999112977">
    <w:abstractNumId w:val="139"/>
  </w:num>
  <w:num w:numId="22" w16cid:durableId="739640737">
    <w:abstractNumId w:val="58"/>
  </w:num>
  <w:num w:numId="23" w16cid:durableId="1806507378">
    <w:abstractNumId w:val="113"/>
  </w:num>
  <w:num w:numId="24" w16cid:durableId="1036783265">
    <w:abstractNumId w:val="118"/>
  </w:num>
  <w:num w:numId="25" w16cid:durableId="628783861">
    <w:abstractNumId w:val="78"/>
  </w:num>
  <w:num w:numId="26" w16cid:durableId="823401112">
    <w:abstractNumId w:val="99"/>
  </w:num>
  <w:num w:numId="27" w16cid:durableId="478499151">
    <w:abstractNumId w:val="11"/>
  </w:num>
  <w:num w:numId="28" w16cid:durableId="466511032">
    <w:abstractNumId w:val="56"/>
  </w:num>
  <w:num w:numId="29" w16cid:durableId="11272709">
    <w:abstractNumId w:val="51"/>
  </w:num>
  <w:num w:numId="30" w16cid:durableId="1239823024">
    <w:abstractNumId w:val="85"/>
  </w:num>
  <w:num w:numId="31" w16cid:durableId="599217808">
    <w:abstractNumId w:val="15"/>
  </w:num>
  <w:num w:numId="32" w16cid:durableId="1179199542">
    <w:abstractNumId w:val="110"/>
  </w:num>
  <w:num w:numId="33" w16cid:durableId="170025705">
    <w:abstractNumId w:val="97"/>
  </w:num>
  <w:num w:numId="34" w16cid:durableId="106393731">
    <w:abstractNumId w:val="48"/>
  </w:num>
  <w:num w:numId="35" w16cid:durableId="1131628016">
    <w:abstractNumId w:val="82"/>
  </w:num>
  <w:num w:numId="36" w16cid:durableId="837843837">
    <w:abstractNumId w:val="76"/>
  </w:num>
  <w:num w:numId="37" w16cid:durableId="1855420462">
    <w:abstractNumId w:val="89"/>
  </w:num>
  <w:num w:numId="38" w16cid:durableId="1776245803">
    <w:abstractNumId w:val="44"/>
  </w:num>
  <w:num w:numId="39" w16cid:durableId="177352678">
    <w:abstractNumId w:val="86"/>
  </w:num>
  <w:num w:numId="40" w16cid:durableId="702442579">
    <w:abstractNumId w:val="132"/>
  </w:num>
  <w:num w:numId="41" w16cid:durableId="1165785769">
    <w:abstractNumId w:val="130"/>
  </w:num>
  <w:num w:numId="42" w16cid:durableId="1208685490">
    <w:abstractNumId w:val="93"/>
  </w:num>
  <w:num w:numId="43" w16cid:durableId="46224816">
    <w:abstractNumId w:val="17"/>
  </w:num>
  <w:num w:numId="44" w16cid:durableId="1009016544">
    <w:abstractNumId w:val="138"/>
  </w:num>
  <w:num w:numId="45" w16cid:durableId="968777443">
    <w:abstractNumId w:val="116"/>
  </w:num>
  <w:num w:numId="46" w16cid:durableId="1648123051">
    <w:abstractNumId w:val="87"/>
  </w:num>
  <w:num w:numId="47" w16cid:durableId="2141415619">
    <w:abstractNumId w:val="74"/>
  </w:num>
  <w:num w:numId="48" w16cid:durableId="231738326">
    <w:abstractNumId w:val="90"/>
  </w:num>
  <w:num w:numId="49" w16cid:durableId="2040203439">
    <w:abstractNumId w:val="73"/>
  </w:num>
  <w:num w:numId="50" w16cid:durableId="1603562541">
    <w:abstractNumId w:val="72"/>
  </w:num>
  <w:num w:numId="51" w16cid:durableId="1512061055">
    <w:abstractNumId w:val="46"/>
  </w:num>
  <w:num w:numId="52" w16cid:durableId="201864631">
    <w:abstractNumId w:val="134"/>
  </w:num>
  <w:num w:numId="53" w16cid:durableId="1725644124">
    <w:abstractNumId w:val="52"/>
  </w:num>
  <w:num w:numId="54" w16cid:durableId="1589313660">
    <w:abstractNumId w:val="75"/>
  </w:num>
  <w:num w:numId="55" w16cid:durableId="671030775">
    <w:abstractNumId w:val="84"/>
  </w:num>
  <w:num w:numId="56" w16cid:durableId="52782117">
    <w:abstractNumId w:val="40"/>
  </w:num>
  <w:num w:numId="57" w16cid:durableId="184026484">
    <w:abstractNumId w:val="122"/>
  </w:num>
  <w:num w:numId="58" w16cid:durableId="771173297">
    <w:abstractNumId w:val="80"/>
  </w:num>
  <w:num w:numId="59" w16cid:durableId="293339528">
    <w:abstractNumId w:val="141"/>
  </w:num>
  <w:num w:numId="60" w16cid:durableId="1865708239">
    <w:abstractNumId w:val="69"/>
  </w:num>
  <w:num w:numId="61" w16cid:durableId="1771658545">
    <w:abstractNumId w:val="127"/>
  </w:num>
  <w:num w:numId="62" w16cid:durableId="1520851185">
    <w:abstractNumId w:val="91"/>
  </w:num>
  <w:num w:numId="63" w16cid:durableId="119032958">
    <w:abstractNumId w:val="19"/>
  </w:num>
  <w:num w:numId="64" w16cid:durableId="684399466">
    <w:abstractNumId w:val="26"/>
  </w:num>
  <w:num w:numId="65" w16cid:durableId="2044624705">
    <w:abstractNumId w:val="18"/>
  </w:num>
  <w:num w:numId="66" w16cid:durableId="1607999503">
    <w:abstractNumId w:val="114"/>
  </w:num>
  <w:num w:numId="67" w16cid:durableId="410398308">
    <w:abstractNumId w:val="61"/>
  </w:num>
  <w:num w:numId="68" w16cid:durableId="1847016045">
    <w:abstractNumId w:val="71"/>
  </w:num>
  <w:num w:numId="69" w16cid:durableId="705758185">
    <w:abstractNumId w:val="111"/>
  </w:num>
  <w:num w:numId="70" w16cid:durableId="1303146974">
    <w:abstractNumId w:val="123"/>
  </w:num>
  <w:num w:numId="71" w16cid:durableId="616370501">
    <w:abstractNumId w:val="42"/>
  </w:num>
  <w:num w:numId="72" w16cid:durableId="1182283927">
    <w:abstractNumId w:val="10"/>
  </w:num>
  <w:num w:numId="73" w16cid:durableId="991252204">
    <w:abstractNumId w:val="41"/>
  </w:num>
  <w:num w:numId="74" w16cid:durableId="2013677839">
    <w:abstractNumId w:val="31"/>
  </w:num>
  <w:num w:numId="75" w16cid:durableId="2087064974">
    <w:abstractNumId w:val="124"/>
  </w:num>
  <w:num w:numId="76" w16cid:durableId="231282210">
    <w:abstractNumId w:val="53"/>
  </w:num>
  <w:num w:numId="77" w16cid:durableId="1407650853">
    <w:abstractNumId w:val="98"/>
  </w:num>
  <w:num w:numId="78" w16cid:durableId="289366257">
    <w:abstractNumId w:val="108"/>
  </w:num>
  <w:num w:numId="79" w16cid:durableId="1203439312">
    <w:abstractNumId w:val="88"/>
  </w:num>
  <w:num w:numId="80" w16cid:durableId="145126563">
    <w:abstractNumId w:val="50"/>
  </w:num>
  <w:num w:numId="81" w16cid:durableId="961417971">
    <w:abstractNumId w:val="47"/>
  </w:num>
  <w:num w:numId="82" w16cid:durableId="1533306251">
    <w:abstractNumId w:val="94"/>
  </w:num>
  <w:num w:numId="83" w16cid:durableId="1072041627">
    <w:abstractNumId w:val="60"/>
  </w:num>
  <w:num w:numId="84" w16cid:durableId="1389495269">
    <w:abstractNumId w:val="140"/>
  </w:num>
  <w:num w:numId="85" w16cid:durableId="128324035">
    <w:abstractNumId w:val="57"/>
  </w:num>
  <w:num w:numId="86" w16cid:durableId="1558009363">
    <w:abstractNumId w:val="37"/>
  </w:num>
  <w:num w:numId="87" w16cid:durableId="1903053531">
    <w:abstractNumId w:val="117"/>
  </w:num>
  <w:num w:numId="88" w16cid:durableId="270091085">
    <w:abstractNumId w:val="25"/>
  </w:num>
  <w:num w:numId="89" w16cid:durableId="582837787">
    <w:abstractNumId w:val="121"/>
  </w:num>
  <w:num w:numId="90" w16cid:durableId="179664382">
    <w:abstractNumId w:val="135"/>
  </w:num>
  <w:num w:numId="91" w16cid:durableId="124197215">
    <w:abstractNumId w:val="20"/>
  </w:num>
  <w:num w:numId="92" w16cid:durableId="958419065">
    <w:abstractNumId w:val="120"/>
  </w:num>
  <w:num w:numId="93" w16cid:durableId="484978547">
    <w:abstractNumId w:val="4"/>
  </w:num>
  <w:num w:numId="94" w16cid:durableId="1083180718">
    <w:abstractNumId w:val="103"/>
  </w:num>
  <w:num w:numId="95" w16cid:durableId="751705504">
    <w:abstractNumId w:val="68"/>
  </w:num>
  <w:num w:numId="96" w16cid:durableId="486216098">
    <w:abstractNumId w:val="36"/>
  </w:num>
  <w:num w:numId="97" w16cid:durableId="1705864650">
    <w:abstractNumId w:val="45"/>
  </w:num>
  <w:num w:numId="98" w16cid:durableId="610669678">
    <w:abstractNumId w:val="128"/>
  </w:num>
  <w:num w:numId="99" w16cid:durableId="1002929515">
    <w:abstractNumId w:val="62"/>
  </w:num>
  <w:num w:numId="100" w16cid:durableId="400492504">
    <w:abstractNumId w:val="28"/>
  </w:num>
  <w:num w:numId="101" w16cid:durableId="899092643">
    <w:abstractNumId w:val="143"/>
  </w:num>
  <w:num w:numId="102" w16cid:durableId="311642283">
    <w:abstractNumId w:val="142"/>
  </w:num>
  <w:num w:numId="103" w16cid:durableId="1883131201">
    <w:abstractNumId w:val="5"/>
  </w:num>
  <w:num w:numId="104" w16cid:durableId="1969818601">
    <w:abstractNumId w:val="32"/>
  </w:num>
  <w:num w:numId="105" w16cid:durableId="1306548917">
    <w:abstractNumId w:val="9"/>
  </w:num>
  <w:num w:numId="106" w16cid:durableId="1422606046">
    <w:abstractNumId w:val="16"/>
  </w:num>
  <w:num w:numId="107" w16cid:durableId="1930121125">
    <w:abstractNumId w:val="43"/>
  </w:num>
  <w:num w:numId="108" w16cid:durableId="1087963649">
    <w:abstractNumId w:val="0"/>
  </w:num>
  <w:num w:numId="109" w16cid:durableId="506527899">
    <w:abstractNumId w:val="109"/>
  </w:num>
  <w:num w:numId="110" w16cid:durableId="838958618">
    <w:abstractNumId w:val="136"/>
  </w:num>
  <w:num w:numId="111" w16cid:durableId="876626141">
    <w:abstractNumId w:val="49"/>
  </w:num>
  <w:num w:numId="112" w16cid:durableId="569459219">
    <w:abstractNumId w:val="34"/>
  </w:num>
  <w:num w:numId="113" w16cid:durableId="190337001">
    <w:abstractNumId w:val="101"/>
  </w:num>
  <w:num w:numId="114" w16cid:durableId="92557656">
    <w:abstractNumId w:val="115"/>
  </w:num>
  <w:num w:numId="115" w16cid:durableId="476184986">
    <w:abstractNumId w:val="22"/>
  </w:num>
  <w:num w:numId="116" w16cid:durableId="1422533623">
    <w:abstractNumId w:val="129"/>
  </w:num>
  <w:num w:numId="117" w16cid:durableId="190729831">
    <w:abstractNumId w:val="1"/>
  </w:num>
  <w:num w:numId="118" w16cid:durableId="1409888671">
    <w:abstractNumId w:val="83"/>
  </w:num>
  <w:num w:numId="119" w16cid:durableId="1527865915">
    <w:abstractNumId w:val="81"/>
  </w:num>
  <w:num w:numId="120" w16cid:durableId="1265462128">
    <w:abstractNumId w:val="126"/>
  </w:num>
  <w:num w:numId="121" w16cid:durableId="314994088">
    <w:abstractNumId w:val="13"/>
  </w:num>
  <w:num w:numId="122" w16cid:durableId="1317684675">
    <w:abstractNumId w:val="27"/>
  </w:num>
  <w:num w:numId="123" w16cid:durableId="1346856985">
    <w:abstractNumId w:val="96"/>
  </w:num>
  <w:num w:numId="124" w16cid:durableId="478350784">
    <w:abstractNumId w:val="39"/>
  </w:num>
  <w:num w:numId="125" w16cid:durableId="1227644480">
    <w:abstractNumId w:val="8"/>
  </w:num>
  <w:num w:numId="126" w16cid:durableId="1036542880">
    <w:abstractNumId w:val="63"/>
  </w:num>
  <w:num w:numId="127" w16cid:durableId="1095127699">
    <w:abstractNumId w:val="24"/>
  </w:num>
  <w:num w:numId="128" w16cid:durableId="619799535">
    <w:abstractNumId w:val="14"/>
  </w:num>
  <w:num w:numId="129" w16cid:durableId="127288231">
    <w:abstractNumId w:val="33"/>
  </w:num>
  <w:num w:numId="130" w16cid:durableId="724722958">
    <w:abstractNumId w:val="7"/>
  </w:num>
  <w:num w:numId="131" w16cid:durableId="642006966">
    <w:abstractNumId w:val="119"/>
  </w:num>
  <w:num w:numId="132" w16cid:durableId="466628078">
    <w:abstractNumId w:val="67"/>
  </w:num>
  <w:num w:numId="133" w16cid:durableId="119418488">
    <w:abstractNumId w:val="104"/>
  </w:num>
  <w:num w:numId="134" w16cid:durableId="1541941588">
    <w:abstractNumId w:val="59"/>
  </w:num>
  <w:num w:numId="135" w16cid:durableId="1666585405">
    <w:abstractNumId w:val="66"/>
  </w:num>
  <w:num w:numId="136" w16cid:durableId="948585761">
    <w:abstractNumId w:val="70"/>
  </w:num>
  <w:num w:numId="137" w16cid:durableId="468398154">
    <w:abstractNumId w:val="77"/>
  </w:num>
  <w:num w:numId="138" w16cid:durableId="1169325637">
    <w:abstractNumId w:val="3"/>
  </w:num>
  <w:num w:numId="139" w16cid:durableId="1188252471">
    <w:abstractNumId w:val="79"/>
  </w:num>
  <w:num w:numId="140" w16cid:durableId="280306211">
    <w:abstractNumId w:val="106"/>
  </w:num>
  <w:num w:numId="141" w16cid:durableId="1554805464">
    <w:abstractNumId w:val="29"/>
  </w:num>
  <w:num w:numId="142" w16cid:durableId="1761027674">
    <w:abstractNumId w:val="137"/>
  </w:num>
  <w:num w:numId="143" w16cid:durableId="1196700944">
    <w:abstractNumId w:val="133"/>
  </w:num>
  <w:num w:numId="144" w16cid:durableId="319507486">
    <w:abstractNumId w:val="102"/>
  </w:num>
  <w:num w:numId="145" w16cid:durableId="1549216940">
    <w:abstractNumId w:val="107"/>
  </w:num>
  <w:num w:numId="146" w16cid:durableId="1956667942">
    <w:abstractNumId w:val="30"/>
  </w:num>
  <w:num w:numId="147" w16cid:durableId="2106075249">
    <w:abstractNumId w:val="35"/>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0B94"/>
    <w:rsid w:val="000019E9"/>
    <w:rsid w:val="00002148"/>
    <w:rsid w:val="00003730"/>
    <w:rsid w:val="00004380"/>
    <w:rsid w:val="000044FF"/>
    <w:rsid w:val="00004A89"/>
    <w:rsid w:val="00005246"/>
    <w:rsid w:val="000060A8"/>
    <w:rsid w:val="000069D7"/>
    <w:rsid w:val="00012BEF"/>
    <w:rsid w:val="0001305F"/>
    <w:rsid w:val="0001449F"/>
    <w:rsid w:val="000144E4"/>
    <w:rsid w:val="00015600"/>
    <w:rsid w:val="00016579"/>
    <w:rsid w:val="000214AD"/>
    <w:rsid w:val="00021994"/>
    <w:rsid w:val="00021997"/>
    <w:rsid w:val="00022445"/>
    <w:rsid w:val="00022D02"/>
    <w:rsid w:val="00024476"/>
    <w:rsid w:val="00025F3F"/>
    <w:rsid w:val="00030852"/>
    <w:rsid w:val="00031D4A"/>
    <w:rsid w:val="00032959"/>
    <w:rsid w:val="00033440"/>
    <w:rsid w:val="000338B3"/>
    <w:rsid w:val="0003423A"/>
    <w:rsid w:val="0003473B"/>
    <w:rsid w:val="00034CE5"/>
    <w:rsid w:val="00035514"/>
    <w:rsid w:val="00036BB6"/>
    <w:rsid w:val="00040B67"/>
    <w:rsid w:val="00041951"/>
    <w:rsid w:val="00042544"/>
    <w:rsid w:val="00042ED9"/>
    <w:rsid w:val="00044845"/>
    <w:rsid w:val="00045EE0"/>
    <w:rsid w:val="00046E8F"/>
    <w:rsid w:val="000473C2"/>
    <w:rsid w:val="00047DD6"/>
    <w:rsid w:val="00051192"/>
    <w:rsid w:val="000511C4"/>
    <w:rsid w:val="00051AC6"/>
    <w:rsid w:val="0005299A"/>
    <w:rsid w:val="000550FB"/>
    <w:rsid w:val="00055F86"/>
    <w:rsid w:val="0005696C"/>
    <w:rsid w:val="00057A80"/>
    <w:rsid w:val="00060084"/>
    <w:rsid w:val="00060292"/>
    <w:rsid w:val="00061244"/>
    <w:rsid w:val="00063A62"/>
    <w:rsid w:val="00063F98"/>
    <w:rsid w:val="000640C5"/>
    <w:rsid w:val="00064317"/>
    <w:rsid w:val="00064337"/>
    <w:rsid w:val="0006459B"/>
    <w:rsid w:val="00065542"/>
    <w:rsid w:val="00066CCF"/>
    <w:rsid w:val="00072161"/>
    <w:rsid w:val="00072F5F"/>
    <w:rsid w:val="000749B1"/>
    <w:rsid w:val="0007545E"/>
    <w:rsid w:val="00075D15"/>
    <w:rsid w:val="00075F81"/>
    <w:rsid w:val="00076011"/>
    <w:rsid w:val="00076041"/>
    <w:rsid w:val="00077518"/>
    <w:rsid w:val="00077701"/>
    <w:rsid w:val="00077957"/>
    <w:rsid w:val="00077C4D"/>
    <w:rsid w:val="00077E8C"/>
    <w:rsid w:val="000804D0"/>
    <w:rsid w:val="00080CFC"/>
    <w:rsid w:val="00082B03"/>
    <w:rsid w:val="0008337C"/>
    <w:rsid w:val="00083942"/>
    <w:rsid w:val="00084C26"/>
    <w:rsid w:val="00085622"/>
    <w:rsid w:val="000857A1"/>
    <w:rsid w:val="00085A49"/>
    <w:rsid w:val="00087591"/>
    <w:rsid w:val="0009054F"/>
    <w:rsid w:val="000913E4"/>
    <w:rsid w:val="00091979"/>
    <w:rsid w:val="0009219F"/>
    <w:rsid w:val="00094E58"/>
    <w:rsid w:val="000952E9"/>
    <w:rsid w:val="0009786D"/>
    <w:rsid w:val="000A0826"/>
    <w:rsid w:val="000A33EA"/>
    <w:rsid w:val="000B065E"/>
    <w:rsid w:val="000B0FB1"/>
    <w:rsid w:val="000B1741"/>
    <w:rsid w:val="000B1D1A"/>
    <w:rsid w:val="000B1DA9"/>
    <w:rsid w:val="000B3BDE"/>
    <w:rsid w:val="000B3C19"/>
    <w:rsid w:val="000B41E5"/>
    <w:rsid w:val="000B4715"/>
    <w:rsid w:val="000B47B6"/>
    <w:rsid w:val="000B5566"/>
    <w:rsid w:val="000B58B3"/>
    <w:rsid w:val="000B59D4"/>
    <w:rsid w:val="000B636B"/>
    <w:rsid w:val="000B6E27"/>
    <w:rsid w:val="000B79F3"/>
    <w:rsid w:val="000B7CD2"/>
    <w:rsid w:val="000B7F0D"/>
    <w:rsid w:val="000B7F16"/>
    <w:rsid w:val="000C0B0E"/>
    <w:rsid w:val="000C3595"/>
    <w:rsid w:val="000C45FC"/>
    <w:rsid w:val="000C46A8"/>
    <w:rsid w:val="000C49A4"/>
    <w:rsid w:val="000C64FF"/>
    <w:rsid w:val="000C725C"/>
    <w:rsid w:val="000C73E1"/>
    <w:rsid w:val="000D0469"/>
    <w:rsid w:val="000D0DA0"/>
    <w:rsid w:val="000D1B7E"/>
    <w:rsid w:val="000D1E76"/>
    <w:rsid w:val="000D48A2"/>
    <w:rsid w:val="000D5149"/>
    <w:rsid w:val="000D5766"/>
    <w:rsid w:val="000D6759"/>
    <w:rsid w:val="000D77BC"/>
    <w:rsid w:val="000D790C"/>
    <w:rsid w:val="000D7BD6"/>
    <w:rsid w:val="000E0FA8"/>
    <w:rsid w:val="000E17CA"/>
    <w:rsid w:val="000E1E02"/>
    <w:rsid w:val="000E31C8"/>
    <w:rsid w:val="000E33F6"/>
    <w:rsid w:val="000E3EF1"/>
    <w:rsid w:val="000E5548"/>
    <w:rsid w:val="000E58A1"/>
    <w:rsid w:val="000E624E"/>
    <w:rsid w:val="000E72AE"/>
    <w:rsid w:val="000F03AE"/>
    <w:rsid w:val="000F0512"/>
    <w:rsid w:val="000F134C"/>
    <w:rsid w:val="000F34E3"/>
    <w:rsid w:val="000F3EE5"/>
    <w:rsid w:val="000F4CCF"/>
    <w:rsid w:val="000F637A"/>
    <w:rsid w:val="000F682F"/>
    <w:rsid w:val="0010105A"/>
    <w:rsid w:val="00102FBC"/>
    <w:rsid w:val="001031C9"/>
    <w:rsid w:val="0010445F"/>
    <w:rsid w:val="00104DDA"/>
    <w:rsid w:val="0010568D"/>
    <w:rsid w:val="00105D06"/>
    <w:rsid w:val="00105FA0"/>
    <w:rsid w:val="00107B80"/>
    <w:rsid w:val="00107F9F"/>
    <w:rsid w:val="0011063A"/>
    <w:rsid w:val="00111B7E"/>
    <w:rsid w:val="00111D6C"/>
    <w:rsid w:val="0011211D"/>
    <w:rsid w:val="001121FC"/>
    <w:rsid w:val="00113F68"/>
    <w:rsid w:val="0011433F"/>
    <w:rsid w:val="00114449"/>
    <w:rsid w:val="00114B6E"/>
    <w:rsid w:val="00116238"/>
    <w:rsid w:val="00116468"/>
    <w:rsid w:val="001169F8"/>
    <w:rsid w:val="00116BBF"/>
    <w:rsid w:val="00116E2E"/>
    <w:rsid w:val="001221FC"/>
    <w:rsid w:val="001230F3"/>
    <w:rsid w:val="001233FA"/>
    <w:rsid w:val="00123C93"/>
    <w:rsid w:val="00123E91"/>
    <w:rsid w:val="00124EF6"/>
    <w:rsid w:val="00125098"/>
    <w:rsid w:val="001265FF"/>
    <w:rsid w:val="00126A6A"/>
    <w:rsid w:val="00127199"/>
    <w:rsid w:val="00127BDD"/>
    <w:rsid w:val="00127EF5"/>
    <w:rsid w:val="001308CC"/>
    <w:rsid w:val="00130FE2"/>
    <w:rsid w:val="00131FED"/>
    <w:rsid w:val="00133166"/>
    <w:rsid w:val="00134173"/>
    <w:rsid w:val="00134BF7"/>
    <w:rsid w:val="001351CC"/>
    <w:rsid w:val="001367EE"/>
    <w:rsid w:val="001368AE"/>
    <w:rsid w:val="00137698"/>
    <w:rsid w:val="0014127E"/>
    <w:rsid w:val="00142B20"/>
    <w:rsid w:val="00143E06"/>
    <w:rsid w:val="00144135"/>
    <w:rsid w:val="001449FA"/>
    <w:rsid w:val="00144C2C"/>
    <w:rsid w:val="00144DCB"/>
    <w:rsid w:val="00145D70"/>
    <w:rsid w:val="001464A1"/>
    <w:rsid w:val="00146F51"/>
    <w:rsid w:val="001474A9"/>
    <w:rsid w:val="001513A9"/>
    <w:rsid w:val="001524C8"/>
    <w:rsid w:val="00152549"/>
    <w:rsid w:val="0015261A"/>
    <w:rsid w:val="001528C0"/>
    <w:rsid w:val="0015417F"/>
    <w:rsid w:val="00154FF9"/>
    <w:rsid w:val="00155086"/>
    <w:rsid w:val="001555A7"/>
    <w:rsid w:val="0015737E"/>
    <w:rsid w:val="0015777C"/>
    <w:rsid w:val="00160331"/>
    <w:rsid w:val="001618BA"/>
    <w:rsid w:val="001644FE"/>
    <w:rsid w:val="001645E0"/>
    <w:rsid w:val="001653A1"/>
    <w:rsid w:val="00166079"/>
    <w:rsid w:val="00166A39"/>
    <w:rsid w:val="00167608"/>
    <w:rsid w:val="00170AFD"/>
    <w:rsid w:val="00170B59"/>
    <w:rsid w:val="00170CC9"/>
    <w:rsid w:val="001717E9"/>
    <w:rsid w:val="00171AED"/>
    <w:rsid w:val="00175183"/>
    <w:rsid w:val="00175AFD"/>
    <w:rsid w:val="00177C01"/>
    <w:rsid w:val="00177E67"/>
    <w:rsid w:val="001801C3"/>
    <w:rsid w:val="00180670"/>
    <w:rsid w:val="001808FB"/>
    <w:rsid w:val="0018106B"/>
    <w:rsid w:val="00182528"/>
    <w:rsid w:val="00182956"/>
    <w:rsid w:val="00182BE9"/>
    <w:rsid w:val="00182E8A"/>
    <w:rsid w:val="00183FC8"/>
    <w:rsid w:val="00184C93"/>
    <w:rsid w:val="00185500"/>
    <w:rsid w:val="00185C98"/>
    <w:rsid w:val="00186E1A"/>
    <w:rsid w:val="001872F2"/>
    <w:rsid w:val="00191174"/>
    <w:rsid w:val="00192641"/>
    <w:rsid w:val="0019292C"/>
    <w:rsid w:val="00193563"/>
    <w:rsid w:val="001935A8"/>
    <w:rsid w:val="00193ABF"/>
    <w:rsid w:val="00195A9B"/>
    <w:rsid w:val="001960EE"/>
    <w:rsid w:val="0019737B"/>
    <w:rsid w:val="00197AFF"/>
    <w:rsid w:val="00197D45"/>
    <w:rsid w:val="001A0295"/>
    <w:rsid w:val="001A0831"/>
    <w:rsid w:val="001A17F1"/>
    <w:rsid w:val="001A22D2"/>
    <w:rsid w:val="001A26B1"/>
    <w:rsid w:val="001A2D29"/>
    <w:rsid w:val="001A3578"/>
    <w:rsid w:val="001A3B37"/>
    <w:rsid w:val="001A3C4D"/>
    <w:rsid w:val="001A57B2"/>
    <w:rsid w:val="001A5A29"/>
    <w:rsid w:val="001A5FFE"/>
    <w:rsid w:val="001A6EDB"/>
    <w:rsid w:val="001A71DF"/>
    <w:rsid w:val="001A7E84"/>
    <w:rsid w:val="001A7E88"/>
    <w:rsid w:val="001A7FB8"/>
    <w:rsid w:val="001B058A"/>
    <w:rsid w:val="001B1575"/>
    <w:rsid w:val="001B2850"/>
    <w:rsid w:val="001B34E0"/>
    <w:rsid w:val="001B3EB0"/>
    <w:rsid w:val="001B4786"/>
    <w:rsid w:val="001B4C4E"/>
    <w:rsid w:val="001B4CF9"/>
    <w:rsid w:val="001C0165"/>
    <w:rsid w:val="001C0B69"/>
    <w:rsid w:val="001C1111"/>
    <w:rsid w:val="001C2332"/>
    <w:rsid w:val="001C2843"/>
    <w:rsid w:val="001C2B22"/>
    <w:rsid w:val="001C2FE5"/>
    <w:rsid w:val="001C301F"/>
    <w:rsid w:val="001C51E9"/>
    <w:rsid w:val="001C5409"/>
    <w:rsid w:val="001C5A80"/>
    <w:rsid w:val="001C69E1"/>
    <w:rsid w:val="001C73FF"/>
    <w:rsid w:val="001C7A67"/>
    <w:rsid w:val="001D0837"/>
    <w:rsid w:val="001D0E49"/>
    <w:rsid w:val="001E0320"/>
    <w:rsid w:val="001E084D"/>
    <w:rsid w:val="001E0EF3"/>
    <w:rsid w:val="001E4305"/>
    <w:rsid w:val="001E4808"/>
    <w:rsid w:val="001E4864"/>
    <w:rsid w:val="001E51FB"/>
    <w:rsid w:val="001E6E91"/>
    <w:rsid w:val="001E7121"/>
    <w:rsid w:val="001E7BE4"/>
    <w:rsid w:val="001F420D"/>
    <w:rsid w:val="001F4680"/>
    <w:rsid w:val="001F5ECC"/>
    <w:rsid w:val="001F6E91"/>
    <w:rsid w:val="001F71C9"/>
    <w:rsid w:val="00200228"/>
    <w:rsid w:val="00204089"/>
    <w:rsid w:val="00204371"/>
    <w:rsid w:val="00204424"/>
    <w:rsid w:val="0020481B"/>
    <w:rsid w:val="002049F9"/>
    <w:rsid w:val="00204B93"/>
    <w:rsid w:val="00204F21"/>
    <w:rsid w:val="00205C52"/>
    <w:rsid w:val="00205FE3"/>
    <w:rsid w:val="00207E48"/>
    <w:rsid w:val="00210046"/>
    <w:rsid w:val="00210950"/>
    <w:rsid w:val="00211123"/>
    <w:rsid w:val="002116E5"/>
    <w:rsid w:val="0021280C"/>
    <w:rsid w:val="00213689"/>
    <w:rsid w:val="00214EAC"/>
    <w:rsid w:val="00215506"/>
    <w:rsid w:val="00215BAC"/>
    <w:rsid w:val="00216155"/>
    <w:rsid w:val="00216B02"/>
    <w:rsid w:val="002174BD"/>
    <w:rsid w:val="002175DF"/>
    <w:rsid w:val="00217B29"/>
    <w:rsid w:val="00220826"/>
    <w:rsid w:val="002208F1"/>
    <w:rsid w:val="00220BA0"/>
    <w:rsid w:val="0022198D"/>
    <w:rsid w:val="00222137"/>
    <w:rsid w:val="002221BD"/>
    <w:rsid w:val="0022245E"/>
    <w:rsid w:val="00222F7F"/>
    <w:rsid w:val="002232B1"/>
    <w:rsid w:val="00224EBD"/>
    <w:rsid w:val="0022538F"/>
    <w:rsid w:val="0023008B"/>
    <w:rsid w:val="00230B44"/>
    <w:rsid w:val="00231A11"/>
    <w:rsid w:val="00231DDA"/>
    <w:rsid w:val="00233398"/>
    <w:rsid w:val="00234C8C"/>
    <w:rsid w:val="00234F1D"/>
    <w:rsid w:val="00235FFE"/>
    <w:rsid w:val="00236172"/>
    <w:rsid w:val="0023635C"/>
    <w:rsid w:val="00236933"/>
    <w:rsid w:val="00236E1F"/>
    <w:rsid w:val="00237734"/>
    <w:rsid w:val="002378B3"/>
    <w:rsid w:val="0024002B"/>
    <w:rsid w:val="0024064D"/>
    <w:rsid w:val="00240916"/>
    <w:rsid w:val="00240EE5"/>
    <w:rsid w:val="00241071"/>
    <w:rsid w:val="002422CC"/>
    <w:rsid w:val="002455F2"/>
    <w:rsid w:val="00246EB6"/>
    <w:rsid w:val="00250839"/>
    <w:rsid w:val="00250A48"/>
    <w:rsid w:val="002510AA"/>
    <w:rsid w:val="00251D11"/>
    <w:rsid w:val="00253D51"/>
    <w:rsid w:val="00254593"/>
    <w:rsid w:val="00255002"/>
    <w:rsid w:val="00255880"/>
    <w:rsid w:val="00255E78"/>
    <w:rsid w:val="0025755F"/>
    <w:rsid w:val="0026014E"/>
    <w:rsid w:val="00262F1C"/>
    <w:rsid w:val="00263757"/>
    <w:rsid w:val="00264ACF"/>
    <w:rsid w:val="00265B2E"/>
    <w:rsid w:val="002663A8"/>
    <w:rsid w:val="00267633"/>
    <w:rsid w:val="00271CC2"/>
    <w:rsid w:val="002722F3"/>
    <w:rsid w:val="00273174"/>
    <w:rsid w:val="00273953"/>
    <w:rsid w:val="00273975"/>
    <w:rsid w:val="0027419D"/>
    <w:rsid w:val="00274526"/>
    <w:rsid w:val="00274C0D"/>
    <w:rsid w:val="002769D3"/>
    <w:rsid w:val="00276A09"/>
    <w:rsid w:val="00276DC9"/>
    <w:rsid w:val="002771FC"/>
    <w:rsid w:val="002772F9"/>
    <w:rsid w:val="00277361"/>
    <w:rsid w:val="0028068A"/>
    <w:rsid w:val="00280D8D"/>
    <w:rsid w:val="00280E38"/>
    <w:rsid w:val="00281683"/>
    <w:rsid w:val="0028178F"/>
    <w:rsid w:val="00282424"/>
    <w:rsid w:val="00283E6E"/>
    <w:rsid w:val="002853D0"/>
    <w:rsid w:val="00285826"/>
    <w:rsid w:val="00290244"/>
    <w:rsid w:val="0029032F"/>
    <w:rsid w:val="002907E4"/>
    <w:rsid w:val="00290C04"/>
    <w:rsid w:val="00290F02"/>
    <w:rsid w:val="002917D9"/>
    <w:rsid w:val="00292917"/>
    <w:rsid w:val="002929AC"/>
    <w:rsid w:val="002933FE"/>
    <w:rsid w:val="002936F0"/>
    <w:rsid w:val="0029383E"/>
    <w:rsid w:val="00296B85"/>
    <w:rsid w:val="002A02EA"/>
    <w:rsid w:val="002A08E5"/>
    <w:rsid w:val="002A1131"/>
    <w:rsid w:val="002A1DA4"/>
    <w:rsid w:val="002A2CDD"/>
    <w:rsid w:val="002A2E3F"/>
    <w:rsid w:val="002A4500"/>
    <w:rsid w:val="002A4DC2"/>
    <w:rsid w:val="002A61C4"/>
    <w:rsid w:val="002A6A73"/>
    <w:rsid w:val="002B05E8"/>
    <w:rsid w:val="002B11FD"/>
    <w:rsid w:val="002B1365"/>
    <w:rsid w:val="002B1DC0"/>
    <w:rsid w:val="002B2331"/>
    <w:rsid w:val="002B2DB7"/>
    <w:rsid w:val="002B32A6"/>
    <w:rsid w:val="002B5EEE"/>
    <w:rsid w:val="002C1045"/>
    <w:rsid w:val="002C172A"/>
    <w:rsid w:val="002C3FA6"/>
    <w:rsid w:val="002C4959"/>
    <w:rsid w:val="002C4F07"/>
    <w:rsid w:val="002C6CB1"/>
    <w:rsid w:val="002C6E11"/>
    <w:rsid w:val="002C7376"/>
    <w:rsid w:val="002D1F14"/>
    <w:rsid w:val="002D43AF"/>
    <w:rsid w:val="002D44E1"/>
    <w:rsid w:val="002D50F7"/>
    <w:rsid w:val="002D63C0"/>
    <w:rsid w:val="002D6713"/>
    <w:rsid w:val="002E0684"/>
    <w:rsid w:val="002E2B1A"/>
    <w:rsid w:val="002E2C1E"/>
    <w:rsid w:val="002E3B16"/>
    <w:rsid w:val="002E6E0E"/>
    <w:rsid w:val="002E76DD"/>
    <w:rsid w:val="002F0464"/>
    <w:rsid w:val="002F3128"/>
    <w:rsid w:val="002F48AD"/>
    <w:rsid w:val="002F4FE7"/>
    <w:rsid w:val="002F6B04"/>
    <w:rsid w:val="002F7965"/>
    <w:rsid w:val="00301184"/>
    <w:rsid w:val="003011C3"/>
    <w:rsid w:val="00301A87"/>
    <w:rsid w:val="00302430"/>
    <w:rsid w:val="0030319A"/>
    <w:rsid w:val="003033A1"/>
    <w:rsid w:val="00304FD4"/>
    <w:rsid w:val="00305B8B"/>
    <w:rsid w:val="0030610A"/>
    <w:rsid w:val="00306AFD"/>
    <w:rsid w:val="00306C8B"/>
    <w:rsid w:val="003072B1"/>
    <w:rsid w:val="0031010E"/>
    <w:rsid w:val="00310A8E"/>
    <w:rsid w:val="00311C30"/>
    <w:rsid w:val="003127D3"/>
    <w:rsid w:val="00312C9C"/>
    <w:rsid w:val="003130BF"/>
    <w:rsid w:val="003132D4"/>
    <w:rsid w:val="00313AB2"/>
    <w:rsid w:val="00313E70"/>
    <w:rsid w:val="00314715"/>
    <w:rsid w:val="00314A45"/>
    <w:rsid w:val="00314F57"/>
    <w:rsid w:val="003153DE"/>
    <w:rsid w:val="00317B35"/>
    <w:rsid w:val="003200C6"/>
    <w:rsid w:val="003210AA"/>
    <w:rsid w:val="00324388"/>
    <w:rsid w:val="00324CB2"/>
    <w:rsid w:val="00330103"/>
    <w:rsid w:val="003301EF"/>
    <w:rsid w:val="003309F2"/>
    <w:rsid w:val="00331200"/>
    <w:rsid w:val="00331BEE"/>
    <w:rsid w:val="00331C30"/>
    <w:rsid w:val="003355AA"/>
    <w:rsid w:val="0033560F"/>
    <w:rsid w:val="0033561B"/>
    <w:rsid w:val="003416A1"/>
    <w:rsid w:val="00344499"/>
    <w:rsid w:val="0034527C"/>
    <w:rsid w:val="0035016A"/>
    <w:rsid w:val="003508CA"/>
    <w:rsid w:val="00350A3C"/>
    <w:rsid w:val="00351136"/>
    <w:rsid w:val="0035214B"/>
    <w:rsid w:val="00353B45"/>
    <w:rsid w:val="003572A4"/>
    <w:rsid w:val="00360390"/>
    <w:rsid w:val="00360468"/>
    <w:rsid w:val="003605FE"/>
    <w:rsid w:val="00361A40"/>
    <w:rsid w:val="00362DEC"/>
    <w:rsid w:val="00362E48"/>
    <w:rsid w:val="003645DC"/>
    <w:rsid w:val="00365278"/>
    <w:rsid w:val="0036579C"/>
    <w:rsid w:val="00365FEC"/>
    <w:rsid w:val="003670E8"/>
    <w:rsid w:val="003675A0"/>
    <w:rsid w:val="00367C6F"/>
    <w:rsid w:val="00367FD9"/>
    <w:rsid w:val="003701E2"/>
    <w:rsid w:val="00374E81"/>
    <w:rsid w:val="0037604F"/>
    <w:rsid w:val="0037669F"/>
    <w:rsid w:val="003775E4"/>
    <w:rsid w:val="00377CF4"/>
    <w:rsid w:val="003817B1"/>
    <w:rsid w:val="00382C37"/>
    <w:rsid w:val="003833FF"/>
    <w:rsid w:val="00383CAD"/>
    <w:rsid w:val="003846A4"/>
    <w:rsid w:val="00384FBA"/>
    <w:rsid w:val="00386307"/>
    <w:rsid w:val="003866A4"/>
    <w:rsid w:val="00386DFD"/>
    <w:rsid w:val="00387651"/>
    <w:rsid w:val="00391ED4"/>
    <w:rsid w:val="00392D8D"/>
    <w:rsid w:val="00393F8A"/>
    <w:rsid w:val="003943FF"/>
    <w:rsid w:val="003959B0"/>
    <w:rsid w:val="00395A21"/>
    <w:rsid w:val="00395D65"/>
    <w:rsid w:val="00396E92"/>
    <w:rsid w:val="00397057"/>
    <w:rsid w:val="00397906"/>
    <w:rsid w:val="00397D36"/>
    <w:rsid w:val="00397D8F"/>
    <w:rsid w:val="00397E1C"/>
    <w:rsid w:val="00397FED"/>
    <w:rsid w:val="003A1180"/>
    <w:rsid w:val="003A351C"/>
    <w:rsid w:val="003A49C4"/>
    <w:rsid w:val="003A4D23"/>
    <w:rsid w:val="003A77CE"/>
    <w:rsid w:val="003B02B2"/>
    <w:rsid w:val="003B0FCC"/>
    <w:rsid w:val="003B249B"/>
    <w:rsid w:val="003B3247"/>
    <w:rsid w:val="003B3D56"/>
    <w:rsid w:val="003B4576"/>
    <w:rsid w:val="003B72E2"/>
    <w:rsid w:val="003B73E8"/>
    <w:rsid w:val="003B740F"/>
    <w:rsid w:val="003B7844"/>
    <w:rsid w:val="003C2395"/>
    <w:rsid w:val="003C532F"/>
    <w:rsid w:val="003C581D"/>
    <w:rsid w:val="003C5B3C"/>
    <w:rsid w:val="003C6B2D"/>
    <w:rsid w:val="003C70E3"/>
    <w:rsid w:val="003D36D8"/>
    <w:rsid w:val="003D3A8C"/>
    <w:rsid w:val="003D5381"/>
    <w:rsid w:val="003D5DA0"/>
    <w:rsid w:val="003D73B8"/>
    <w:rsid w:val="003E07A3"/>
    <w:rsid w:val="003E1111"/>
    <w:rsid w:val="003E2709"/>
    <w:rsid w:val="003E3DF6"/>
    <w:rsid w:val="003E462B"/>
    <w:rsid w:val="003E49BE"/>
    <w:rsid w:val="003E4A7B"/>
    <w:rsid w:val="003E6D97"/>
    <w:rsid w:val="003E7836"/>
    <w:rsid w:val="003E7C3F"/>
    <w:rsid w:val="003F10F7"/>
    <w:rsid w:val="003F1A19"/>
    <w:rsid w:val="003F2E49"/>
    <w:rsid w:val="003F383F"/>
    <w:rsid w:val="003F3CB0"/>
    <w:rsid w:val="003F3D65"/>
    <w:rsid w:val="003F44D2"/>
    <w:rsid w:val="003F488F"/>
    <w:rsid w:val="003F6230"/>
    <w:rsid w:val="003F6848"/>
    <w:rsid w:val="00400F3C"/>
    <w:rsid w:val="00401147"/>
    <w:rsid w:val="00401D09"/>
    <w:rsid w:val="004022CD"/>
    <w:rsid w:val="0040353A"/>
    <w:rsid w:val="00404BE1"/>
    <w:rsid w:val="004058EA"/>
    <w:rsid w:val="00406660"/>
    <w:rsid w:val="00406D39"/>
    <w:rsid w:val="00407105"/>
    <w:rsid w:val="0041092E"/>
    <w:rsid w:val="00410A26"/>
    <w:rsid w:val="00410C08"/>
    <w:rsid w:val="004116DB"/>
    <w:rsid w:val="0041177A"/>
    <w:rsid w:val="00411BD7"/>
    <w:rsid w:val="00415762"/>
    <w:rsid w:val="0041582F"/>
    <w:rsid w:val="004164A4"/>
    <w:rsid w:val="004164DD"/>
    <w:rsid w:val="0041765D"/>
    <w:rsid w:val="00422282"/>
    <w:rsid w:val="0042429A"/>
    <w:rsid w:val="004252D9"/>
    <w:rsid w:val="004255F7"/>
    <w:rsid w:val="00425E03"/>
    <w:rsid w:val="00426D8B"/>
    <w:rsid w:val="00427BD5"/>
    <w:rsid w:val="00431034"/>
    <w:rsid w:val="00431AA5"/>
    <w:rsid w:val="0043261C"/>
    <w:rsid w:val="00432A9C"/>
    <w:rsid w:val="00432E8E"/>
    <w:rsid w:val="00434D04"/>
    <w:rsid w:val="00435E9A"/>
    <w:rsid w:val="004376A0"/>
    <w:rsid w:val="00441BDF"/>
    <w:rsid w:val="004450F2"/>
    <w:rsid w:val="00445521"/>
    <w:rsid w:val="00447CE5"/>
    <w:rsid w:val="0045026F"/>
    <w:rsid w:val="004502FE"/>
    <w:rsid w:val="00450B37"/>
    <w:rsid w:val="00450DEF"/>
    <w:rsid w:val="00451D26"/>
    <w:rsid w:val="00452817"/>
    <w:rsid w:val="0045468A"/>
    <w:rsid w:val="00455F4B"/>
    <w:rsid w:val="0045662B"/>
    <w:rsid w:val="004567EC"/>
    <w:rsid w:val="00457153"/>
    <w:rsid w:val="00461D66"/>
    <w:rsid w:val="00462417"/>
    <w:rsid w:val="004647A4"/>
    <w:rsid w:val="004652D0"/>
    <w:rsid w:val="00465381"/>
    <w:rsid w:val="0046688A"/>
    <w:rsid w:val="0047026F"/>
    <w:rsid w:val="004709FD"/>
    <w:rsid w:val="00470B56"/>
    <w:rsid w:val="00471B95"/>
    <w:rsid w:val="00473FC0"/>
    <w:rsid w:val="00475B29"/>
    <w:rsid w:val="00476AA6"/>
    <w:rsid w:val="00476D68"/>
    <w:rsid w:val="00482300"/>
    <w:rsid w:val="0048231D"/>
    <w:rsid w:val="0048328E"/>
    <w:rsid w:val="004837A2"/>
    <w:rsid w:val="00484335"/>
    <w:rsid w:val="00484788"/>
    <w:rsid w:val="00484ADA"/>
    <w:rsid w:val="00485125"/>
    <w:rsid w:val="00485ED5"/>
    <w:rsid w:val="00490701"/>
    <w:rsid w:val="00490918"/>
    <w:rsid w:val="004909EB"/>
    <w:rsid w:val="00490A6D"/>
    <w:rsid w:val="00490E41"/>
    <w:rsid w:val="00492847"/>
    <w:rsid w:val="004935A2"/>
    <w:rsid w:val="00494C67"/>
    <w:rsid w:val="00496F6B"/>
    <w:rsid w:val="004A1D64"/>
    <w:rsid w:val="004A2902"/>
    <w:rsid w:val="004A3317"/>
    <w:rsid w:val="004A4094"/>
    <w:rsid w:val="004A4FA1"/>
    <w:rsid w:val="004A78AE"/>
    <w:rsid w:val="004B2A4C"/>
    <w:rsid w:val="004B306F"/>
    <w:rsid w:val="004B334D"/>
    <w:rsid w:val="004B3AD6"/>
    <w:rsid w:val="004B3DC8"/>
    <w:rsid w:val="004B3DE9"/>
    <w:rsid w:val="004B43C1"/>
    <w:rsid w:val="004B514A"/>
    <w:rsid w:val="004B6649"/>
    <w:rsid w:val="004B68EA"/>
    <w:rsid w:val="004B6E05"/>
    <w:rsid w:val="004B7282"/>
    <w:rsid w:val="004C0C10"/>
    <w:rsid w:val="004C1473"/>
    <w:rsid w:val="004C15DB"/>
    <w:rsid w:val="004C2016"/>
    <w:rsid w:val="004C3A11"/>
    <w:rsid w:val="004C3AEA"/>
    <w:rsid w:val="004C6CD3"/>
    <w:rsid w:val="004C6DC7"/>
    <w:rsid w:val="004C716E"/>
    <w:rsid w:val="004C7192"/>
    <w:rsid w:val="004C7353"/>
    <w:rsid w:val="004D04B2"/>
    <w:rsid w:val="004D0771"/>
    <w:rsid w:val="004D07D2"/>
    <w:rsid w:val="004D21F9"/>
    <w:rsid w:val="004D2343"/>
    <w:rsid w:val="004D27DC"/>
    <w:rsid w:val="004D294F"/>
    <w:rsid w:val="004D3467"/>
    <w:rsid w:val="004D425E"/>
    <w:rsid w:val="004D4F85"/>
    <w:rsid w:val="004D546B"/>
    <w:rsid w:val="004D5856"/>
    <w:rsid w:val="004D5D4E"/>
    <w:rsid w:val="004D5DB5"/>
    <w:rsid w:val="004D7699"/>
    <w:rsid w:val="004E04AF"/>
    <w:rsid w:val="004E04DA"/>
    <w:rsid w:val="004E1214"/>
    <w:rsid w:val="004E30D6"/>
    <w:rsid w:val="004E3D6F"/>
    <w:rsid w:val="004E3E05"/>
    <w:rsid w:val="004E4656"/>
    <w:rsid w:val="004E6F8E"/>
    <w:rsid w:val="004E7CF3"/>
    <w:rsid w:val="004F0017"/>
    <w:rsid w:val="004F0359"/>
    <w:rsid w:val="004F1CFC"/>
    <w:rsid w:val="004F27B9"/>
    <w:rsid w:val="004F2E01"/>
    <w:rsid w:val="004F3115"/>
    <w:rsid w:val="004F4966"/>
    <w:rsid w:val="004F759E"/>
    <w:rsid w:val="004F75A5"/>
    <w:rsid w:val="004F7B21"/>
    <w:rsid w:val="00500635"/>
    <w:rsid w:val="005011EF"/>
    <w:rsid w:val="00501F7A"/>
    <w:rsid w:val="00502281"/>
    <w:rsid w:val="00502DE6"/>
    <w:rsid w:val="00503AAF"/>
    <w:rsid w:val="00504F15"/>
    <w:rsid w:val="00506015"/>
    <w:rsid w:val="00506493"/>
    <w:rsid w:val="00507F43"/>
    <w:rsid w:val="0051133A"/>
    <w:rsid w:val="0051165B"/>
    <w:rsid w:val="005117D8"/>
    <w:rsid w:val="0051285F"/>
    <w:rsid w:val="00512C91"/>
    <w:rsid w:val="00513605"/>
    <w:rsid w:val="00514230"/>
    <w:rsid w:val="00514EB9"/>
    <w:rsid w:val="0051798E"/>
    <w:rsid w:val="0052052D"/>
    <w:rsid w:val="0052094D"/>
    <w:rsid w:val="005211FE"/>
    <w:rsid w:val="0052224F"/>
    <w:rsid w:val="005222C5"/>
    <w:rsid w:val="005242CF"/>
    <w:rsid w:val="00524E79"/>
    <w:rsid w:val="0052722C"/>
    <w:rsid w:val="00530C64"/>
    <w:rsid w:val="00531070"/>
    <w:rsid w:val="00531886"/>
    <w:rsid w:val="005319D2"/>
    <w:rsid w:val="00533451"/>
    <w:rsid w:val="00533895"/>
    <w:rsid w:val="00533CDA"/>
    <w:rsid w:val="0053532B"/>
    <w:rsid w:val="00535A11"/>
    <w:rsid w:val="00535B2A"/>
    <w:rsid w:val="00535F74"/>
    <w:rsid w:val="00536A51"/>
    <w:rsid w:val="00536D65"/>
    <w:rsid w:val="00537EB8"/>
    <w:rsid w:val="00540E3B"/>
    <w:rsid w:val="0054188B"/>
    <w:rsid w:val="005433C0"/>
    <w:rsid w:val="00544654"/>
    <w:rsid w:val="00544841"/>
    <w:rsid w:val="005448F1"/>
    <w:rsid w:val="0054494A"/>
    <w:rsid w:val="00544D5D"/>
    <w:rsid w:val="00545D59"/>
    <w:rsid w:val="00545D64"/>
    <w:rsid w:val="005463CC"/>
    <w:rsid w:val="00547FB3"/>
    <w:rsid w:val="00550E2E"/>
    <w:rsid w:val="00551466"/>
    <w:rsid w:val="0055339E"/>
    <w:rsid w:val="00556C0F"/>
    <w:rsid w:val="005622B7"/>
    <w:rsid w:val="00564F71"/>
    <w:rsid w:val="0056517C"/>
    <w:rsid w:val="0056529C"/>
    <w:rsid w:val="00565314"/>
    <w:rsid w:val="00565FD9"/>
    <w:rsid w:val="0056618C"/>
    <w:rsid w:val="0056653D"/>
    <w:rsid w:val="00566E9D"/>
    <w:rsid w:val="00567C06"/>
    <w:rsid w:val="00570D5A"/>
    <w:rsid w:val="00572D06"/>
    <w:rsid w:val="00572DDD"/>
    <w:rsid w:val="0057359A"/>
    <w:rsid w:val="00575F62"/>
    <w:rsid w:val="0057673D"/>
    <w:rsid w:val="005775C7"/>
    <w:rsid w:val="00580380"/>
    <w:rsid w:val="00580AB7"/>
    <w:rsid w:val="00581842"/>
    <w:rsid w:val="00581E64"/>
    <w:rsid w:val="00581FE8"/>
    <w:rsid w:val="00582339"/>
    <w:rsid w:val="00583A22"/>
    <w:rsid w:val="00584969"/>
    <w:rsid w:val="00584A89"/>
    <w:rsid w:val="005855FA"/>
    <w:rsid w:val="00585A26"/>
    <w:rsid w:val="00586BFF"/>
    <w:rsid w:val="005914B7"/>
    <w:rsid w:val="00591BF8"/>
    <w:rsid w:val="00592231"/>
    <w:rsid w:val="005925B9"/>
    <w:rsid w:val="00592D76"/>
    <w:rsid w:val="00594877"/>
    <w:rsid w:val="00594BA3"/>
    <w:rsid w:val="00594D53"/>
    <w:rsid w:val="00596BF2"/>
    <w:rsid w:val="005A146F"/>
    <w:rsid w:val="005A4BB7"/>
    <w:rsid w:val="005A7336"/>
    <w:rsid w:val="005B01F2"/>
    <w:rsid w:val="005B0539"/>
    <w:rsid w:val="005B0C0E"/>
    <w:rsid w:val="005B0CED"/>
    <w:rsid w:val="005B2E25"/>
    <w:rsid w:val="005B43E6"/>
    <w:rsid w:val="005B5793"/>
    <w:rsid w:val="005B68DE"/>
    <w:rsid w:val="005B719C"/>
    <w:rsid w:val="005C0CA6"/>
    <w:rsid w:val="005C1253"/>
    <w:rsid w:val="005C1A07"/>
    <w:rsid w:val="005C3C4D"/>
    <w:rsid w:val="005C41CC"/>
    <w:rsid w:val="005C5D4A"/>
    <w:rsid w:val="005C6228"/>
    <w:rsid w:val="005C636A"/>
    <w:rsid w:val="005C6C62"/>
    <w:rsid w:val="005C6CB5"/>
    <w:rsid w:val="005C6FB5"/>
    <w:rsid w:val="005C7A64"/>
    <w:rsid w:val="005C7ED7"/>
    <w:rsid w:val="005D1A32"/>
    <w:rsid w:val="005D2778"/>
    <w:rsid w:val="005D29C2"/>
    <w:rsid w:val="005D369C"/>
    <w:rsid w:val="005D4349"/>
    <w:rsid w:val="005D4D30"/>
    <w:rsid w:val="005D5A77"/>
    <w:rsid w:val="005D5AFC"/>
    <w:rsid w:val="005D5CD0"/>
    <w:rsid w:val="005D5D87"/>
    <w:rsid w:val="005D60FB"/>
    <w:rsid w:val="005D65D3"/>
    <w:rsid w:val="005E0417"/>
    <w:rsid w:val="005E058E"/>
    <w:rsid w:val="005E22F8"/>
    <w:rsid w:val="005E3214"/>
    <w:rsid w:val="005E5F8A"/>
    <w:rsid w:val="005E6C72"/>
    <w:rsid w:val="005E6F3D"/>
    <w:rsid w:val="005E7EBC"/>
    <w:rsid w:val="005F02B6"/>
    <w:rsid w:val="005F0DA1"/>
    <w:rsid w:val="005F1267"/>
    <w:rsid w:val="005F37D1"/>
    <w:rsid w:val="005F46C1"/>
    <w:rsid w:val="005F473C"/>
    <w:rsid w:val="005F5EF1"/>
    <w:rsid w:val="005F6DB1"/>
    <w:rsid w:val="005F7FF0"/>
    <w:rsid w:val="006012A0"/>
    <w:rsid w:val="0060312B"/>
    <w:rsid w:val="00603A07"/>
    <w:rsid w:val="0060609B"/>
    <w:rsid w:val="00606208"/>
    <w:rsid w:val="006066DE"/>
    <w:rsid w:val="00606966"/>
    <w:rsid w:val="0060725D"/>
    <w:rsid w:val="00607263"/>
    <w:rsid w:val="0061101D"/>
    <w:rsid w:val="00611207"/>
    <w:rsid w:val="006115DC"/>
    <w:rsid w:val="00611C31"/>
    <w:rsid w:val="00612292"/>
    <w:rsid w:val="00612F7B"/>
    <w:rsid w:val="0061311E"/>
    <w:rsid w:val="0061463A"/>
    <w:rsid w:val="006146EE"/>
    <w:rsid w:val="0061616F"/>
    <w:rsid w:val="00616857"/>
    <w:rsid w:val="006170B2"/>
    <w:rsid w:val="0061736D"/>
    <w:rsid w:val="00617DEA"/>
    <w:rsid w:val="00620C06"/>
    <w:rsid w:val="006218C2"/>
    <w:rsid w:val="0062219A"/>
    <w:rsid w:val="00625958"/>
    <w:rsid w:val="00625DC2"/>
    <w:rsid w:val="006270E5"/>
    <w:rsid w:val="00627A61"/>
    <w:rsid w:val="006315CB"/>
    <w:rsid w:val="0063371F"/>
    <w:rsid w:val="006340A9"/>
    <w:rsid w:val="006347A7"/>
    <w:rsid w:val="00635C93"/>
    <w:rsid w:val="0063692D"/>
    <w:rsid w:val="0063742A"/>
    <w:rsid w:val="00637728"/>
    <w:rsid w:val="00637817"/>
    <w:rsid w:val="006402C4"/>
    <w:rsid w:val="006409B1"/>
    <w:rsid w:val="00640BE7"/>
    <w:rsid w:val="00640FFA"/>
    <w:rsid w:val="00641ADA"/>
    <w:rsid w:val="0064220F"/>
    <w:rsid w:val="00644FD1"/>
    <w:rsid w:val="00645E65"/>
    <w:rsid w:val="00647C1F"/>
    <w:rsid w:val="00651D0E"/>
    <w:rsid w:val="006528F5"/>
    <w:rsid w:val="00652C4C"/>
    <w:rsid w:val="00652CA9"/>
    <w:rsid w:val="0065308B"/>
    <w:rsid w:val="00653107"/>
    <w:rsid w:val="00653772"/>
    <w:rsid w:val="006538F2"/>
    <w:rsid w:val="006539A5"/>
    <w:rsid w:val="0065437E"/>
    <w:rsid w:val="006546FC"/>
    <w:rsid w:val="006550AF"/>
    <w:rsid w:val="00660EDF"/>
    <w:rsid w:val="006617A4"/>
    <w:rsid w:val="00661AA9"/>
    <w:rsid w:val="006620DC"/>
    <w:rsid w:val="00662CD3"/>
    <w:rsid w:val="00662E9F"/>
    <w:rsid w:val="00663ADB"/>
    <w:rsid w:val="0066469A"/>
    <w:rsid w:val="0066499D"/>
    <w:rsid w:val="00664B53"/>
    <w:rsid w:val="00667B5F"/>
    <w:rsid w:val="006709A3"/>
    <w:rsid w:val="00672781"/>
    <w:rsid w:val="00672A22"/>
    <w:rsid w:val="00672F72"/>
    <w:rsid w:val="00673123"/>
    <w:rsid w:val="00673AC9"/>
    <w:rsid w:val="00674712"/>
    <w:rsid w:val="00675E8A"/>
    <w:rsid w:val="00676FBE"/>
    <w:rsid w:val="0068206C"/>
    <w:rsid w:val="006825C8"/>
    <w:rsid w:val="006826E4"/>
    <w:rsid w:val="00682709"/>
    <w:rsid w:val="00682726"/>
    <w:rsid w:val="00682AE7"/>
    <w:rsid w:val="00683382"/>
    <w:rsid w:val="00683AC3"/>
    <w:rsid w:val="00683F25"/>
    <w:rsid w:val="0068410A"/>
    <w:rsid w:val="00685C3E"/>
    <w:rsid w:val="00685DFE"/>
    <w:rsid w:val="00690CA8"/>
    <w:rsid w:val="00691094"/>
    <w:rsid w:val="006918CF"/>
    <w:rsid w:val="006919AE"/>
    <w:rsid w:val="00692039"/>
    <w:rsid w:val="006927B0"/>
    <w:rsid w:val="00693D7A"/>
    <w:rsid w:val="00693FDA"/>
    <w:rsid w:val="00694C3D"/>
    <w:rsid w:val="00697D05"/>
    <w:rsid w:val="006A00AF"/>
    <w:rsid w:val="006A029D"/>
    <w:rsid w:val="006A0B61"/>
    <w:rsid w:val="006A293D"/>
    <w:rsid w:val="006A2A47"/>
    <w:rsid w:val="006A2D1C"/>
    <w:rsid w:val="006A3036"/>
    <w:rsid w:val="006A398D"/>
    <w:rsid w:val="006A3B42"/>
    <w:rsid w:val="006A4186"/>
    <w:rsid w:val="006A4488"/>
    <w:rsid w:val="006A4A71"/>
    <w:rsid w:val="006A4BD3"/>
    <w:rsid w:val="006A5549"/>
    <w:rsid w:val="006A6629"/>
    <w:rsid w:val="006A6A4D"/>
    <w:rsid w:val="006A6AC4"/>
    <w:rsid w:val="006A7003"/>
    <w:rsid w:val="006A7956"/>
    <w:rsid w:val="006A7C29"/>
    <w:rsid w:val="006A7D27"/>
    <w:rsid w:val="006B00D0"/>
    <w:rsid w:val="006B0727"/>
    <w:rsid w:val="006B085C"/>
    <w:rsid w:val="006B0BF6"/>
    <w:rsid w:val="006B103D"/>
    <w:rsid w:val="006B119A"/>
    <w:rsid w:val="006B1AC5"/>
    <w:rsid w:val="006B2471"/>
    <w:rsid w:val="006B32A8"/>
    <w:rsid w:val="006B3CEE"/>
    <w:rsid w:val="006B4744"/>
    <w:rsid w:val="006B504A"/>
    <w:rsid w:val="006B5DDC"/>
    <w:rsid w:val="006B5EAF"/>
    <w:rsid w:val="006B6957"/>
    <w:rsid w:val="006B7555"/>
    <w:rsid w:val="006B778B"/>
    <w:rsid w:val="006C0212"/>
    <w:rsid w:val="006C0380"/>
    <w:rsid w:val="006C06A8"/>
    <w:rsid w:val="006C085C"/>
    <w:rsid w:val="006C0A0B"/>
    <w:rsid w:val="006C176E"/>
    <w:rsid w:val="006C1BB6"/>
    <w:rsid w:val="006C267A"/>
    <w:rsid w:val="006C28E6"/>
    <w:rsid w:val="006C36C8"/>
    <w:rsid w:val="006C3C30"/>
    <w:rsid w:val="006C4588"/>
    <w:rsid w:val="006C4598"/>
    <w:rsid w:val="006C5223"/>
    <w:rsid w:val="006C5CC6"/>
    <w:rsid w:val="006D0A51"/>
    <w:rsid w:val="006D1F87"/>
    <w:rsid w:val="006D3472"/>
    <w:rsid w:val="006D3B1F"/>
    <w:rsid w:val="006D467A"/>
    <w:rsid w:val="006D49CF"/>
    <w:rsid w:val="006D5BD6"/>
    <w:rsid w:val="006D76DE"/>
    <w:rsid w:val="006E1024"/>
    <w:rsid w:val="006E1B2C"/>
    <w:rsid w:val="006E2283"/>
    <w:rsid w:val="006E30CC"/>
    <w:rsid w:val="006E41B2"/>
    <w:rsid w:val="006E4350"/>
    <w:rsid w:val="006E5886"/>
    <w:rsid w:val="006E60C9"/>
    <w:rsid w:val="006E64C3"/>
    <w:rsid w:val="006E708E"/>
    <w:rsid w:val="006F109E"/>
    <w:rsid w:val="006F1A45"/>
    <w:rsid w:val="006F2389"/>
    <w:rsid w:val="006F2A37"/>
    <w:rsid w:val="006F2FA8"/>
    <w:rsid w:val="006F51D6"/>
    <w:rsid w:val="006F5FD7"/>
    <w:rsid w:val="006F6542"/>
    <w:rsid w:val="006F6C96"/>
    <w:rsid w:val="006F74F8"/>
    <w:rsid w:val="006F7711"/>
    <w:rsid w:val="007009BB"/>
    <w:rsid w:val="00700FD1"/>
    <w:rsid w:val="007022D9"/>
    <w:rsid w:val="00702E57"/>
    <w:rsid w:val="00706C45"/>
    <w:rsid w:val="0070775F"/>
    <w:rsid w:val="00707CDD"/>
    <w:rsid w:val="0071095C"/>
    <w:rsid w:val="00710EA3"/>
    <w:rsid w:val="00712227"/>
    <w:rsid w:val="0071244F"/>
    <w:rsid w:val="00713515"/>
    <w:rsid w:val="007144EC"/>
    <w:rsid w:val="0071569C"/>
    <w:rsid w:val="007166D2"/>
    <w:rsid w:val="007168A7"/>
    <w:rsid w:val="00716DC1"/>
    <w:rsid w:val="00717710"/>
    <w:rsid w:val="007178F8"/>
    <w:rsid w:val="00720877"/>
    <w:rsid w:val="00721C2E"/>
    <w:rsid w:val="007231F3"/>
    <w:rsid w:val="007244E8"/>
    <w:rsid w:val="00725BE2"/>
    <w:rsid w:val="0072647A"/>
    <w:rsid w:val="00727B68"/>
    <w:rsid w:val="00727BCE"/>
    <w:rsid w:val="00730864"/>
    <w:rsid w:val="00731499"/>
    <w:rsid w:val="00732863"/>
    <w:rsid w:val="00734877"/>
    <w:rsid w:val="0073558B"/>
    <w:rsid w:val="0073582D"/>
    <w:rsid w:val="00735B1E"/>
    <w:rsid w:val="00735ECA"/>
    <w:rsid w:val="0073747E"/>
    <w:rsid w:val="007403A3"/>
    <w:rsid w:val="007421CB"/>
    <w:rsid w:val="00742305"/>
    <w:rsid w:val="00742688"/>
    <w:rsid w:val="00747D06"/>
    <w:rsid w:val="00750621"/>
    <w:rsid w:val="00750843"/>
    <w:rsid w:val="00750F4E"/>
    <w:rsid w:val="007527A2"/>
    <w:rsid w:val="00753B75"/>
    <w:rsid w:val="007555F0"/>
    <w:rsid w:val="007567B2"/>
    <w:rsid w:val="00756C54"/>
    <w:rsid w:val="007602CA"/>
    <w:rsid w:val="00760C36"/>
    <w:rsid w:val="00762376"/>
    <w:rsid w:val="00763B12"/>
    <w:rsid w:val="00764BA3"/>
    <w:rsid w:val="00765EB7"/>
    <w:rsid w:val="007675E8"/>
    <w:rsid w:val="007704C4"/>
    <w:rsid w:val="00771077"/>
    <w:rsid w:val="00772B2C"/>
    <w:rsid w:val="00773131"/>
    <w:rsid w:val="007734B5"/>
    <w:rsid w:val="007749AC"/>
    <w:rsid w:val="00775A27"/>
    <w:rsid w:val="00775A5D"/>
    <w:rsid w:val="00775D9F"/>
    <w:rsid w:val="00775E20"/>
    <w:rsid w:val="00776A9E"/>
    <w:rsid w:val="00776C26"/>
    <w:rsid w:val="007771F1"/>
    <w:rsid w:val="007805DA"/>
    <w:rsid w:val="00780952"/>
    <w:rsid w:val="00780D7F"/>
    <w:rsid w:val="007813AB"/>
    <w:rsid w:val="0078283A"/>
    <w:rsid w:val="00782F85"/>
    <w:rsid w:val="00783E48"/>
    <w:rsid w:val="00784497"/>
    <w:rsid w:val="00787072"/>
    <w:rsid w:val="007872D1"/>
    <w:rsid w:val="00787335"/>
    <w:rsid w:val="00787518"/>
    <w:rsid w:val="00787A5C"/>
    <w:rsid w:val="00787E08"/>
    <w:rsid w:val="0079019D"/>
    <w:rsid w:val="00791254"/>
    <w:rsid w:val="0079148A"/>
    <w:rsid w:val="00792A8E"/>
    <w:rsid w:val="00793086"/>
    <w:rsid w:val="00793A6E"/>
    <w:rsid w:val="00793B42"/>
    <w:rsid w:val="00795D6C"/>
    <w:rsid w:val="00797068"/>
    <w:rsid w:val="00797A09"/>
    <w:rsid w:val="007A0A1B"/>
    <w:rsid w:val="007A27AF"/>
    <w:rsid w:val="007A309D"/>
    <w:rsid w:val="007A5459"/>
    <w:rsid w:val="007A593D"/>
    <w:rsid w:val="007A5FB7"/>
    <w:rsid w:val="007A79B8"/>
    <w:rsid w:val="007B14BC"/>
    <w:rsid w:val="007B1CE1"/>
    <w:rsid w:val="007B22CA"/>
    <w:rsid w:val="007B5DE0"/>
    <w:rsid w:val="007B5F05"/>
    <w:rsid w:val="007B60CC"/>
    <w:rsid w:val="007B6CBD"/>
    <w:rsid w:val="007C0878"/>
    <w:rsid w:val="007C1ADA"/>
    <w:rsid w:val="007C1D6B"/>
    <w:rsid w:val="007C30EA"/>
    <w:rsid w:val="007C3917"/>
    <w:rsid w:val="007C4FC4"/>
    <w:rsid w:val="007C7A3A"/>
    <w:rsid w:val="007D0027"/>
    <w:rsid w:val="007D0083"/>
    <w:rsid w:val="007D0453"/>
    <w:rsid w:val="007D0A91"/>
    <w:rsid w:val="007D0E67"/>
    <w:rsid w:val="007D11B7"/>
    <w:rsid w:val="007D28ED"/>
    <w:rsid w:val="007D2C56"/>
    <w:rsid w:val="007D2EEB"/>
    <w:rsid w:val="007D3AD2"/>
    <w:rsid w:val="007D414D"/>
    <w:rsid w:val="007D556A"/>
    <w:rsid w:val="007D567B"/>
    <w:rsid w:val="007D69B5"/>
    <w:rsid w:val="007D6A55"/>
    <w:rsid w:val="007D6C70"/>
    <w:rsid w:val="007D6E64"/>
    <w:rsid w:val="007D740D"/>
    <w:rsid w:val="007D7E6D"/>
    <w:rsid w:val="007D7F1D"/>
    <w:rsid w:val="007E2ACE"/>
    <w:rsid w:val="007E4223"/>
    <w:rsid w:val="007E509E"/>
    <w:rsid w:val="007E526C"/>
    <w:rsid w:val="007E76EB"/>
    <w:rsid w:val="007F06FF"/>
    <w:rsid w:val="007F1BA7"/>
    <w:rsid w:val="007F3033"/>
    <w:rsid w:val="007F322D"/>
    <w:rsid w:val="007F46C1"/>
    <w:rsid w:val="007F50B2"/>
    <w:rsid w:val="007F5B18"/>
    <w:rsid w:val="007F645B"/>
    <w:rsid w:val="007F6EC8"/>
    <w:rsid w:val="007F71DE"/>
    <w:rsid w:val="007F7EED"/>
    <w:rsid w:val="008003CD"/>
    <w:rsid w:val="00800555"/>
    <w:rsid w:val="008006BC"/>
    <w:rsid w:val="008011EB"/>
    <w:rsid w:val="00803C51"/>
    <w:rsid w:val="00805594"/>
    <w:rsid w:val="00805848"/>
    <w:rsid w:val="00806349"/>
    <w:rsid w:val="008122ED"/>
    <w:rsid w:val="00813A9B"/>
    <w:rsid w:val="00814D66"/>
    <w:rsid w:val="0081614B"/>
    <w:rsid w:val="008164CF"/>
    <w:rsid w:val="00816583"/>
    <w:rsid w:val="00816841"/>
    <w:rsid w:val="008173EC"/>
    <w:rsid w:val="008204F1"/>
    <w:rsid w:val="0082097F"/>
    <w:rsid w:val="00820FE5"/>
    <w:rsid w:val="008210E3"/>
    <w:rsid w:val="00821F37"/>
    <w:rsid w:val="00821FFF"/>
    <w:rsid w:val="008240A0"/>
    <w:rsid w:val="008245D8"/>
    <w:rsid w:val="008248DB"/>
    <w:rsid w:val="0083039B"/>
    <w:rsid w:val="00830ABD"/>
    <w:rsid w:val="00830B6A"/>
    <w:rsid w:val="00830FAC"/>
    <w:rsid w:val="00831489"/>
    <w:rsid w:val="008334B0"/>
    <w:rsid w:val="008344C8"/>
    <w:rsid w:val="008354AA"/>
    <w:rsid w:val="00836A5F"/>
    <w:rsid w:val="0084061E"/>
    <w:rsid w:val="00841811"/>
    <w:rsid w:val="008418A5"/>
    <w:rsid w:val="008419A5"/>
    <w:rsid w:val="00841E62"/>
    <w:rsid w:val="00841F20"/>
    <w:rsid w:val="0084380A"/>
    <w:rsid w:val="008439E8"/>
    <w:rsid w:val="008444BC"/>
    <w:rsid w:val="0084589F"/>
    <w:rsid w:val="00845D14"/>
    <w:rsid w:val="00847503"/>
    <w:rsid w:val="00851817"/>
    <w:rsid w:val="008525F9"/>
    <w:rsid w:val="00852E36"/>
    <w:rsid w:val="00852E56"/>
    <w:rsid w:val="00854416"/>
    <w:rsid w:val="00854B19"/>
    <w:rsid w:val="008550A1"/>
    <w:rsid w:val="00856A5C"/>
    <w:rsid w:val="008576A0"/>
    <w:rsid w:val="00857BB0"/>
    <w:rsid w:val="00857F4F"/>
    <w:rsid w:val="00860638"/>
    <w:rsid w:val="008606C5"/>
    <w:rsid w:val="008607C7"/>
    <w:rsid w:val="0086165B"/>
    <w:rsid w:val="00861904"/>
    <w:rsid w:val="00863BC0"/>
    <w:rsid w:val="00863F75"/>
    <w:rsid w:val="0086485D"/>
    <w:rsid w:val="00864A77"/>
    <w:rsid w:val="008654B1"/>
    <w:rsid w:val="0086551B"/>
    <w:rsid w:val="00865987"/>
    <w:rsid w:val="00865A5B"/>
    <w:rsid w:val="00865B89"/>
    <w:rsid w:val="00866C71"/>
    <w:rsid w:val="00866C93"/>
    <w:rsid w:val="00866E94"/>
    <w:rsid w:val="008670D4"/>
    <w:rsid w:val="008674E8"/>
    <w:rsid w:val="00867A3D"/>
    <w:rsid w:val="00867B95"/>
    <w:rsid w:val="00867EDA"/>
    <w:rsid w:val="00872A1B"/>
    <w:rsid w:val="00873183"/>
    <w:rsid w:val="0087525B"/>
    <w:rsid w:val="00875C51"/>
    <w:rsid w:val="008764AA"/>
    <w:rsid w:val="00880252"/>
    <w:rsid w:val="00880A8C"/>
    <w:rsid w:val="008821E3"/>
    <w:rsid w:val="00883E4E"/>
    <w:rsid w:val="00884F01"/>
    <w:rsid w:val="00885130"/>
    <w:rsid w:val="00886419"/>
    <w:rsid w:val="008876B7"/>
    <w:rsid w:val="00887D9C"/>
    <w:rsid w:val="00887EC6"/>
    <w:rsid w:val="00887F8D"/>
    <w:rsid w:val="00891BA3"/>
    <w:rsid w:val="0089264E"/>
    <w:rsid w:val="008933EC"/>
    <w:rsid w:val="008944D8"/>
    <w:rsid w:val="0089644B"/>
    <w:rsid w:val="008973FD"/>
    <w:rsid w:val="00897F19"/>
    <w:rsid w:val="008A019A"/>
    <w:rsid w:val="008A0649"/>
    <w:rsid w:val="008A10E5"/>
    <w:rsid w:val="008A139C"/>
    <w:rsid w:val="008A1A8A"/>
    <w:rsid w:val="008A1CA1"/>
    <w:rsid w:val="008A2B09"/>
    <w:rsid w:val="008A32F0"/>
    <w:rsid w:val="008A3A6C"/>
    <w:rsid w:val="008A4164"/>
    <w:rsid w:val="008A4481"/>
    <w:rsid w:val="008A5FF6"/>
    <w:rsid w:val="008A6142"/>
    <w:rsid w:val="008A6284"/>
    <w:rsid w:val="008A67F3"/>
    <w:rsid w:val="008A7262"/>
    <w:rsid w:val="008A7569"/>
    <w:rsid w:val="008A7F6C"/>
    <w:rsid w:val="008B0248"/>
    <w:rsid w:val="008B0E97"/>
    <w:rsid w:val="008B18AC"/>
    <w:rsid w:val="008B1A0F"/>
    <w:rsid w:val="008B22ED"/>
    <w:rsid w:val="008B27F9"/>
    <w:rsid w:val="008B2E21"/>
    <w:rsid w:val="008B38F0"/>
    <w:rsid w:val="008B3926"/>
    <w:rsid w:val="008B3AFC"/>
    <w:rsid w:val="008B42F3"/>
    <w:rsid w:val="008B4607"/>
    <w:rsid w:val="008B55FB"/>
    <w:rsid w:val="008B671D"/>
    <w:rsid w:val="008B6D02"/>
    <w:rsid w:val="008B7813"/>
    <w:rsid w:val="008B7D82"/>
    <w:rsid w:val="008C1E62"/>
    <w:rsid w:val="008C21A0"/>
    <w:rsid w:val="008C2213"/>
    <w:rsid w:val="008C345D"/>
    <w:rsid w:val="008C3B11"/>
    <w:rsid w:val="008C69D2"/>
    <w:rsid w:val="008C7165"/>
    <w:rsid w:val="008C7FC1"/>
    <w:rsid w:val="008D016A"/>
    <w:rsid w:val="008D2060"/>
    <w:rsid w:val="008D211B"/>
    <w:rsid w:val="008D2FF2"/>
    <w:rsid w:val="008D4FB9"/>
    <w:rsid w:val="008D515B"/>
    <w:rsid w:val="008D5923"/>
    <w:rsid w:val="008D5A48"/>
    <w:rsid w:val="008D5BB7"/>
    <w:rsid w:val="008D7C4A"/>
    <w:rsid w:val="008E0253"/>
    <w:rsid w:val="008E04FB"/>
    <w:rsid w:val="008E0932"/>
    <w:rsid w:val="008E0EAA"/>
    <w:rsid w:val="008E0F45"/>
    <w:rsid w:val="008E1215"/>
    <w:rsid w:val="008E26AA"/>
    <w:rsid w:val="008E3FF2"/>
    <w:rsid w:val="008E413F"/>
    <w:rsid w:val="008E452D"/>
    <w:rsid w:val="008E4A63"/>
    <w:rsid w:val="008E672D"/>
    <w:rsid w:val="008E7094"/>
    <w:rsid w:val="008E713B"/>
    <w:rsid w:val="008E7939"/>
    <w:rsid w:val="008F0D90"/>
    <w:rsid w:val="008F29D4"/>
    <w:rsid w:val="008F3AF4"/>
    <w:rsid w:val="008F443C"/>
    <w:rsid w:val="008F4BA3"/>
    <w:rsid w:val="008F5392"/>
    <w:rsid w:val="008F69CF"/>
    <w:rsid w:val="008F78E4"/>
    <w:rsid w:val="008F7A53"/>
    <w:rsid w:val="00901375"/>
    <w:rsid w:val="009046C8"/>
    <w:rsid w:val="00905438"/>
    <w:rsid w:val="0090734C"/>
    <w:rsid w:val="009115E8"/>
    <w:rsid w:val="0091300B"/>
    <w:rsid w:val="00914609"/>
    <w:rsid w:val="00914BFB"/>
    <w:rsid w:val="00914E68"/>
    <w:rsid w:val="009168C2"/>
    <w:rsid w:val="00916C31"/>
    <w:rsid w:val="00917705"/>
    <w:rsid w:val="00920BC9"/>
    <w:rsid w:val="00921751"/>
    <w:rsid w:val="00922F83"/>
    <w:rsid w:val="00924245"/>
    <w:rsid w:val="009248B3"/>
    <w:rsid w:val="009249DA"/>
    <w:rsid w:val="0092536E"/>
    <w:rsid w:val="00926601"/>
    <w:rsid w:val="009270EF"/>
    <w:rsid w:val="00927675"/>
    <w:rsid w:val="00927695"/>
    <w:rsid w:val="00930AD0"/>
    <w:rsid w:val="00930B0F"/>
    <w:rsid w:val="009336CC"/>
    <w:rsid w:val="009344D2"/>
    <w:rsid w:val="00935597"/>
    <w:rsid w:val="009357BE"/>
    <w:rsid w:val="00935CB9"/>
    <w:rsid w:val="00940115"/>
    <w:rsid w:val="00942244"/>
    <w:rsid w:val="0094275A"/>
    <w:rsid w:val="0094292D"/>
    <w:rsid w:val="00942A3C"/>
    <w:rsid w:val="0094406C"/>
    <w:rsid w:val="0094493B"/>
    <w:rsid w:val="00945D56"/>
    <w:rsid w:val="00946579"/>
    <w:rsid w:val="0094672B"/>
    <w:rsid w:val="00946B25"/>
    <w:rsid w:val="00947288"/>
    <w:rsid w:val="009472F9"/>
    <w:rsid w:val="00947E3F"/>
    <w:rsid w:val="00951178"/>
    <w:rsid w:val="009525FA"/>
    <w:rsid w:val="009529C5"/>
    <w:rsid w:val="00953CA1"/>
    <w:rsid w:val="00956800"/>
    <w:rsid w:val="00956ADD"/>
    <w:rsid w:val="00956D8C"/>
    <w:rsid w:val="00956FCB"/>
    <w:rsid w:val="009571DE"/>
    <w:rsid w:val="009573F6"/>
    <w:rsid w:val="0095782E"/>
    <w:rsid w:val="00957898"/>
    <w:rsid w:val="009621C6"/>
    <w:rsid w:val="0096334C"/>
    <w:rsid w:val="00963BBD"/>
    <w:rsid w:val="00964BB6"/>
    <w:rsid w:val="00964EC9"/>
    <w:rsid w:val="00965140"/>
    <w:rsid w:val="00965203"/>
    <w:rsid w:val="0096529D"/>
    <w:rsid w:val="00965F24"/>
    <w:rsid w:val="00966071"/>
    <w:rsid w:val="009662D3"/>
    <w:rsid w:val="009675BB"/>
    <w:rsid w:val="0097144A"/>
    <w:rsid w:val="00971B0A"/>
    <w:rsid w:val="009723F1"/>
    <w:rsid w:val="009727EF"/>
    <w:rsid w:val="009729A3"/>
    <w:rsid w:val="0097573B"/>
    <w:rsid w:val="0097702D"/>
    <w:rsid w:val="009775E1"/>
    <w:rsid w:val="00977E9D"/>
    <w:rsid w:val="009804FD"/>
    <w:rsid w:val="009805AD"/>
    <w:rsid w:val="00981199"/>
    <w:rsid w:val="00981EF3"/>
    <w:rsid w:val="009820D2"/>
    <w:rsid w:val="00982C9B"/>
    <w:rsid w:val="00982DC4"/>
    <w:rsid w:val="009833A2"/>
    <w:rsid w:val="00983C9B"/>
    <w:rsid w:val="0098407D"/>
    <w:rsid w:val="0098482F"/>
    <w:rsid w:val="00984AD8"/>
    <w:rsid w:val="00984B31"/>
    <w:rsid w:val="00984EC9"/>
    <w:rsid w:val="00985704"/>
    <w:rsid w:val="009864E6"/>
    <w:rsid w:val="00987AE8"/>
    <w:rsid w:val="00987D5A"/>
    <w:rsid w:val="0099003A"/>
    <w:rsid w:val="00990CB3"/>
    <w:rsid w:val="00991B49"/>
    <w:rsid w:val="0099245F"/>
    <w:rsid w:val="00992730"/>
    <w:rsid w:val="0099278B"/>
    <w:rsid w:val="0099327A"/>
    <w:rsid w:val="00993B3D"/>
    <w:rsid w:val="009946BD"/>
    <w:rsid w:val="00995B41"/>
    <w:rsid w:val="0099671E"/>
    <w:rsid w:val="009968D4"/>
    <w:rsid w:val="00996F95"/>
    <w:rsid w:val="009978E0"/>
    <w:rsid w:val="00997C67"/>
    <w:rsid w:val="009A2AD5"/>
    <w:rsid w:val="009A2C54"/>
    <w:rsid w:val="009A321C"/>
    <w:rsid w:val="009A39C4"/>
    <w:rsid w:val="009A4898"/>
    <w:rsid w:val="009A60D6"/>
    <w:rsid w:val="009A610B"/>
    <w:rsid w:val="009A6BB5"/>
    <w:rsid w:val="009A7700"/>
    <w:rsid w:val="009A79D7"/>
    <w:rsid w:val="009B42A9"/>
    <w:rsid w:val="009B44DA"/>
    <w:rsid w:val="009B46F5"/>
    <w:rsid w:val="009B4D5F"/>
    <w:rsid w:val="009B6AAC"/>
    <w:rsid w:val="009B6FA3"/>
    <w:rsid w:val="009C01FD"/>
    <w:rsid w:val="009C1217"/>
    <w:rsid w:val="009C12E1"/>
    <w:rsid w:val="009C3544"/>
    <w:rsid w:val="009C38E9"/>
    <w:rsid w:val="009C3B02"/>
    <w:rsid w:val="009C4E41"/>
    <w:rsid w:val="009C5538"/>
    <w:rsid w:val="009C5692"/>
    <w:rsid w:val="009C5FC8"/>
    <w:rsid w:val="009C6344"/>
    <w:rsid w:val="009C6BDE"/>
    <w:rsid w:val="009C72E3"/>
    <w:rsid w:val="009C77C4"/>
    <w:rsid w:val="009C786D"/>
    <w:rsid w:val="009C7B99"/>
    <w:rsid w:val="009D1AE8"/>
    <w:rsid w:val="009D1B02"/>
    <w:rsid w:val="009D2186"/>
    <w:rsid w:val="009D2456"/>
    <w:rsid w:val="009D561A"/>
    <w:rsid w:val="009D604D"/>
    <w:rsid w:val="009E03E3"/>
    <w:rsid w:val="009E0670"/>
    <w:rsid w:val="009E1292"/>
    <w:rsid w:val="009E1975"/>
    <w:rsid w:val="009E2343"/>
    <w:rsid w:val="009E29AD"/>
    <w:rsid w:val="009E2F8F"/>
    <w:rsid w:val="009E3981"/>
    <w:rsid w:val="009E4980"/>
    <w:rsid w:val="009E5B94"/>
    <w:rsid w:val="009E5DE1"/>
    <w:rsid w:val="009E7A50"/>
    <w:rsid w:val="009F06B7"/>
    <w:rsid w:val="009F1382"/>
    <w:rsid w:val="009F1823"/>
    <w:rsid w:val="009F18AA"/>
    <w:rsid w:val="009F1C61"/>
    <w:rsid w:val="009F2D0F"/>
    <w:rsid w:val="009F2F31"/>
    <w:rsid w:val="009F408B"/>
    <w:rsid w:val="009F4593"/>
    <w:rsid w:val="009F4AA0"/>
    <w:rsid w:val="009F5A5C"/>
    <w:rsid w:val="009F5ADD"/>
    <w:rsid w:val="009F5F4D"/>
    <w:rsid w:val="009F6616"/>
    <w:rsid w:val="009F7866"/>
    <w:rsid w:val="00A0086F"/>
    <w:rsid w:val="00A02BDB"/>
    <w:rsid w:val="00A03FBB"/>
    <w:rsid w:val="00A049AB"/>
    <w:rsid w:val="00A04C04"/>
    <w:rsid w:val="00A0504C"/>
    <w:rsid w:val="00A05B58"/>
    <w:rsid w:val="00A05BEE"/>
    <w:rsid w:val="00A06736"/>
    <w:rsid w:val="00A07170"/>
    <w:rsid w:val="00A07560"/>
    <w:rsid w:val="00A11F4C"/>
    <w:rsid w:val="00A12E5C"/>
    <w:rsid w:val="00A12F07"/>
    <w:rsid w:val="00A133E0"/>
    <w:rsid w:val="00A13677"/>
    <w:rsid w:val="00A13D79"/>
    <w:rsid w:val="00A14176"/>
    <w:rsid w:val="00A1451F"/>
    <w:rsid w:val="00A16896"/>
    <w:rsid w:val="00A16919"/>
    <w:rsid w:val="00A16D6B"/>
    <w:rsid w:val="00A16E80"/>
    <w:rsid w:val="00A2045E"/>
    <w:rsid w:val="00A20876"/>
    <w:rsid w:val="00A2141E"/>
    <w:rsid w:val="00A2196B"/>
    <w:rsid w:val="00A21B18"/>
    <w:rsid w:val="00A2202B"/>
    <w:rsid w:val="00A22DE7"/>
    <w:rsid w:val="00A22E83"/>
    <w:rsid w:val="00A23129"/>
    <w:rsid w:val="00A2391A"/>
    <w:rsid w:val="00A24136"/>
    <w:rsid w:val="00A245EF"/>
    <w:rsid w:val="00A2478E"/>
    <w:rsid w:val="00A24F46"/>
    <w:rsid w:val="00A25139"/>
    <w:rsid w:val="00A3004E"/>
    <w:rsid w:val="00A3007E"/>
    <w:rsid w:val="00A307F8"/>
    <w:rsid w:val="00A32480"/>
    <w:rsid w:val="00A32EED"/>
    <w:rsid w:val="00A33921"/>
    <w:rsid w:val="00A3415A"/>
    <w:rsid w:val="00A37AFB"/>
    <w:rsid w:val="00A409FB"/>
    <w:rsid w:val="00A414F0"/>
    <w:rsid w:val="00A41B8C"/>
    <w:rsid w:val="00A421C4"/>
    <w:rsid w:val="00A44879"/>
    <w:rsid w:val="00A44AEA"/>
    <w:rsid w:val="00A4535E"/>
    <w:rsid w:val="00A458CE"/>
    <w:rsid w:val="00A4661D"/>
    <w:rsid w:val="00A466D3"/>
    <w:rsid w:val="00A47B37"/>
    <w:rsid w:val="00A47C36"/>
    <w:rsid w:val="00A50F99"/>
    <w:rsid w:val="00A526D0"/>
    <w:rsid w:val="00A533CE"/>
    <w:rsid w:val="00A53C9C"/>
    <w:rsid w:val="00A54861"/>
    <w:rsid w:val="00A576EC"/>
    <w:rsid w:val="00A60FB5"/>
    <w:rsid w:val="00A61124"/>
    <w:rsid w:val="00A623DA"/>
    <w:rsid w:val="00A66F26"/>
    <w:rsid w:val="00A707FD"/>
    <w:rsid w:val="00A70935"/>
    <w:rsid w:val="00A71476"/>
    <w:rsid w:val="00A7172A"/>
    <w:rsid w:val="00A732DD"/>
    <w:rsid w:val="00A74A7F"/>
    <w:rsid w:val="00A75CFD"/>
    <w:rsid w:val="00A76CE9"/>
    <w:rsid w:val="00A7746C"/>
    <w:rsid w:val="00A77F00"/>
    <w:rsid w:val="00A8023A"/>
    <w:rsid w:val="00A80D52"/>
    <w:rsid w:val="00A816FE"/>
    <w:rsid w:val="00A81E11"/>
    <w:rsid w:val="00A84F64"/>
    <w:rsid w:val="00A85F75"/>
    <w:rsid w:val="00A8724D"/>
    <w:rsid w:val="00A91636"/>
    <w:rsid w:val="00A920E2"/>
    <w:rsid w:val="00A92374"/>
    <w:rsid w:val="00A92A24"/>
    <w:rsid w:val="00A93CB8"/>
    <w:rsid w:val="00A951ED"/>
    <w:rsid w:val="00A96221"/>
    <w:rsid w:val="00AA09A5"/>
    <w:rsid w:val="00AA2245"/>
    <w:rsid w:val="00AA2B0E"/>
    <w:rsid w:val="00AA30B8"/>
    <w:rsid w:val="00AA3E13"/>
    <w:rsid w:val="00AA43E2"/>
    <w:rsid w:val="00AA4563"/>
    <w:rsid w:val="00AA4857"/>
    <w:rsid w:val="00AA5D0F"/>
    <w:rsid w:val="00AA5D31"/>
    <w:rsid w:val="00AA60EE"/>
    <w:rsid w:val="00AA6639"/>
    <w:rsid w:val="00AA7A76"/>
    <w:rsid w:val="00AB1D53"/>
    <w:rsid w:val="00AB21ED"/>
    <w:rsid w:val="00AB3000"/>
    <w:rsid w:val="00AB585F"/>
    <w:rsid w:val="00AB5AFF"/>
    <w:rsid w:val="00AB6CAC"/>
    <w:rsid w:val="00AB7904"/>
    <w:rsid w:val="00AC2D81"/>
    <w:rsid w:val="00AC2E13"/>
    <w:rsid w:val="00AC4C29"/>
    <w:rsid w:val="00AC577F"/>
    <w:rsid w:val="00AC5EF0"/>
    <w:rsid w:val="00AD339A"/>
    <w:rsid w:val="00AD5605"/>
    <w:rsid w:val="00AD6499"/>
    <w:rsid w:val="00AE00E3"/>
    <w:rsid w:val="00AE03FD"/>
    <w:rsid w:val="00AE053A"/>
    <w:rsid w:val="00AE090E"/>
    <w:rsid w:val="00AE0E65"/>
    <w:rsid w:val="00AE0FA4"/>
    <w:rsid w:val="00AE2418"/>
    <w:rsid w:val="00AE46EB"/>
    <w:rsid w:val="00AE595D"/>
    <w:rsid w:val="00AE5E82"/>
    <w:rsid w:val="00AE5F01"/>
    <w:rsid w:val="00AE6204"/>
    <w:rsid w:val="00AE67C4"/>
    <w:rsid w:val="00AF14EC"/>
    <w:rsid w:val="00AF276F"/>
    <w:rsid w:val="00AF2A42"/>
    <w:rsid w:val="00AF3589"/>
    <w:rsid w:val="00AF39DB"/>
    <w:rsid w:val="00AF4790"/>
    <w:rsid w:val="00AF481A"/>
    <w:rsid w:val="00AF58DE"/>
    <w:rsid w:val="00AF5E7A"/>
    <w:rsid w:val="00B00C45"/>
    <w:rsid w:val="00B01044"/>
    <w:rsid w:val="00B017BA"/>
    <w:rsid w:val="00B04065"/>
    <w:rsid w:val="00B04BC8"/>
    <w:rsid w:val="00B05729"/>
    <w:rsid w:val="00B05D75"/>
    <w:rsid w:val="00B05E21"/>
    <w:rsid w:val="00B060AD"/>
    <w:rsid w:val="00B06148"/>
    <w:rsid w:val="00B0660E"/>
    <w:rsid w:val="00B07688"/>
    <w:rsid w:val="00B07E38"/>
    <w:rsid w:val="00B10D65"/>
    <w:rsid w:val="00B11E3D"/>
    <w:rsid w:val="00B12DDD"/>
    <w:rsid w:val="00B12FBF"/>
    <w:rsid w:val="00B13F1F"/>
    <w:rsid w:val="00B14165"/>
    <w:rsid w:val="00B1552C"/>
    <w:rsid w:val="00B156E2"/>
    <w:rsid w:val="00B15966"/>
    <w:rsid w:val="00B2035F"/>
    <w:rsid w:val="00B203E9"/>
    <w:rsid w:val="00B22D59"/>
    <w:rsid w:val="00B2414C"/>
    <w:rsid w:val="00B253DC"/>
    <w:rsid w:val="00B2562C"/>
    <w:rsid w:val="00B25DE3"/>
    <w:rsid w:val="00B263CE"/>
    <w:rsid w:val="00B264B4"/>
    <w:rsid w:val="00B26B67"/>
    <w:rsid w:val="00B26E6B"/>
    <w:rsid w:val="00B305B0"/>
    <w:rsid w:val="00B30BBF"/>
    <w:rsid w:val="00B3167E"/>
    <w:rsid w:val="00B337E7"/>
    <w:rsid w:val="00B34952"/>
    <w:rsid w:val="00B34E6E"/>
    <w:rsid w:val="00B34EF2"/>
    <w:rsid w:val="00B34F55"/>
    <w:rsid w:val="00B356D1"/>
    <w:rsid w:val="00B3673F"/>
    <w:rsid w:val="00B40141"/>
    <w:rsid w:val="00B40359"/>
    <w:rsid w:val="00B4116F"/>
    <w:rsid w:val="00B415BD"/>
    <w:rsid w:val="00B41B44"/>
    <w:rsid w:val="00B41B5A"/>
    <w:rsid w:val="00B41F04"/>
    <w:rsid w:val="00B4372F"/>
    <w:rsid w:val="00B439C1"/>
    <w:rsid w:val="00B44927"/>
    <w:rsid w:val="00B4589A"/>
    <w:rsid w:val="00B45ED0"/>
    <w:rsid w:val="00B46119"/>
    <w:rsid w:val="00B476B2"/>
    <w:rsid w:val="00B47FB3"/>
    <w:rsid w:val="00B51B04"/>
    <w:rsid w:val="00B52617"/>
    <w:rsid w:val="00B5360E"/>
    <w:rsid w:val="00B54DE0"/>
    <w:rsid w:val="00B557FA"/>
    <w:rsid w:val="00B55892"/>
    <w:rsid w:val="00B56872"/>
    <w:rsid w:val="00B577FF"/>
    <w:rsid w:val="00B57B03"/>
    <w:rsid w:val="00B60376"/>
    <w:rsid w:val="00B61B27"/>
    <w:rsid w:val="00B62068"/>
    <w:rsid w:val="00B64A7D"/>
    <w:rsid w:val="00B67A49"/>
    <w:rsid w:val="00B7076E"/>
    <w:rsid w:val="00B70D89"/>
    <w:rsid w:val="00B72B9D"/>
    <w:rsid w:val="00B72C7F"/>
    <w:rsid w:val="00B7372B"/>
    <w:rsid w:val="00B73FAF"/>
    <w:rsid w:val="00B773D3"/>
    <w:rsid w:val="00B8003E"/>
    <w:rsid w:val="00B80302"/>
    <w:rsid w:val="00B83046"/>
    <w:rsid w:val="00B830F6"/>
    <w:rsid w:val="00B837C7"/>
    <w:rsid w:val="00B83BA4"/>
    <w:rsid w:val="00B840AF"/>
    <w:rsid w:val="00B8461C"/>
    <w:rsid w:val="00B847D0"/>
    <w:rsid w:val="00B85F91"/>
    <w:rsid w:val="00B87E37"/>
    <w:rsid w:val="00B87FDF"/>
    <w:rsid w:val="00B918E7"/>
    <w:rsid w:val="00B91EAA"/>
    <w:rsid w:val="00B9211E"/>
    <w:rsid w:val="00B9230D"/>
    <w:rsid w:val="00B92F48"/>
    <w:rsid w:val="00B93265"/>
    <w:rsid w:val="00B934D8"/>
    <w:rsid w:val="00B941D2"/>
    <w:rsid w:val="00B941F2"/>
    <w:rsid w:val="00B945AB"/>
    <w:rsid w:val="00B951E6"/>
    <w:rsid w:val="00B957D2"/>
    <w:rsid w:val="00B97248"/>
    <w:rsid w:val="00BA0030"/>
    <w:rsid w:val="00BA0172"/>
    <w:rsid w:val="00BA0C95"/>
    <w:rsid w:val="00BA1F7C"/>
    <w:rsid w:val="00BA222D"/>
    <w:rsid w:val="00BA2856"/>
    <w:rsid w:val="00BA38EA"/>
    <w:rsid w:val="00BA4A86"/>
    <w:rsid w:val="00BA6D53"/>
    <w:rsid w:val="00BA7203"/>
    <w:rsid w:val="00BA7A57"/>
    <w:rsid w:val="00BB0301"/>
    <w:rsid w:val="00BB0FB6"/>
    <w:rsid w:val="00BB11DE"/>
    <w:rsid w:val="00BB1A85"/>
    <w:rsid w:val="00BB2D38"/>
    <w:rsid w:val="00BB3C1E"/>
    <w:rsid w:val="00BB3F30"/>
    <w:rsid w:val="00BB4029"/>
    <w:rsid w:val="00BB4399"/>
    <w:rsid w:val="00BB4585"/>
    <w:rsid w:val="00BB5604"/>
    <w:rsid w:val="00BB5D08"/>
    <w:rsid w:val="00BC0535"/>
    <w:rsid w:val="00BC13EC"/>
    <w:rsid w:val="00BC1B3B"/>
    <w:rsid w:val="00BC28EE"/>
    <w:rsid w:val="00BC3586"/>
    <w:rsid w:val="00BC3B95"/>
    <w:rsid w:val="00BC40CC"/>
    <w:rsid w:val="00BC4C3A"/>
    <w:rsid w:val="00BC65DF"/>
    <w:rsid w:val="00BC6A6B"/>
    <w:rsid w:val="00BC6D6A"/>
    <w:rsid w:val="00BC6D79"/>
    <w:rsid w:val="00BC735E"/>
    <w:rsid w:val="00BC755C"/>
    <w:rsid w:val="00BC77EF"/>
    <w:rsid w:val="00BC7C8C"/>
    <w:rsid w:val="00BD07CF"/>
    <w:rsid w:val="00BD0D55"/>
    <w:rsid w:val="00BD1EF1"/>
    <w:rsid w:val="00BD22B2"/>
    <w:rsid w:val="00BD306E"/>
    <w:rsid w:val="00BD5E56"/>
    <w:rsid w:val="00BD6BB6"/>
    <w:rsid w:val="00BD7145"/>
    <w:rsid w:val="00BD7B55"/>
    <w:rsid w:val="00BE0E72"/>
    <w:rsid w:val="00BE167F"/>
    <w:rsid w:val="00BE2070"/>
    <w:rsid w:val="00BE25B7"/>
    <w:rsid w:val="00BE2954"/>
    <w:rsid w:val="00BE2CD2"/>
    <w:rsid w:val="00BE3E5D"/>
    <w:rsid w:val="00BE4A08"/>
    <w:rsid w:val="00BE5F43"/>
    <w:rsid w:val="00BE5FB5"/>
    <w:rsid w:val="00BE6B0A"/>
    <w:rsid w:val="00BE6DF8"/>
    <w:rsid w:val="00BE750E"/>
    <w:rsid w:val="00BE75E4"/>
    <w:rsid w:val="00BF0E11"/>
    <w:rsid w:val="00BF24CD"/>
    <w:rsid w:val="00BF27A2"/>
    <w:rsid w:val="00BF3048"/>
    <w:rsid w:val="00BF31A7"/>
    <w:rsid w:val="00BF3370"/>
    <w:rsid w:val="00BF3A41"/>
    <w:rsid w:val="00BF4635"/>
    <w:rsid w:val="00BF570B"/>
    <w:rsid w:val="00BF68AA"/>
    <w:rsid w:val="00BF75DA"/>
    <w:rsid w:val="00C0161D"/>
    <w:rsid w:val="00C01C0D"/>
    <w:rsid w:val="00C030DE"/>
    <w:rsid w:val="00C033A0"/>
    <w:rsid w:val="00C05F70"/>
    <w:rsid w:val="00C061FE"/>
    <w:rsid w:val="00C06806"/>
    <w:rsid w:val="00C06D80"/>
    <w:rsid w:val="00C06EAC"/>
    <w:rsid w:val="00C07239"/>
    <w:rsid w:val="00C07898"/>
    <w:rsid w:val="00C07DC1"/>
    <w:rsid w:val="00C1045F"/>
    <w:rsid w:val="00C10B06"/>
    <w:rsid w:val="00C1187B"/>
    <w:rsid w:val="00C125E7"/>
    <w:rsid w:val="00C13A96"/>
    <w:rsid w:val="00C13E24"/>
    <w:rsid w:val="00C142DD"/>
    <w:rsid w:val="00C16B49"/>
    <w:rsid w:val="00C16E9B"/>
    <w:rsid w:val="00C20828"/>
    <w:rsid w:val="00C21206"/>
    <w:rsid w:val="00C215AB"/>
    <w:rsid w:val="00C21CF2"/>
    <w:rsid w:val="00C245CC"/>
    <w:rsid w:val="00C24EE3"/>
    <w:rsid w:val="00C25BE9"/>
    <w:rsid w:val="00C2620B"/>
    <w:rsid w:val="00C26B24"/>
    <w:rsid w:val="00C3071A"/>
    <w:rsid w:val="00C311EF"/>
    <w:rsid w:val="00C319EE"/>
    <w:rsid w:val="00C31E87"/>
    <w:rsid w:val="00C3255F"/>
    <w:rsid w:val="00C32BD4"/>
    <w:rsid w:val="00C342BE"/>
    <w:rsid w:val="00C347C1"/>
    <w:rsid w:val="00C363F6"/>
    <w:rsid w:val="00C36401"/>
    <w:rsid w:val="00C369E7"/>
    <w:rsid w:val="00C36BA5"/>
    <w:rsid w:val="00C37083"/>
    <w:rsid w:val="00C37B9F"/>
    <w:rsid w:val="00C4016A"/>
    <w:rsid w:val="00C42DD7"/>
    <w:rsid w:val="00C42FE6"/>
    <w:rsid w:val="00C43590"/>
    <w:rsid w:val="00C45986"/>
    <w:rsid w:val="00C500A2"/>
    <w:rsid w:val="00C5089B"/>
    <w:rsid w:val="00C50B27"/>
    <w:rsid w:val="00C50DB8"/>
    <w:rsid w:val="00C51A9A"/>
    <w:rsid w:val="00C52BAA"/>
    <w:rsid w:val="00C537E5"/>
    <w:rsid w:val="00C57B68"/>
    <w:rsid w:val="00C61E5B"/>
    <w:rsid w:val="00C6255D"/>
    <w:rsid w:val="00C6255E"/>
    <w:rsid w:val="00C640F7"/>
    <w:rsid w:val="00C647E5"/>
    <w:rsid w:val="00C64B57"/>
    <w:rsid w:val="00C64C1A"/>
    <w:rsid w:val="00C658C6"/>
    <w:rsid w:val="00C65F75"/>
    <w:rsid w:val="00C66682"/>
    <w:rsid w:val="00C66FA7"/>
    <w:rsid w:val="00C6739F"/>
    <w:rsid w:val="00C70139"/>
    <w:rsid w:val="00C71033"/>
    <w:rsid w:val="00C740BF"/>
    <w:rsid w:val="00C7423D"/>
    <w:rsid w:val="00C74B5E"/>
    <w:rsid w:val="00C74C57"/>
    <w:rsid w:val="00C75500"/>
    <w:rsid w:val="00C75592"/>
    <w:rsid w:val="00C75AE7"/>
    <w:rsid w:val="00C779EF"/>
    <w:rsid w:val="00C80556"/>
    <w:rsid w:val="00C84883"/>
    <w:rsid w:val="00C84E75"/>
    <w:rsid w:val="00C85F5C"/>
    <w:rsid w:val="00C8620B"/>
    <w:rsid w:val="00C8669F"/>
    <w:rsid w:val="00C8678C"/>
    <w:rsid w:val="00C86BBC"/>
    <w:rsid w:val="00C86E21"/>
    <w:rsid w:val="00C87537"/>
    <w:rsid w:val="00C90661"/>
    <w:rsid w:val="00C9083F"/>
    <w:rsid w:val="00C92538"/>
    <w:rsid w:val="00C945F6"/>
    <w:rsid w:val="00C957A5"/>
    <w:rsid w:val="00C969B5"/>
    <w:rsid w:val="00C96B98"/>
    <w:rsid w:val="00CA0C2B"/>
    <w:rsid w:val="00CA1324"/>
    <w:rsid w:val="00CA18DA"/>
    <w:rsid w:val="00CA20BC"/>
    <w:rsid w:val="00CA26B0"/>
    <w:rsid w:val="00CA2DE1"/>
    <w:rsid w:val="00CA36C2"/>
    <w:rsid w:val="00CA73A0"/>
    <w:rsid w:val="00CB022B"/>
    <w:rsid w:val="00CB172C"/>
    <w:rsid w:val="00CB2133"/>
    <w:rsid w:val="00CB2378"/>
    <w:rsid w:val="00CB2E57"/>
    <w:rsid w:val="00CB2EF9"/>
    <w:rsid w:val="00CB3185"/>
    <w:rsid w:val="00CB3878"/>
    <w:rsid w:val="00CB4A25"/>
    <w:rsid w:val="00CB5871"/>
    <w:rsid w:val="00CB633A"/>
    <w:rsid w:val="00CC18DA"/>
    <w:rsid w:val="00CC3733"/>
    <w:rsid w:val="00CC40C1"/>
    <w:rsid w:val="00CC46ED"/>
    <w:rsid w:val="00CC4F62"/>
    <w:rsid w:val="00CC58EF"/>
    <w:rsid w:val="00CC5DD6"/>
    <w:rsid w:val="00CC6AF2"/>
    <w:rsid w:val="00CC756A"/>
    <w:rsid w:val="00CD05FF"/>
    <w:rsid w:val="00CD1432"/>
    <w:rsid w:val="00CD1535"/>
    <w:rsid w:val="00CD2208"/>
    <w:rsid w:val="00CD22C5"/>
    <w:rsid w:val="00CD4181"/>
    <w:rsid w:val="00CD4474"/>
    <w:rsid w:val="00CD511E"/>
    <w:rsid w:val="00CD553B"/>
    <w:rsid w:val="00CD6FA6"/>
    <w:rsid w:val="00CE01EE"/>
    <w:rsid w:val="00CE0844"/>
    <w:rsid w:val="00CE08E0"/>
    <w:rsid w:val="00CE26CC"/>
    <w:rsid w:val="00CE2938"/>
    <w:rsid w:val="00CE34B7"/>
    <w:rsid w:val="00CE36C5"/>
    <w:rsid w:val="00CE37E9"/>
    <w:rsid w:val="00CE4A4F"/>
    <w:rsid w:val="00CE5F63"/>
    <w:rsid w:val="00CE6077"/>
    <w:rsid w:val="00CE719C"/>
    <w:rsid w:val="00CE7388"/>
    <w:rsid w:val="00CE76BF"/>
    <w:rsid w:val="00CF0F06"/>
    <w:rsid w:val="00CF12E0"/>
    <w:rsid w:val="00CF1871"/>
    <w:rsid w:val="00CF23D7"/>
    <w:rsid w:val="00CF40C7"/>
    <w:rsid w:val="00CF6A1C"/>
    <w:rsid w:val="00CF6D25"/>
    <w:rsid w:val="00CF7491"/>
    <w:rsid w:val="00CF785E"/>
    <w:rsid w:val="00D003AF"/>
    <w:rsid w:val="00D01051"/>
    <w:rsid w:val="00D01699"/>
    <w:rsid w:val="00D02002"/>
    <w:rsid w:val="00D02DB6"/>
    <w:rsid w:val="00D05147"/>
    <w:rsid w:val="00D0645A"/>
    <w:rsid w:val="00D06509"/>
    <w:rsid w:val="00D065E5"/>
    <w:rsid w:val="00D0784A"/>
    <w:rsid w:val="00D103ED"/>
    <w:rsid w:val="00D1142E"/>
    <w:rsid w:val="00D12B12"/>
    <w:rsid w:val="00D12C93"/>
    <w:rsid w:val="00D12D3B"/>
    <w:rsid w:val="00D1496B"/>
    <w:rsid w:val="00D16FCF"/>
    <w:rsid w:val="00D17049"/>
    <w:rsid w:val="00D208DC"/>
    <w:rsid w:val="00D2234C"/>
    <w:rsid w:val="00D23F09"/>
    <w:rsid w:val="00D248FB"/>
    <w:rsid w:val="00D25B9E"/>
    <w:rsid w:val="00D26977"/>
    <w:rsid w:val="00D27350"/>
    <w:rsid w:val="00D30A4F"/>
    <w:rsid w:val="00D31A3D"/>
    <w:rsid w:val="00D3233C"/>
    <w:rsid w:val="00D323CA"/>
    <w:rsid w:val="00D328B5"/>
    <w:rsid w:val="00D341DB"/>
    <w:rsid w:val="00D36AEB"/>
    <w:rsid w:val="00D36EA4"/>
    <w:rsid w:val="00D37116"/>
    <w:rsid w:val="00D371CE"/>
    <w:rsid w:val="00D3768C"/>
    <w:rsid w:val="00D37E28"/>
    <w:rsid w:val="00D41211"/>
    <w:rsid w:val="00D42912"/>
    <w:rsid w:val="00D42941"/>
    <w:rsid w:val="00D4386D"/>
    <w:rsid w:val="00D43F9D"/>
    <w:rsid w:val="00D4413C"/>
    <w:rsid w:val="00D4487B"/>
    <w:rsid w:val="00D47ACB"/>
    <w:rsid w:val="00D51AB0"/>
    <w:rsid w:val="00D51F10"/>
    <w:rsid w:val="00D5422F"/>
    <w:rsid w:val="00D57B66"/>
    <w:rsid w:val="00D607F3"/>
    <w:rsid w:val="00D6082D"/>
    <w:rsid w:val="00D63156"/>
    <w:rsid w:val="00D63CCD"/>
    <w:rsid w:val="00D63D6B"/>
    <w:rsid w:val="00D64FAF"/>
    <w:rsid w:val="00D64FD2"/>
    <w:rsid w:val="00D6595A"/>
    <w:rsid w:val="00D65C86"/>
    <w:rsid w:val="00D66600"/>
    <w:rsid w:val="00D70B5C"/>
    <w:rsid w:val="00D715D0"/>
    <w:rsid w:val="00D7160E"/>
    <w:rsid w:val="00D71E5A"/>
    <w:rsid w:val="00D71F18"/>
    <w:rsid w:val="00D73588"/>
    <w:rsid w:val="00D7365F"/>
    <w:rsid w:val="00D76312"/>
    <w:rsid w:val="00D772DB"/>
    <w:rsid w:val="00D7789E"/>
    <w:rsid w:val="00D800AE"/>
    <w:rsid w:val="00D810E2"/>
    <w:rsid w:val="00D82252"/>
    <w:rsid w:val="00D82774"/>
    <w:rsid w:val="00D82E5F"/>
    <w:rsid w:val="00D8344B"/>
    <w:rsid w:val="00D84683"/>
    <w:rsid w:val="00D84F90"/>
    <w:rsid w:val="00D869DF"/>
    <w:rsid w:val="00D86ED9"/>
    <w:rsid w:val="00D8715D"/>
    <w:rsid w:val="00D8769E"/>
    <w:rsid w:val="00D87D13"/>
    <w:rsid w:val="00D91082"/>
    <w:rsid w:val="00D91D0E"/>
    <w:rsid w:val="00D92BA1"/>
    <w:rsid w:val="00D9376A"/>
    <w:rsid w:val="00D93784"/>
    <w:rsid w:val="00D93DD5"/>
    <w:rsid w:val="00D95E9D"/>
    <w:rsid w:val="00D96AA4"/>
    <w:rsid w:val="00D97D74"/>
    <w:rsid w:val="00DA1903"/>
    <w:rsid w:val="00DA19BA"/>
    <w:rsid w:val="00DA2138"/>
    <w:rsid w:val="00DA216C"/>
    <w:rsid w:val="00DA2541"/>
    <w:rsid w:val="00DA2EFA"/>
    <w:rsid w:val="00DA4F4D"/>
    <w:rsid w:val="00DA5FF3"/>
    <w:rsid w:val="00DA62A4"/>
    <w:rsid w:val="00DA6E49"/>
    <w:rsid w:val="00DA7BAF"/>
    <w:rsid w:val="00DB0229"/>
    <w:rsid w:val="00DB0394"/>
    <w:rsid w:val="00DB05BB"/>
    <w:rsid w:val="00DB1346"/>
    <w:rsid w:val="00DB1BD9"/>
    <w:rsid w:val="00DB216D"/>
    <w:rsid w:val="00DB2A60"/>
    <w:rsid w:val="00DB2D47"/>
    <w:rsid w:val="00DB2EE1"/>
    <w:rsid w:val="00DB3D03"/>
    <w:rsid w:val="00DB3DD2"/>
    <w:rsid w:val="00DB40BC"/>
    <w:rsid w:val="00DB45A1"/>
    <w:rsid w:val="00DB67A5"/>
    <w:rsid w:val="00DC171A"/>
    <w:rsid w:val="00DC1884"/>
    <w:rsid w:val="00DC1CA1"/>
    <w:rsid w:val="00DC1F1F"/>
    <w:rsid w:val="00DC3BDF"/>
    <w:rsid w:val="00DC4D80"/>
    <w:rsid w:val="00DC562B"/>
    <w:rsid w:val="00DC5D74"/>
    <w:rsid w:val="00DC63F5"/>
    <w:rsid w:val="00DC709E"/>
    <w:rsid w:val="00DC7CBA"/>
    <w:rsid w:val="00DD0111"/>
    <w:rsid w:val="00DD1A29"/>
    <w:rsid w:val="00DD1E91"/>
    <w:rsid w:val="00DD2B3D"/>
    <w:rsid w:val="00DD30C3"/>
    <w:rsid w:val="00DD3820"/>
    <w:rsid w:val="00DD3A64"/>
    <w:rsid w:val="00DD49D5"/>
    <w:rsid w:val="00DD5AC5"/>
    <w:rsid w:val="00DD65D4"/>
    <w:rsid w:val="00DD664D"/>
    <w:rsid w:val="00DD6ADB"/>
    <w:rsid w:val="00DD6C7A"/>
    <w:rsid w:val="00DD715A"/>
    <w:rsid w:val="00DD743C"/>
    <w:rsid w:val="00DE03C7"/>
    <w:rsid w:val="00DE03EB"/>
    <w:rsid w:val="00DE0529"/>
    <w:rsid w:val="00DE0B51"/>
    <w:rsid w:val="00DE13CE"/>
    <w:rsid w:val="00DE1F1D"/>
    <w:rsid w:val="00DE2AA5"/>
    <w:rsid w:val="00DE3339"/>
    <w:rsid w:val="00DE55D7"/>
    <w:rsid w:val="00DE75DF"/>
    <w:rsid w:val="00DE7628"/>
    <w:rsid w:val="00DF33FA"/>
    <w:rsid w:val="00DF3473"/>
    <w:rsid w:val="00DF3E9D"/>
    <w:rsid w:val="00DF58C7"/>
    <w:rsid w:val="00DF66A6"/>
    <w:rsid w:val="00DF766B"/>
    <w:rsid w:val="00DF79D6"/>
    <w:rsid w:val="00DF7AE3"/>
    <w:rsid w:val="00E00D92"/>
    <w:rsid w:val="00E01055"/>
    <w:rsid w:val="00E0291C"/>
    <w:rsid w:val="00E02C15"/>
    <w:rsid w:val="00E02D6D"/>
    <w:rsid w:val="00E03756"/>
    <w:rsid w:val="00E03C34"/>
    <w:rsid w:val="00E04CE9"/>
    <w:rsid w:val="00E05347"/>
    <w:rsid w:val="00E07D3F"/>
    <w:rsid w:val="00E11377"/>
    <w:rsid w:val="00E12BAD"/>
    <w:rsid w:val="00E13020"/>
    <w:rsid w:val="00E13630"/>
    <w:rsid w:val="00E13E2D"/>
    <w:rsid w:val="00E1725A"/>
    <w:rsid w:val="00E207F6"/>
    <w:rsid w:val="00E21785"/>
    <w:rsid w:val="00E22389"/>
    <w:rsid w:val="00E2545C"/>
    <w:rsid w:val="00E26216"/>
    <w:rsid w:val="00E30F5C"/>
    <w:rsid w:val="00E310B0"/>
    <w:rsid w:val="00E322B9"/>
    <w:rsid w:val="00E32584"/>
    <w:rsid w:val="00E329BE"/>
    <w:rsid w:val="00E32A46"/>
    <w:rsid w:val="00E32C95"/>
    <w:rsid w:val="00E33B47"/>
    <w:rsid w:val="00E34059"/>
    <w:rsid w:val="00E35039"/>
    <w:rsid w:val="00E35D96"/>
    <w:rsid w:val="00E373FE"/>
    <w:rsid w:val="00E401C8"/>
    <w:rsid w:val="00E40570"/>
    <w:rsid w:val="00E4086F"/>
    <w:rsid w:val="00E410ED"/>
    <w:rsid w:val="00E41F76"/>
    <w:rsid w:val="00E421A6"/>
    <w:rsid w:val="00E42326"/>
    <w:rsid w:val="00E43189"/>
    <w:rsid w:val="00E4320D"/>
    <w:rsid w:val="00E444A7"/>
    <w:rsid w:val="00E45766"/>
    <w:rsid w:val="00E471FE"/>
    <w:rsid w:val="00E476BE"/>
    <w:rsid w:val="00E47A2D"/>
    <w:rsid w:val="00E5020E"/>
    <w:rsid w:val="00E55118"/>
    <w:rsid w:val="00E5558A"/>
    <w:rsid w:val="00E557C3"/>
    <w:rsid w:val="00E559B4"/>
    <w:rsid w:val="00E56002"/>
    <w:rsid w:val="00E57AB3"/>
    <w:rsid w:val="00E57D67"/>
    <w:rsid w:val="00E6011C"/>
    <w:rsid w:val="00E60E85"/>
    <w:rsid w:val="00E60F3E"/>
    <w:rsid w:val="00E632F4"/>
    <w:rsid w:val="00E64D3A"/>
    <w:rsid w:val="00E6557E"/>
    <w:rsid w:val="00E66FFF"/>
    <w:rsid w:val="00E70735"/>
    <w:rsid w:val="00E7129A"/>
    <w:rsid w:val="00E714D4"/>
    <w:rsid w:val="00E73165"/>
    <w:rsid w:val="00E750C5"/>
    <w:rsid w:val="00E761EA"/>
    <w:rsid w:val="00E762C1"/>
    <w:rsid w:val="00E76697"/>
    <w:rsid w:val="00E777A0"/>
    <w:rsid w:val="00E77955"/>
    <w:rsid w:val="00E80322"/>
    <w:rsid w:val="00E8091A"/>
    <w:rsid w:val="00E817CE"/>
    <w:rsid w:val="00E828A0"/>
    <w:rsid w:val="00E831DB"/>
    <w:rsid w:val="00E8351C"/>
    <w:rsid w:val="00E83B5B"/>
    <w:rsid w:val="00E83D82"/>
    <w:rsid w:val="00E84430"/>
    <w:rsid w:val="00E85102"/>
    <w:rsid w:val="00E8544B"/>
    <w:rsid w:val="00E862D0"/>
    <w:rsid w:val="00E875A0"/>
    <w:rsid w:val="00E90110"/>
    <w:rsid w:val="00E90BE4"/>
    <w:rsid w:val="00E911A8"/>
    <w:rsid w:val="00E911CF"/>
    <w:rsid w:val="00E92404"/>
    <w:rsid w:val="00E92A68"/>
    <w:rsid w:val="00E934FC"/>
    <w:rsid w:val="00E93E61"/>
    <w:rsid w:val="00E94293"/>
    <w:rsid w:val="00E96023"/>
    <w:rsid w:val="00E96060"/>
    <w:rsid w:val="00E967AE"/>
    <w:rsid w:val="00E97342"/>
    <w:rsid w:val="00E974AA"/>
    <w:rsid w:val="00E97828"/>
    <w:rsid w:val="00EA0084"/>
    <w:rsid w:val="00EA0451"/>
    <w:rsid w:val="00EA04AD"/>
    <w:rsid w:val="00EA21B7"/>
    <w:rsid w:val="00EA3AD0"/>
    <w:rsid w:val="00EA4B27"/>
    <w:rsid w:val="00EA5067"/>
    <w:rsid w:val="00EA564C"/>
    <w:rsid w:val="00EA5E27"/>
    <w:rsid w:val="00EA6678"/>
    <w:rsid w:val="00EA7375"/>
    <w:rsid w:val="00EA770D"/>
    <w:rsid w:val="00EA7FD7"/>
    <w:rsid w:val="00EB01BD"/>
    <w:rsid w:val="00EB16C0"/>
    <w:rsid w:val="00EB2EE3"/>
    <w:rsid w:val="00EB3123"/>
    <w:rsid w:val="00EB355A"/>
    <w:rsid w:val="00EB55B1"/>
    <w:rsid w:val="00EB57E0"/>
    <w:rsid w:val="00EB6CF2"/>
    <w:rsid w:val="00EB77EE"/>
    <w:rsid w:val="00EC003B"/>
    <w:rsid w:val="00EC1BA6"/>
    <w:rsid w:val="00EC27E6"/>
    <w:rsid w:val="00EC2B8A"/>
    <w:rsid w:val="00EC2BC4"/>
    <w:rsid w:val="00EC2E0A"/>
    <w:rsid w:val="00EC3BED"/>
    <w:rsid w:val="00EC4751"/>
    <w:rsid w:val="00EC52DD"/>
    <w:rsid w:val="00EC71ED"/>
    <w:rsid w:val="00ED03F4"/>
    <w:rsid w:val="00ED0D4B"/>
    <w:rsid w:val="00ED13D2"/>
    <w:rsid w:val="00ED1507"/>
    <w:rsid w:val="00ED1557"/>
    <w:rsid w:val="00ED2A85"/>
    <w:rsid w:val="00ED3CDD"/>
    <w:rsid w:val="00ED482F"/>
    <w:rsid w:val="00ED4BA9"/>
    <w:rsid w:val="00ED4C1A"/>
    <w:rsid w:val="00ED4CB0"/>
    <w:rsid w:val="00ED6A39"/>
    <w:rsid w:val="00ED7199"/>
    <w:rsid w:val="00ED76BD"/>
    <w:rsid w:val="00ED78D3"/>
    <w:rsid w:val="00EE3669"/>
    <w:rsid w:val="00EE3B88"/>
    <w:rsid w:val="00EE40A1"/>
    <w:rsid w:val="00EE4430"/>
    <w:rsid w:val="00EE473B"/>
    <w:rsid w:val="00EE4916"/>
    <w:rsid w:val="00EE4DAB"/>
    <w:rsid w:val="00EE4EF4"/>
    <w:rsid w:val="00EE5568"/>
    <w:rsid w:val="00EE7F2F"/>
    <w:rsid w:val="00EF0D92"/>
    <w:rsid w:val="00EF1A9D"/>
    <w:rsid w:val="00EF24FF"/>
    <w:rsid w:val="00EF2B62"/>
    <w:rsid w:val="00EF30E8"/>
    <w:rsid w:val="00EF33D5"/>
    <w:rsid w:val="00EF4CEE"/>
    <w:rsid w:val="00EF5A64"/>
    <w:rsid w:val="00EF6C7A"/>
    <w:rsid w:val="00EF71CE"/>
    <w:rsid w:val="00EF7BE9"/>
    <w:rsid w:val="00EF7E08"/>
    <w:rsid w:val="00F0091D"/>
    <w:rsid w:val="00F00B2E"/>
    <w:rsid w:val="00F00D7F"/>
    <w:rsid w:val="00F0154A"/>
    <w:rsid w:val="00F01B25"/>
    <w:rsid w:val="00F01D20"/>
    <w:rsid w:val="00F01EA4"/>
    <w:rsid w:val="00F02900"/>
    <w:rsid w:val="00F02BF3"/>
    <w:rsid w:val="00F0314F"/>
    <w:rsid w:val="00F03BC8"/>
    <w:rsid w:val="00F03CCE"/>
    <w:rsid w:val="00F03E38"/>
    <w:rsid w:val="00F043D3"/>
    <w:rsid w:val="00F04BC0"/>
    <w:rsid w:val="00F04F81"/>
    <w:rsid w:val="00F0539A"/>
    <w:rsid w:val="00F067BE"/>
    <w:rsid w:val="00F06F08"/>
    <w:rsid w:val="00F072FA"/>
    <w:rsid w:val="00F07D76"/>
    <w:rsid w:val="00F07F82"/>
    <w:rsid w:val="00F10186"/>
    <w:rsid w:val="00F1044D"/>
    <w:rsid w:val="00F10D49"/>
    <w:rsid w:val="00F129D2"/>
    <w:rsid w:val="00F12D64"/>
    <w:rsid w:val="00F13232"/>
    <w:rsid w:val="00F132B9"/>
    <w:rsid w:val="00F13490"/>
    <w:rsid w:val="00F14763"/>
    <w:rsid w:val="00F14A17"/>
    <w:rsid w:val="00F1524D"/>
    <w:rsid w:val="00F15A24"/>
    <w:rsid w:val="00F15DAD"/>
    <w:rsid w:val="00F1600E"/>
    <w:rsid w:val="00F1643C"/>
    <w:rsid w:val="00F16554"/>
    <w:rsid w:val="00F1697A"/>
    <w:rsid w:val="00F16FE7"/>
    <w:rsid w:val="00F17720"/>
    <w:rsid w:val="00F17C77"/>
    <w:rsid w:val="00F23285"/>
    <w:rsid w:val="00F248A4"/>
    <w:rsid w:val="00F27366"/>
    <w:rsid w:val="00F27496"/>
    <w:rsid w:val="00F31917"/>
    <w:rsid w:val="00F330EB"/>
    <w:rsid w:val="00F33F44"/>
    <w:rsid w:val="00F342F2"/>
    <w:rsid w:val="00F34564"/>
    <w:rsid w:val="00F35327"/>
    <w:rsid w:val="00F36D6C"/>
    <w:rsid w:val="00F372E3"/>
    <w:rsid w:val="00F4073F"/>
    <w:rsid w:val="00F40AAF"/>
    <w:rsid w:val="00F40C74"/>
    <w:rsid w:val="00F41533"/>
    <w:rsid w:val="00F419D4"/>
    <w:rsid w:val="00F41E11"/>
    <w:rsid w:val="00F41E22"/>
    <w:rsid w:val="00F42C51"/>
    <w:rsid w:val="00F43CB3"/>
    <w:rsid w:val="00F4456E"/>
    <w:rsid w:val="00F45CAB"/>
    <w:rsid w:val="00F4600C"/>
    <w:rsid w:val="00F46140"/>
    <w:rsid w:val="00F46ACB"/>
    <w:rsid w:val="00F46B64"/>
    <w:rsid w:val="00F4757C"/>
    <w:rsid w:val="00F505DE"/>
    <w:rsid w:val="00F5120D"/>
    <w:rsid w:val="00F51708"/>
    <w:rsid w:val="00F51FB6"/>
    <w:rsid w:val="00F520AD"/>
    <w:rsid w:val="00F52CFE"/>
    <w:rsid w:val="00F52EAB"/>
    <w:rsid w:val="00F53295"/>
    <w:rsid w:val="00F555FD"/>
    <w:rsid w:val="00F57F84"/>
    <w:rsid w:val="00F6106C"/>
    <w:rsid w:val="00F612A9"/>
    <w:rsid w:val="00F6166C"/>
    <w:rsid w:val="00F61EFA"/>
    <w:rsid w:val="00F625C7"/>
    <w:rsid w:val="00F63176"/>
    <w:rsid w:val="00F63C00"/>
    <w:rsid w:val="00F654F2"/>
    <w:rsid w:val="00F664A2"/>
    <w:rsid w:val="00F6691D"/>
    <w:rsid w:val="00F66D09"/>
    <w:rsid w:val="00F66FCF"/>
    <w:rsid w:val="00F671DC"/>
    <w:rsid w:val="00F67DCF"/>
    <w:rsid w:val="00F67E71"/>
    <w:rsid w:val="00F709D0"/>
    <w:rsid w:val="00F71DB0"/>
    <w:rsid w:val="00F72E39"/>
    <w:rsid w:val="00F73FF3"/>
    <w:rsid w:val="00F7485A"/>
    <w:rsid w:val="00F77159"/>
    <w:rsid w:val="00F802C3"/>
    <w:rsid w:val="00F80806"/>
    <w:rsid w:val="00F809ED"/>
    <w:rsid w:val="00F81DF2"/>
    <w:rsid w:val="00F82513"/>
    <w:rsid w:val="00F83337"/>
    <w:rsid w:val="00F84799"/>
    <w:rsid w:val="00F84AE4"/>
    <w:rsid w:val="00F8511B"/>
    <w:rsid w:val="00F86C86"/>
    <w:rsid w:val="00F90AA7"/>
    <w:rsid w:val="00F90D58"/>
    <w:rsid w:val="00F93664"/>
    <w:rsid w:val="00F93E34"/>
    <w:rsid w:val="00F95F1A"/>
    <w:rsid w:val="00F96094"/>
    <w:rsid w:val="00F96183"/>
    <w:rsid w:val="00F96F16"/>
    <w:rsid w:val="00F97110"/>
    <w:rsid w:val="00F97634"/>
    <w:rsid w:val="00F97767"/>
    <w:rsid w:val="00FA0DC3"/>
    <w:rsid w:val="00FA31E7"/>
    <w:rsid w:val="00FA3958"/>
    <w:rsid w:val="00FA5B30"/>
    <w:rsid w:val="00FA641B"/>
    <w:rsid w:val="00FA75BB"/>
    <w:rsid w:val="00FB27F2"/>
    <w:rsid w:val="00FB342B"/>
    <w:rsid w:val="00FB64AD"/>
    <w:rsid w:val="00FB6E56"/>
    <w:rsid w:val="00FC0063"/>
    <w:rsid w:val="00FC0260"/>
    <w:rsid w:val="00FC0597"/>
    <w:rsid w:val="00FC0BBA"/>
    <w:rsid w:val="00FC2072"/>
    <w:rsid w:val="00FC26E0"/>
    <w:rsid w:val="00FC28CE"/>
    <w:rsid w:val="00FC307F"/>
    <w:rsid w:val="00FC40C8"/>
    <w:rsid w:val="00FC5966"/>
    <w:rsid w:val="00FC5984"/>
    <w:rsid w:val="00FC6AFF"/>
    <w:rsid w:val="00FC7843"/>
    <w:rsid w:val="00FD0D5A"/>
    <w:rsid w:val="00FD1340"/>
    <w:rsid w:val="00FD136F"/>
    <w:rsid w:val="00FD29CC"/>
    <w:rsid w:val="00FD3EE1"/>
    <w:rsid w:val="00FD4B00"/>
    <w:rsid w:val="00FD4C19"/>
    <w:rsid w:val="00FD5665"/>
    <w:rsid w:val="00FD5D36"/>
    <w:rsid w:val="00FD6409"/>
    <w:rsid w:val="00FD6943"/>
    <w:rsid w:val="00FD7518"/>
    <w:rsid w:val="00FE0B92"/>
    <w:rsid w:val="00FE1846"/>
    <w:rsid w:val="00FE26A5"/>
    <w:rsid w:val="00FE2BB1"/>
    <w:rsid w:val="00FE3D3D"/>
    <w:rsid w:val="00FE4F61"/>
    <w:rsid w:val="00FE5FE5"/>
    <w:rsid w:val="00FE62AC"/>
    <w:rsid w:val="00FE68CF"/>
    <w:rsid w:val="00FE731F"/>
    <w:rsid w:val="00FF041D"/>
    <w:rsid w:val="00FF0744"/>
    <w:rsid w:val="00FF10ED"/>
    <w:rsid w:val="00FF168B"/>
    <w:rsid w:val="00FF2C9B"/>
    <w:rsid w:val="00FF3965"/>
    <w:rsid w:val="00FF4BA0"/>
    <w:rsid w:val="00FF52D5"/>
    <w:rsid w:val="00FF5AB9"/>
    <w:rsid w:val="00FF5C04"/>
    <w:rsid w:val="00FF5DEE"/>
    <w:rsid w:val="00FF755E"/>
    <w:rsid w:val="01B107E7"/>
    <w:rsid w:val="04E1CD47"/>
    <w:rsid w:val="08E6EB18"/>
    <w:rsid w:val="0B47B0B4"/>
    <w:rsid w:val="0D75B4FA"/>
    <w:rsid w:val="0DAB777A"/>
    <w:rsid w:val="116CA665"/>
    <w:rsid w:val="12DBE10A"/>
    <w:rsid w:val="147ACAF1"/>
    <w:rsid w:val="1AB978DD"/>
    <w:rsid w:val="1F3861F9"/>
    <w:rsid w:val="1F8E3033"/>
    <w:rsid w:val="20FDDEF6"/>
    <w:rsid w:val="21707E31"/>
    <w:rsid w:val="235E26FF"/>
    <w:rsid w:val="2477899B"/>
    <w:rsid w:val="27008313"/>
    <w:rsid w:val="289F4DC5"/>
    <w:rsid w:val="28E046F1"/>
    <w:rsid w:val="28E3A23B"/>
    <w:rsid w:val="2ACEEE00"/>
    <w:rsid w:val="2D347BBB"/>
    <w:rsid w:val="2D9A8B8A"/>
    <w:rsid w:val="2E344E5E"/>
    <w:rsid w:val="2EDA8681"/>
    <w:rsid w:val="2F0798F7"/>
    <w:rsid w:val="32D915EF"/>
    <w:rsid w:val="333365AC"/>
    <w:rsid w:val="33A5C634"/>
    <w:rsid w:val="3472113F"/>
    <w:rsid w:val="35C31C52"/>
    <w:rsid w:val="360089A7"/>
    <w:rsid w:val="36C68F44"/>
    <w:rsid w:val="37182D04"/>
    <w:rsid w:val="377F4A4D"/>
    <w:rsid w:val="3794B5EA"/>
    <w:rsid w:val="3972028A"/>
    <w:rsid w:val="39D714A8"/>
    <w:rsid w:val="39E5FD16"/>
    <w:rsid w:val="3EC1E809"/>
    <w:rsid w:val="40A1E34E"/>
    <w:rsid w:val="42840307"/>
    <w:rsid w:val="432C2BBC"/>
    <w:rsid w:val="433D460E"/>
    <w:rsid w:val="46218503"/>
    <w:rsid w:val="478D19E5"/>
    <w:rsid w:val="4A4E9A62"/>
    <w:rsid w:val="4BEC5CC3"/>
    <w:rsid w:val="4C5BB26E"/>
    <w:rsid w:val="4C619BD0"/>
    <w:rsid w:val="4C7BDF6E"/>
    <w:rsid w:val="4D18F4B3"/>
    <w:rsid w:val="4D888740"/>
    <w:rsid w:val="4DC33420"/>
    <w:rsid w:val="4DC839A5"/>
    <w:rsid w:val="4E4C1B3F"/>
    <w:rsid w:val="4FAB1DAC"/>
    <w:rsid w:val="5336564A"/>
    <w:rsid w:val="534BD84B"/>
    <w:rsid w:val="55A962F2"/>
    <w:rsid w:val="56F0BDAD"/>
    <w:rsid w:val="5C3E9F13"/>
    <w:rsid w:val="5D855E2B"/>
    <w:rsid w:val="5E0CB97E"/>
    <w:rsid w:val="5E4B8000"/>
    <w:rsid w:val="5EE5855C"/>
    <w:rsid w:val="5F73AA2F"/>
    <w:rsid w:val="63EE0012"/>
    <w:rsid w:val="64AABB48"/>
    <w:rsid w:val="653A2C9C"/>
    <w:rsid w:val="6A19084D"/>
    <w:rsid w:val="6B517745"/>
    <w:rsid w:val="6D6CE9D4"/>
    <w:rsid w:val="6F6BD82B"/>
    <w:rsid w:val="72A87AEC"/>
    <w:rsid w:val="75E0CFB7"/>
    <w:rsid w:val="77A925F7"/>
    <w:rsid w:val="7A47B022"/>
    <w:rsid w:val="7A83E4A1"/>
    <w:rsid w:val="7B8DD26C"/>
    <w:rsid w:val="7E05E223"/>
    <w:rsid w:val="7ECE1666"/>
    <w:rsid w:val="7F6510A4"/>
    <w:rsid w:val="7FA5488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D2F2A"/>
  <w15:docId w15:val="{1816FA91-4BC9-46B6-B5BB-BA787D1C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uiPriority="64"/>
    <w:lsdException w:name="Medium List 1 Accent 2"/>
    <w:lsdException w:name="Medium List 2 Accent 2" w:uiPriority="66"/>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uiPriority="62"/>
    <w:lsdException w:name="Medium Shading 1 Accent 3"/>
    <w:lsdException w:name="Medium Shading 2 Accent 3" w:uiPriority="64"/>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uiPriority="64"/>
    <w:lsdException w:name="Medium List 1 Accent 4"/>
    <w:lsdException w:name="Medium List 2 Accent 4" w:uiPriority="66"/>
    <w:lsdException w:name="Medium Grid 1 Accent 4"/>
    <w:lsdException w:name="Medium Grid 2 Accent 4"/>
    <w:lsdException w:name="Medium Grid 3 Accent 4" w:uiPriority="69"/>
    <w:lsdException w:name="Dark List Accent 4"/>
    <w:lsdException w:name="Colorful Shading Accent 4" w:uiPriority="71"/>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uiPriority="71"/>
    <w:lsdException w:name="Colorful List Accent 5"/>
    <w:lsdException w:name="Colorful Grid Accent 5"/>
    <w:lsdException w:name="Light Shading Accent 6"/>
    <w:lsdException w:name="Light List Accent 6"/>
    <w:lsdException w:name="Light Grid Accent 6" w:uiPriority="62"/>
    <w:lsdException w:name="Medium Shading 1 Accent 6"/>
    <w:lsdException w:name="Medium Shading 2 Accent 6" w:uiPriority="64"/>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44C2C"/>
    <w:pPr>
      <w:spacing w:after="120" w:line="288" w:lineRule="auto"/>
    </w:pPr>
  </w:style>
  <w:style w:type="paragraph" w:styleId="Heading1">
    <w:name w:val="heading 1"/>
    <w:basedOn w:val="nospace"/>
    <w:next w:val="BodyText"/>
    <w:link w:val="Heading1Char"/>
    <w:autoRedefine/>
    <w:uiPriority w:val="9"/>
    <w:qFormat/>
    <w:rsid w:val="00134BF7"/>
    <w:pPr>
      <w:keepNext/>
      <w:spacing w:after="80"/>
      <w:outlineLvl w:val="0"/>
    </w:pPr>
    <w:rPr>
      <w:b/>
      <w:bCs/>
      <w:color w:val="38115E"/>
      <w:sz w:val="42"/>
      <w:szCs w:val="32"/>
      <w:lang w:val="en-AU"/>
    </w:rPr>
  </w:style>
  <w:style w:type="paragraph" w:styleId="Heading2">
    <w:name w:val="heading 2"/>
    <w:basedOn w:val="nospace"/>
    <w:next w:val="BodyText"/>
    <w:link w:val="Heading2Char"/>
    <w:autoRedefine/>
    <w:uiPriority w:val="9"/>
    <w:qFormat/>
    <w:rsid w:val="004F0359"/>
    <w:pPr>
      <w:suppressAutoHyphens/>
      <w:autoSpaceDE w:val="0"/>
      <w:autoSpaceDN w:val="0"/>
      <w:adjustRightInd w:val="0"/>
      <w:spacing w:before="240" w:after="80"/>
      <w:textAlignment w:val="center"/>
      <w:outlineLvl w:val="1"/>
    </w:pPr>
    <w:rPr>
      <w:b/>
      <w:bCs/>
      <w:color w:val="38115E"/>
      <w:sz w:val="30"/>
    </w:rPr>
  </w:style>
  <w:style w:type="paragraph" w:styleId="Heading3">
    <w:name w:val="heading 3"/>
    <w:basedOn w:val="nospace"/>
    <w:next w:val="BodyText"/>
    <w:link w:val="Heading3Char"/>
    <w:autoRedefine/>
    <w:uiPriority w:val="9"/>
    <w:qFormat/>
    <w:rsid w:val="00F36D6C"/>
    <w:pPr>
      <w:keepNext/>
      <w:keepLines/>
      <w:spacing w:before="120" w:after="120" w:line="288" w:lineRule="auto"/>
      <w:outlineLvl w:val="2"/>
    </w:pPr>
    <w:rPr>
      <w:rFonts w:eastAsia="Times New Roman"/>
      <w:b/>
      <w:bCs/>
    </w:rPr>
  </w:style>
  <w:style w:type="paragraph" w:styleId="Heading4">
    <w:name w:val="heading 4"/>
    <w:basedOn w:val="Normal"/>
    <w:next w:val="Normal"/>
    <w:link w:val="Heading4Char"/>
    <w:autoRedefine/>
    <w:uiPriority w:val="9"/>
    <w:qFormat/>
    <w:rsid w:val="00E8351C"/>
    <w:pPr>
      <w:keepNext/>
      <w:spacing w:before="240" w:after="60"/>
      <w:outlineLvl w:val="3"/>
    </w:pPr>
    <w:rPr>
      <w:rFonts w:cs="Arial"/>
      <w:b/>
      <w:bCs/>
      <w:szCs w:val="28"/>
    </w:rPr>
  </w:style>
  <w:style w:type="paragraph" w:styleId="Heading5">
    <w:name w:val="heading 5"/>
    <w:basedOn w:val="Normal"/>
    <w:next w:val="Normal"/>
    <w:link w:val="Heading5Char"/>
    <w:uiPriority w:val="9"/>
    <w:qFormat/>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uiPriority w:val="9"/>
    <w:qFormat/>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uiPriority w:val="9"/>
    <w:qFormat/>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uiPriority w:val="9"/>
    <w:qFormat/>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664B53"/>
    <w:pPr>
      <w:spacing w:before="120"/>
    </w:pPr>
    <w:rPr>
      <w:b/>
      <w:iCs/>
      <w:color w:val="000000" w:themeColor="text1"/>
      <w:sz w:val="22"/>
      <w:szCs w:val="18"/>
    </w:rPr>
  </w:style>
  <w:style w:type="character" w:customStyle="1" w:styleId="Heading2Char">
    <w:name w:val="Heading 2 Char"/>
    <w:basedOn w:val="DefaultParagraphFont"/>
    <w:link w:val="Heading2"/>
    <w:uiPriority w:val="9"/>
    <w:rsid w:val="004F0359"/>
    <w:rPr>
      <w:rFonts w:cs="Arial"/>
      <w:b/>
      <w:bCs/>
      <w:color w:val="38115E"/>
      <w:sz w:val="30"/>
      <w:lang w:val="en-GB"/>
    </w:rPr>
  </w:style>
  <w:style w:type="table" w:styleId="TableGrid">
    <w:name w:val="Table Grid"/>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aliases w:val="Header L"/>
    <w:basedOn w:val="Normal"/>
    <w:link w:val="HeaderChar"/>
    <w:uiPriority w:val="99"/>
    <w:unhideWhenUsed/>
    <w:qFormat/>
    <w:rsid w:val="00455F4B"/>
    <w:pPr>
      <w:suppressAutoHyphens/>
      <w:autoSpaceDE w:val="0"/>
      <w:autoSpaceDN w:val="0"/>
      <w:adjustRightInd w:val="0"/>
      <w:spacing w:after="60"/>
      <w:textAlignment w:val="center"/>
    </w:pPr>
    <w:rPr>
      <w:rFonts w:cs="Arial"/>
      <w:color w:val="00C0E1" w:themeColor="accent6"/>
      <w:sz w:val="22"/>
      <w:szCs w:val="22"/>
      <w:lang w:val="en-GB"/>
    </w:rPr>
  </w:style>
  <w:style w:type="character" w:customStyle="1" w:styleId="HeaderChar">
    <w:name w:val="Header Char"/>
    <w:aliases w:val="Header L Char"/>
    <w:basedOn w:val="DefaultParagraphFont"/>
    <w:link w:val="Header"/>
    <w:uiPriority w:val="99"/>
    <w:rsid w:val="00455F4B"/>
    <w:rPr>
      <w:rFonts w:cs="Arial"/>
      <w:color w:val="00C0E1" w:themeColor="accent6"/>
      <w:sz w:val="22"/>
      <w:szCs w:val="22"/>
      <w:lang w:val="en-GB"/>
    </w:rPr>
  </w:style>
  <w:style w:type="paragraph" w:styleId="Footer">
    <w:name w:val="footer"/>
    <w:basedOn w:val="Normal"/>
    <w:link w:val="FooterChar"/>
    <w:autoRedefine/>
    <w:uiPriority w:val="99"/>
    <w:unhideWhenUsed/>
    <w:qFormat/>
    <w:rsid w:val="001B4CF9"/>
    <w:pPr>
      <w:tabs>
        <w:tab w:val="right" w:pos="9632"/>
      </w:tabs>
      <w:suppressAutoHyphens/>
      <w:autoSpaceDE w:val="0"/>
      <w:autoSpaceDN w:val="0"/>
      <w:adjustRightInd w:val="0"/>
      <w:ind w:right="-289"/>
      <w:jc w:val="right"/>
      <w:textAlignment w:val="center"/>
    </w:pPr>
    <w:rPr>
      <w:rFonts w:cs="Arial"/>
      <w:color w:val="FFFFFF" w:themeColor="background1"/>
      <w:sz w:val="20"/>
      <w:szCs w:val="20"/>
      <w:lang w:val="en-GB"/>
    </w:rPr>
  </w:style>
  <w:style w:type="character" w:customStyle="1" w:styleId="FooterChar">
    <w:name w:val="Footer Char"/>
    <w:basedOn w:val="DefaultParagraphFont"/>
    <w:link w:val="Footer"/>
    <w:uiPriority w:val="99"/>
    <w:rsid w:val="001B4CF9"/>
    <w:rPr>
      <w:rFonts w:cs="Arial"/>
      <w:color w:val="FFFFFF" w:themeColor="background1"/>
      <w:sz w:val="20"/>
      <w:szCs w:val="20"/>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uiPriority w:val="99"/>
    <w:qFormat/>
    <w:rsid w:val="00D70B5C"/>
    <w:pPr>
      <w:spacing w:before="120"/>
    </w:pPr>
    <w:rPr>
      <w:rFonts w:cs="Arial"/>
      <w:lang w:val="en-GB"/>
    </w:rPr>
  </w:style>
  <w:style w:type="character" w:customStyle="1" w:styleId="BodyTextChar">
    <w:name w:val="Body Text Char"/>
    <w:basedOn w:val="DefaultParagraphFont"/>
    <w:link w:val="BodyText"/>
    <w:uiPriority w:val="99"/>
    <w:rsid w:val="00D70B5C"/>
    <w:rPr>
      <w:rFonts w:cs="Arial"/>
      <w:lang w:val="en-GB"/>
    </w:rPr>
  </w:style>
  <w:style w:type="paragraph" w:customStyle="1" w:styleId="Bullet1">
    <w:name w:val="Bullet 1"/>
    <w:basedOn w:val="BodyText"/>
    <w:autoRedefine/>
    <w:qFormat/>
    <w:rsid w:val="00A533CE"/>
    <w:pPr>
      <w:numPr>
        <w:numId w:val="1"/>
      </w:numPr>
      <w:tabs>
        <w:tab w:val="clear" w:pos="284"/>
      </w:tabs>
      <w:contextualSpacing/>
    </w:pPr>
  </w:style>
  <w:style w:type="paragraph" w:customStyle="1" w:styleId="Bullet2">
    <w:name w:val="Bullet 2"/>
    <w:basedOn w:val="Normal"/>
    <w:next w:val="BodyText"/>
    <w:autoRedefine/>
    <w:qFormat/>
    <w:rsid w:val="00A533CE"/>
    <w:pPr>
      <w:numPr>
        <w:numId w:val="2"/>
      </w:numPr>
      <w:contextualSpacing/>
    </w:pPr>
    <w:rPr>
      <w:rFonts w:cs="Arial"/>
      <w:color w:val="000000"/>
    </w:rPr>
  </w:style>
  <w:style w:type="character" w:customStyle="1" w:styleId="Heading3Char">
    <w:name w:val="Heading 3 Char"/>
    <w:basedOn w:val="DefaultParagraphFont"/>
    <w:link w:val="Heading3"/>
    <w:uiPriority w:val="9"/>
    <w:rsid w:val="00F36D6C"/>
    <w:rPr>
      <w:rFonts w:eastAsia="Times New Roman" w:cs="Arial"/>
      <w:b/>
      <w:bCs/>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pPr>
    <w:rPr>
      <w:rFonts w:cs="Arial"/>
    </w:rPr>
  </w:style>
  <w:style w:type="character" w:customStyle="1" w:styleId="Bold">
    <w:name w:val="Bold"/>
    <w:uiPriority w:val="99"/>
    <w:rsid w:val="00085A49"/>
    <w:rPr>
      <w:color w:val="000000" w:themeColor="text1"/>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uiPriority w:val="99"/>
    <w:rsid w:val="007F71DE"/>
    <w:rPr>
      <w:rFonts w:ascii="Tahoma" w:hAnsi="Tahoma" w:cs="Tahoma"/>
      <w:sz w:val="16"/>
      <w:szCs w:val="16"/>
    </w:rPr>
  </w:style>
  <w:style w:type="character" w:customStyle="1" w:styleId="BalloonTextChar">
    <w:name w:val="Balloon Text Char"/>
    <w:basedOn w:val="DefaultParagraphFont"/>
    <w:link w:val="BalloonText"/>
    <w:uiPriority w:val="99"/>
    <w:rsid w:val="007F71DE"/>
    <w:rPr>
      <w:rFonts w:ascii="Tahoma" w:hAnsi="Tahoma" w:cs="Tahoma"/>
      <w:noProof/>
      <w:sz w:val="16"/>
      <w:szCs w:val="16"/>
    </w:rPr>
  </w:style>
  <w:style w:type="paragraph" w:styleId="TOCHeading">
    <w:name w:val="TOC Heading"/>
    <w:basedOn w:val="Heading1"/>
    <w:next w:val="Normal"/>
    <w:autoRedefine/>
    <w:uiPriority w:val="39"/>
    <w:unhideWhenUsed/>
    <w:qFormat/>
    <w:rsid w:val="00134BF7"/>
    <w:pPr>
      <w:keepLines/>
      <w:spacing w:after="240"/>
    </w:pPr>
    <w:rPr>
      <w:rFonts w:eastAsiaTheme="majorEastAsia"/>
      <w:szCs w:val="52"/>
      <w:lang w:val="en-US" w:eastAsia="ja-JP"/>
    </w:rPr>
  </w:style>
  <w:style w:type="paragraph" w:styleId="TOC1">
    <w:name w:val="toc 1"/>
    <w:basedOn w:val="Normal"/>
    <w:next w:val="Normal"/>
    <w:autoRedefine/>
    <w:uiPriority w:val="39"/>
    <w:qFormat/>
    <w:rsid w:val="00AD6499"/>
    <w:pPr>
      <w:tabs>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qFormat/>
    <w:rsid w:val="00AD6499"/>
    <w:pPr>
      <w:tabs>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uiPriority w:val="9"/>
    <w:rsid w:val="00E8351C"/>
    <w:rPr>
      <w:rFonts w:cs="Arial"/>
      <w:b/>
      <w:bCs/>
      <w:szCs w:val="28"/>
    </w:rPr>
  </w:style>
  <w:style w:type="character" w:customStyle="1" w:styleId="Heading5Char">
    <w:name w:val="Heading 5 Char"/>
    <w:basedOn w:val="DefaultParagraphFont"/>
    <w:link w:val="Heading5"/>
    <w:uiPriority w:val="9"/>
    <w:rsid w:val="00E96060"/>
    <w:rPr>
      <w:rFonts w:eastAsia="Times New Roman"/>
      <w:b/>
      <w:bCs/>
      <w:i/>
      <w:iCs/>
      <w:sz w:val="26"/>
      <w:szCs w:val="26"/>
    </w:rPr>
  </w:style>
  <w:style w:type="character" w:customStyle="1" w:styleId="Heading6Char">
    <w:name w:val="Heading 6 Char"/>
    <w:basedOn w:val="DefaultParagraphFont"/>
    <w:link w:val="Heading6"/>
    <w:uiPriority w:val="9"/>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rsid w:val="00E96060"/>
    <w:rPr>
      <w:rFonts w:ascii="Times New Roman" w:eastAsia="Times New Roman" w:hAnsi="Times New Roman"/>
    </w:rPr>
  </w:style>
  <w:style w:type="character" w:customStyle="1" w:styleId="Heading8Char">
    <w:name w:val="Heading 8 Char"/>
    <w:basedOn w:val="DefaultParagraphFont"/>
    <w:link w:val="Heading8"/>
    <w:uiPriority w:val="9"/>
    <w:rsid w:val="00E96060"/>
    <w:rPr>
      <w:rFonts w:ascii="Times New Roman" w:eastAsia="Times New Roman" w:hAnsi="Times New Roman"/>
      <w:i/>
      <w:iCs/>
    </w:rPr>
  </w:style>
  <w:style w:type="character" w:customStyle="1" w:styleId="Heading9Char">
    <w:name w:val="Heading 9 Char"/>
    <w:basedOn w:val="DefaultParagraphFont"/>
    <w:link w:val="Heading9"/>
    <w:uiPriority w:val="9"/>
    <w:rsid w:val="00E96060"/>
    <w:rPr>
      <w:rFonts w:eastAsia="Times New Roman" w:cs="Arial"/>
      <w:sz w:val="22"/>
      <w:szCs w:val="22"/>
    </w:rPr>
  </w:style>
  <w:style w:type="paragraph" w:styleId="Title">
    <w:name w:val="Title"/>
    <w:basedOn w:val="Normal"/>
    <w:next w:val="Normal"/>
    <w:link w:val="TitleChar"/>
    <w:autoRedefine/>
    <w:qFormat/>
    <w:rsid w:val="00D93DD5"/>
    <w:pPr>
      <w:spacing w:after="360" w:line="240" w:lineRule="auto"/>
      <w:ind w:left="-284" w:right="-7"/>
      <w:outlineLvl w:val="0"/>
    </w:pPr>
    <w:rPr>
      <w:rFonts w:cs="Arial"/>
      <w:b/>
      <w:noProof/>
      <w:color w:val="FFFFFF" w:themeColor="background1"/>
      <w:sz w:val="80"/>
      <w:szCs w:val="80"/>
      <w:lang w:eastAsia="en-AU"/>
    </w:rPr>
  </w:style>
  <w:style w:type="character" w:customStyle="1" w:styleId="TitleChar">
    <w:name w:val="Title Char"/>
    <w:basedOn w:val="DefaultParagraphFont"/>
    <w:link w:val="Title"/>
    <w:rsid w:val="00D93DD5"/>
    <w:rPr>
      <w:rFonts w:cs="Arial"/>
      <w:b/>
      <w:noProof/>
      <w:color w:val="FFFFFF" w:themeColor="background1"/>
      <w:sz w:val="80"/>
      <w:szCs w:val="80"/>
      <w:lang w:eastAsia="en-AU"/>
    </w:rPr>
  </w:style>
  <w:style w:type="paragraph" w:styleId="TOC3">
    <w:name w:val="toc 3"/>
    <w:basedOn w:val="Normal"/>
    <w:next w:val="Normal"/>
    <w:autoRedefine/>
    <w:uiPriority w:val="39"/>
    <w:qFormat/>
    <w:rsid w:val="00AD6499"/>
    <w:pPr>
      <w:tabs>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link w:val="ListParagraphChar"/>
    <w:autoRedefine/>
    <w:uiPriority w:val="34"/>
    <w:qFormat/>
    <w:rsid w:val="009E5DE1"/>
    <w:pPr>
      <w:numPr>
        <w:numId w:val="11"/>
      </w:numPr>
      <w:spacing w:before="60" w:after="60"/>
    </w:pPr>
  </w:style>
  <w:style w:type="paragraph" w:customStyle="1" w:styleId="TableHeading">
    <w:name w:val="Table Heading"/>
    <w:basedOn w:val="Normal"/>
    <w:link w:val="TableHeadingChar"/>
    <w:autoRedefine/>
    <w:qFormat/>
    <w:rsid w:val="00E26216"/>
    <w:pPr>
      <w:spacing w:before="60" w:after="60"/>
    </w:pPr>
    <w:rPr>
      <w:rFonts w:eastAsia="Times New Roman" w:cs="Arial"/>
      <w:b/>
      <w:bCs/>
      <w:color w:val="000000" w:themeColor="text1"/>
      <w:lang w:val="en-US"/>
    </w:rPr>
  </w:style>
  <w:style w:type="character" w:customStyle="1" w:styleId="TableHeadingChar">
    <w:name w:val="Table Heading Char"/>
    <w:basedOn w:val="DefaultParagraphFont"/>
    <w:link w:val="TableHeading"/>
    <w:rsid w:val="00E26216"/>
    <w:rPr>
      <w:rFonts w:eastAsia="Times New Roman" w:cs="Arial"/>
      <w:b/>
      <w:bCs/>
      <w:color w:val="000000" w:themeColor="text1"/>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51165B"/>
    <w:pPr>
      <w:spacing w:before="400" w:after="0"/>
      <w:ind w:right="0"/>
    </w:pPr>
    <w:rPr>
      <w:sz w:val="42"/>
    </w:rPr>
  </w:style>
  <w:style w:type="character" w:customStyle="1" w:styleId="TypeTitleChar">
    <w:name w:val="Type Title Char"/>
    <w:basedOn w:val="TitleChar"/>
    <w:link w:val="TypeTitle"/>
    <w:rsid w:val="00FC2072"/>
    <w:rPr>
      <w:rFonts w:cs="Arial"/>
      <w:b/>
      <w:noProof/>
      <w:color w:val="59BBC8"/>
      <w:sz w:val="80"/>
      <w:szCs w:val="80"/>
      <w:shd w:val="clear" w:color="auto" w:fill="FFFFFF" w:themeFill="background1"/>
      <w:lang w:eastAsia="en-AU"/>
    </w:rPr>
  </w:style>
  <w:style w:type="character" w:customStyle="1" w:styleId="ControlHeadingChar">
    <w:name w:val="Control Heading Char"/>
    <w:basedOn w:val="TitleChar"/>
    <w:link w:val="ControlHeading"/>
    <w:rsid w:val="0051165B"/>
    <w:rPr>
      <w:rFonts w:cs="Arial"/>
      <w:b/>
      <w:noProof/>
      <w:color w:val="2C5C86"/>
      <w:sz w:val="42"/>
      <w:szCs w:val="80"/>
      <w:shd w:val="clear" w:color="auto" w:fill="FFFFFF" w:themeFill="background1"/>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3DD5"/>
    <w:pPr>
      <w:spacing w:after="600"/>
      <w:ind w:left="-284" w:right="2688"/>
    </w:pPr>
    <w:rPr>
      <w:b/>
      <w:color w:val="FFFFFF" w:themeColor="background1"/>
      <w:sz w:val="34"/>
      <w:szCs w:val="32"/>
    </w:rPr>
  </w:style>
  <w:style w:type="paragraph" w:customStyle="1" w:styleId="TableCaption">
    <w:name w:val="Table Caption"/>
    <w:link w:val="TableCaptionChar"/>
    <w:autoRedefine/>
    <w:qFormat/>
    <w:rsid w:val="007F46C1"/>
    <w:pPr>
      <w:spacing w:before="120" w:after="120" w:line="288" w:lineRule="auto"/>
    </w:pPr>
    <w:rPr>
      <w:b/>
      <w:iCs/>
      <w:color w:val="000000"/>
      <w:sz w:val="22"/>
      <w:szCs w:val="18"/>
    </w:rPr>
  </w:style>
  <w:style w:type="paragraph" w:styleId="ListNumber">
    <w:name w:val="List Number"/>
    <w:basedOn w:val="ListParagraph"/>
    <w:autoRedefine/>
    <w:rsid w:val="00BB0301"/>
    <w:pPr>
      <w:widowControl w:val="0"/>
      <w:numPr>
        <w:numId w:val="4"/>
      </w:numPr>
      <w:tabs>
        <w:tab w:val="left" w:pos="397"/>
      </w:tabs>
      <w:suppressAutoHyphens/>
      <w:autoSpaceDE w:val="0"/>
      <w:autoSpaceDN w:val="0"/>
      <w:adjustRightInd w:val="0"/>
      <w:textAlignment w:val="center"/>
    </w:pPr>
    <w:rPr>
      <w:rFonts w:eastAsiaTheme="minorEastAsia"/>
      <w:color w:val="000000"/>
      <w:lang w:eastAsia="ja-JP"/>
    </w:rPr>
  </w:style>
  <w:style w:type="character" w:customStyle="1" w:styleId="CaptionChar">
    <w:name w:val="Caption Char"/>
    <w:basedOn w:val="DefaultParagraphFont"/>
    <w:link w:val="Caption"/>
    <w:rsid w:val="00664B53"/>
    <w:rPr>
      <w:b/>
      <w:iCs/>
      <w:color w:val="000000" w:themeColor="text1"/>
      <w:sz w:val="22"/>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paragraph" w:customStyle="1" w:styleId="HeaderLine">
    <w:name w:val="Header Line"/>
    <w:basedOn w:val="Header"/>
    <w:link w:val="HeaderLineChar"/>
    <w:autoRedefine/>
    <w:rsid w:val="00383CAD"/>
    <w:pPr>
      <w:spacing w:after="360"/>
      <w:ind w:right="-289"/>
    </w:pPr>
  </w:style>
  <w:style w:type="character" w:customStyle="1" w:styleId="HeaderLineChar">
    <w:name w:val="Header Line Char"/>
    <w:basedOn w:val="HeaderChar"/>
    <w:link w:val="HeaderLine"/>
    <w:rsid w:val="00383CAD"/>
    <w:rPr>
      <w:rFonts w:cs="Arial"/>
      <w:color w:val="00C0E1" w:themeColor="accent6"/>
      <w:sz w:val="22"/>
      <w:szCs w:val="22"/>
      <w:lang w:val="en-GB"/>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autoRedefine/>
    <w:uiPriority w:val="99"/>
    <w:qFormat/>
    <w:rsid w:val="00EB57E0"/>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45415D" w:themeColor="text2"/>
      <w:szCs w:val="22"/>
    </w:rPr>
  </w:style>
  <w:style w:type="numbering" w:customStyle="1" w:styleId="Style1">
    <w:name w:val="Style1"/>
    <w:uiPriority w:val="99"/>
    <w:rsid w:val="00064337"/>
    <w:pPr>
      <w:numPr>
        <w:numId w:val="5"/>
      </w:numPr>
    </w:pPr>
  </w:style>
  <w:style w:type="character" w:styleId="UnresolvedMention">
    <w:name w:val="Unresolved Mention"/>
    <w:basedOn w:val="DefaultParagraphFont"/>
    <w:uiPriority w:val="99"/>
    <w:semiHidden/>
    <w:unhideWhenUsed/>
    <w:rsid w:val="00085A49"/>
    <w:rPr>
      <w:color w:val="605E5C"/>
      <w:shd w:val="clear" w:color="auto" w:fill="E1DFDD"/>
    </w:rPr>
  </w:style>
  <w:style w:type="character" w:styleId="FollowedHyperlink">
    <w:name w:val="FollowedHyperlink"/>
    <w:basedOn w:val="DefaultParagraphFont"/>
    <w:uiPriority w:val="99"/>
    <w:semiHidden/>
    <w:unhideWhenUsed/>
    <w:rsid w:val="00F6691D"/>
    <w:rPr>
      <w:color w:val="DCDDDE" w:themeColor="followedHyperlink"/>
      <w:u w:val="single"/>
    </w:rPr>
  </w:style>
  <w:style w:type="character" w:customStyle="1" w:styleId="ListParagraphChar">
    <w:name w:val="List Paragraph Char"/>
    <w:basedOn w:val="DefaultParagraphFont"/>
    <w:link w:val="ListParagraph"/>
    <w:uiPriority w:val="34"/>
    <w:locked/>
    <w:rsid w:val="009E5DE1"/>
    <w:rPr>
      <w:rFonts w:cs="Arial"/>
      <w:lang w:val="en-GB"/>
    </w:rPr>
  </w:style>
  <w:style w:type="paragraph" w:customStyle="1" w:styleId="Default">
    <w:name w:val="Default"/>
    <w:qFormat/>
    <w:rsid w:val="0015737E"/>
    <w:pPr>
      <w:autoSpaceDE w:val="0"/>
      <w:autoSpaceDN w:val="0"/>
      <w:adjustRightInd w:val="0"/>
    </w:pPr>
    <w:rPr>
      <w:rFonts w:ascii="YXKCV G+ Area Normal" w:eastAsiaTheme="minorHAnsi" w:hAnsi="YXKCV G+ Area Normal" w:cs="YXKCV G+ Area Normal"/>
      <w:color w:val="000000"/>
      <w14:ligatures w14:val="standardContextual"/>
    </w:rPr>
  </w:style>
  <w:style w:type="character" w:styleId="FootnoteReference">
    <w:name w:val="footnote reference"/>
    <w:basedOn w:val="DefaultParagraphFont"/>
    <w:uiPriority w:val="99"/>
    <w:semiHidden/>
    <w:unhideWhenUsed/>
    <w:rsid w:val="00B9211E"/>
    <w:rPr>
      <w:vertAlign w:val="superscript"/>
    </w:rPr>
  </w:style>
  <w:style w:type="character" w:customStyle="1" w:styleId="normaltextrun">
    <w:name w:val="normaltextrun"/>
    <w:basedOn w:val="DefaultParagraphFont"/>
    <w:rsid w:val="00B9211E"/>
  </w:style>
  <w:style w:type="paragraph" w:customStyle="1" w:styleId="TableText">
    <w:name w:val="Table Text"/>
    <w:basedOn w:val="Normal"/>
    <w:link w:val="TableTextChar"/>
    <w:qFormat/>
    <w:rsid w:val="00A05B58"/>
    <w:pPr>
      <w:spacing w:before="40" w:after="40" w:line="276" w:lineRule="auto"/>
    </w:pPr>
    <w:rPr>
      <w:rFonts w:eastAsia="Times New Roman" w:cs="Arial"/>
      <w:color w:val="2D2E2F"/>
      <w:sz w:val="22"/>
      <w:szCs w:val="20"/>
      <w:lang w:eastAsia="en-AU"/>
    </w:rPr>
  </w:style>
  <w:style w:type="character" w:customStyle="1" w:styleId="TableTextChar">
    <w:name w:val="Table Text Char"/>
    <w:basedOn w:val="DefaultParagraphFont"/>
    <w:link w:val="TableText"/>
    <w:rsid w:val="00A05B58"/>
    <w:rPr>
      <w:rFonts w:eastAsia="Times New Roman" w:cs="Arial"/>
      <w:color w:val="2D2E2F"/>
      <w:sz w:val="22"/>
      <w:szCs w:val="20"/>
      <w:lang w:eastAsia="en-AU"/>
    </w:rPr>
  </w:style>
  <w:style w:type="paragraph" w:styleId="NoSpacing">
    <w:name w:val="No Spacing"/>
    <w:aliases w:val="No Spacing L"/>
    <w:uiPriority w:val="1"/>
    <w:qFormat/>
    <w:rsid w:val="00AF276F"/>
    <w:rPr>
      <w:rFonts w:eastAsiaTheme="minorHAnsi" w:cstheme="minorBidi"/>
      <w:color w:val="000000" w:themeColor="text1"/>
      <w:sz w:val="22"/>
      <w:szCs w:val="22"/>
    </w:rPr>
  </w:style>
  <w:style w:type="character" w:customStyle="1" w:styleId="Heading1Char">
    <w:name w:val="Heading 1 Char"/>
    <w:basedOn w:val="DefaultParagraphFont"/>
    <w:link w:val="Heading1"/>
    <w:uiPriority w:val="9"/>
    <w:rsid w:val="000044FF"/>
    <w:rPr>
      <w:rFonts w:cs="Arial"/>
      <w:b/>
      <w:bCs/>
      <w:color w:val="38115E"/>
      <w:sz w:val="42"/>
      <w:szCs w:val="32"/>
    </w:rPr>
  </w:style>
  <w:style w:type="paragraph" w:styleId="Subtitle">
    <w:name w:val="Subtitle"/>
    <w:aliases w:val="Subtitle for cover"/>
    <w:basedOn w:val="Normal"/>
    <w:next w:val="Normal"/>
    <w:link w:val="SubtitleChar"/>
    <w:qFormat/>
    <w:rsid w:val="000044FF"/>
    <w:pPr>
      <w:numPr>
        <w:ilvl w:val="1"/>
      </w:numPr>
      <w:spacing w:line="240" w:lineRule="auto"/>
    </w:pPr>
    <w:rPr>
      <w:rFonts w:ascii="Aptos SemiBold" w:eastAsiaTheme="majorEastAsia" w:hAnsi="Aptos SemiBold" w:cstheme="majorBidi"/>
      <w:color w:val="055780"/>
      <w:spacing w:val="-5"/>
      <w:kern w:val="16"/>
      <w:sz w:val="40"/>
      <w:szCs w:val="40"/>
      <w14:ligatures w14:val="standardContextual"/>
    </w:rPr>
  </w:style>
  <w:style w:type="character" w:customStyle="1" w:styleId="SubtitleChar">
    <w:name w:val="Subtitle Char"/>
    <w:aliases w:val="Subtitle for cover Char"/>
    <w:basedOn w:val="DefaultParagraphFont"/>
    <w:link w:val="Subtitle"/>
    <w:rsid w:val="000044FF"/>
    <w:rPr>
      <w:rFonts w:ascii="Aptos SemiBold" w:eastAsiaTheme="majorEastAsia" w:hAnsi="Aptos SemiBold" w:cstheme="majorBidi"/>
      <w:color w:val="055780"/>
      <w:spacing w:val="-5"/>
      <w:kern w:val="16"/>
      <w:sz w:val="40"/>
      <w:szCs w:val="40"/>
      <w14:ligatures w14:val="standardContextual"/>
    </w:rPr>
  </w:style>
  <w:style w:type="paragraph" w:customStyle="1" w:styleId="Normalbold">
    <w:name w:val="Normal bold"/>
    <w:basedOn w:val="Normal"/>
    <w:qFormat/>
    <w:rsid w:val="000044FF"/>
    <w:pPr>
      <w:spacing w:after="240" w:line="240" w:lineRule="auto"/>
    </w:pPr>
    <w:rPr>
      <w:rFonts w:ascii="Aptos SemiBold" w:eastAsiaTheme="minorHAnsi" w:hAnsi="Aptos SemiBold" w:cstheme="minorBidi"/>
      <w:noProof/>
      <w:kern w:val="2"/>
      <w:sz w:val="22"/>
      <w:szCs w:val="22"/>
      <w14:ligatures w14:val="standardContextual"/>
    </w:rPr>
  </w:style>
  <w:style w:type="character" w:customStyle="1" w:styleId="CHAct">
    <w:name w:val="(CH) Act"/>
    <w:uiPriority w:val="2"/>
    <w:qFormat/>
    <w:rsid w:val="000044FF"/>
    <w:rPr>
      <w:i/>
    </w:rPr>
  </w:style>
  <w:style w:type="character" w:customStyle="1" w:styleId="CHDefinition">
    <w:name w:val="(CH) Definition"/>
    <w:uiPriority w:val="2"/>
    <w:qFormat/>
    <w:rsid w:val="000044FF"/>
    <w:rPr>
      <w:b/>
    </w:rPr>
  </w:style>
  <w:style w:type="paragraph" w:customStyle="1" w:styleId="HeadingL1">
    <w:name w:val="~Heading L1"/>
    <w:basedOn w:val="Normal"/>
    <w:next w:val="Normal"/>
    <w:link w:val="HeadingL1Char"/>
    <w:uiPriority w:val="4"/>
    <w:qFormat/>
    <w:rsid w:val="000044FF"/>
    <w:pPr>
      <w:spacing w:before="240" w:line="240" w:lineRule="auto"/>
      <w:outlineLvl w:val="0"/>
    </w:pPr>
    <w:rPr>
      <w:rFonts w:asciiTheme="minorHAnsi" w:eastAsiaTheme="minorHAnsi" w:hAnsiTheme="minorHAnsi" w:cstheme="minorBidi"/>
      <w:b/>
      <w:caps/>
      <w:color w:val="000000" w:themeColor="text1"/>
      <w:sz w:val="22"/>
      <w:szCs w:val="22"/>
    </w:rPr>
  </w:style>
  <w:style w:type="character" w:customStyle="1" w:styleId="HeadingL1Char">
    <w:name w:val="~Heading L1 Char"/>
    <w:basedOn w:val="DefaultParagraphFont"/>
    <w:link w:val="HeadingL1"/>
    <w:uiPriority w:val="4"/>
    <w:rsid w:val="000044FF"/>
    <w:rPr>
      <w:rFonts w:asciiTheme="minorHAnsi" w:eastAsiaTheme="minorHAnsi" w:hAnsiTheme="minorHAnsi" w:cstheme="minorBidi"/>
      <w:b/>
      <w:caps/>
      <w:color w:val="000000" w:themeColor="text1"/>
      <w:sz w:val="22"/>
      <w:szCs w:val="22"/>
    </w:rPr>
  </w:style>
  <w:style w:type="paragraph" w:customStyle="1" w:styleId="HeadingL2">
    <w:name w:val="~Heading L2"/>
    <w:next w:val="Normal"/>
    <w:link w:val="HeadingL2Char"/>
    <w:uiPriority w:val="4"/>
    <w:qFormat/>
    <w:rsid w:val="000044FF"/>
    <w:pPr>
      <w:spacing w:before="240" w:after="120"/>
      <w:outlineLvl w:val="1"/>
    </w:pPr>
    <w:rPr>
      <w:rFonts w:asciiTheme="minorHAnsi" w:eastAsiaTheme="minorHAnsi" w:hAnsiTheme="minorHAnsi" w:cstheme="minorBidi"/>
      <w:b/>
      <w:color w:val="000000" w:themeColor="text1"/>
      <w:sz w:val="22"/>
      <w:szCs w:val="22"/>
    </w:rPr>
  </w:style>
  <w:style w:type="character" w:customStyle="1" w:styleId="HeadingL2Char">
    <w:name w:val="~Heading L2 Char"/>
    <w:basedOn w:val="DefaultParagraphFont"/>
    <w:link w:val="HeadingL2"/>
    <w:uiPriority w:val="4"/>
    <w:rsid w:val="000044FF"/>
    <w:rPr>
      <w:rFonts w:asciiTheme="minorHAnsi" w:eastAsiaTheme="minorHAnsi" w:hAnsiTheme="minorHAnsi" w:cstheme="minorBidi"/>
      <w:b/>
      <w:color w:val="000000" w:themeColor="text1"/>
      <w:sz w:val="22"/>
      <w:szCs w:val="22"/>
    </w:rPr>
  </w:style>
  <w:style w:type="paragraph" w:customStyle="1" w:styleId="HeadingL3">
    <w:name w:val="~Heading L3"/>
    <w:next w:val="Normal"/>
    <w:link w:val="HeadingL3Char"/>
    <w:uiPriority w:val="4"/>
    <w:qFormat/>
    <w:rsid w:val="000044FF"/>
    <w:pPr>
      <w:spacing w:before="240" w:after="120"/>
      <w:outlineLvl w:val="2"/>
    </w:pPr>
    <w:rPr>
      <w:rFonts w:asciiTheme="minorHAnsi" w:eastAsiaTheme="minorHAnsi" w:hAnsiTheme="minorHAnsi" w:cstheme="minorBidi"/>
      <w:i/>
      <w:color w:val="000000" w:themeColor="text1"/>
      <w:sz w:val="22"/>
      <w:szCs w:val="22"/>
    </w:rPr>
  </w:style>
  <w:style w:type="character" w:customStyle="1" w:styleId="HeadingL3Char">
    <w:name w:val="~Heading L3 Char"/>
    <w:basedOn w:val="DefaultParagraphFont"/>
    <w:link w:val="HeadingL3"/>
    <w:uiPriority w:val="4"/>
    <w:rsid w:val="000044FF"/>
    <w:rPr>
      <w:rFonts w:asciiTheme="minorHAnsi" w:eastAsiaTheme="minorHAnsi" w:hAnsiTheme="minorHAnsi" w:cstheme="minorBidi"/>
      <w:i/>
      <w:color w:val="000000" w:themeColor="text1"/>
      <w:sz w:val="22"/>
      <w:szCs w:val="22"/>
    </w:rPr>
  </w:style>
  <w:style w:type="paragraph" w:customStyle="1" w:styleId="HeadinglistnumL1">
    <w:name w:val="~Heading list num L1"/>
    <w:basedOn w:val="HeadingL1"/>
    <w:uiPriority w:val="5"/>
    <w:qFormat/>
    <w:rsid w:val="000044FF"/>
    <w:pPr>
      <w:numPr>
        <w:numId w:val="63"/>
      </w:numPr>
      <w:ind w:left="0" w:firstLine="0"/>
    </w:pPr>
  </w:style>
  <w:style w:type="paragraph" w:customStyle="1" w:styleId="HeadinglistnumL2">
    <w:name w:val="~Heading list num L2"/>
    <w:basedOn w:val="HeadingL2"/>
    <w:uiPriority w:val="5"/>
    <w:qFormat/>
    <w:rsid w:val="000044FF"/>
    <w:pPr>
      <w:numPr>
        <w:ilvl w:val="1"/>
        <w:numId w:val="63"/>
      </w:numPr>
      <w:ind w:left="0" w:firstLine="0"/>
    </w:pPr>
  </w:style>
  <w:style w:type="paragraph" w:customStyle="1" w:styleId="HeadinglistnumL3">
    <w:name w:val="~Heading list num L3"/>
    <w:basedOn w:val="HeadingL3"/>
    <w:uiPriority w:val="5"/>
    <w:qFormat/>
    <w:rsid w:val="000044FF"/>
    <w:pPr>
      <w:numPr>
        <w:ilvl w:val="2"/>
        <w:numId w:val="63"/>
      </w:numPr>
      <w:ind w:left="0" w:firstLine="0"/>
    </w:pPr>
  </w:style>
  <w:style w:type="paragraph" w:customStyle="1" w:styleId="Legheading">
    <w:name w:val="~Leg heading"/>
    <w:basedOn w:val="Normal"/>
    <w:next w:val="Normal"/>
    <w:link w:val="LegheadingChar"/>
    <w:uiPriority w:val="9"/>
    <w:qFormat/>
    <w:rsid w:val="000044FF"/>
    <w:pPr>
      <w:spacing w:before="120" w:line="240" w:lineRule="auto"/>
    </w:pPr>
    <w:rPr>
      <w:rFonts w:asciiTheme="minorHAnsi" w:eastAsia="Times New Roman" w:hAnsiTheme="minorHAnsi" w:cstheme="minorBidi"/>
      <w:b/>
      <w:i/>
      <w:sz w:val="22"/>
    </w:rPr>
  </w:style>
  <w:style w:type="character" w:customStyle="1" w:styleId="LegheadingChar">
    <w:name w:val="~Leg heading Char"/>
    <w:basedOn w:val="DefaultParagraphFont"/>
    <w:link w:val="Legheading"/>
    <w:uiPriority w:val="9"/>
    <w:rsid w:val="000044FF"/>
    <w:rPr>
      <w:rFonts w:asciiTheme="minorHAnsi" w:eastAsia="Times New Roman" w:hAnsiTheme="minorHAnsi" w:cstheme="minorBidi"/>
      <w:b/>
      <w:i/>
      <w:sz w:val="22"/>
    </w:rPr>
  </w:style>
  <w:style w:type="paragraph" w:customStyle="1" w:styleId="LeglistL1hanging">
    <w:name w:val="~Leg list L1 (hanging)"/>
    <w:basedOn w:val="Normal"/>
    <w:link w:val="LeglistL1hangingChar"/>
    <w:uiPriority w:val="9"/>
    <w:qFormat/>
    <w:rsid w:val="000044FF"/>
    <w:pPr>
      <w:spacing w:before="120" w:line="240" w:lineRule="auto"/>
      <w:ind w:left="1418" w:hanging="709"/>
      <w:jc w:val="both"/>
    </w:pPr>
    <w:rPr>
      <w:rFonts w:asciiTheme="minorHAnsi" w:eastAsia="Times New Roman" w:hAnsiTheme="minorHAnsi" w:cstheme="minorBidi"/>
      <w:i/>
      <w:sz w:val="22"/>
    </w:rPr>
  </w:style>
  <w:style w:type="character" w:customStyle="1" w:styleId="LeglistL1hangingChar">
    <w:name w:val="~Leg list L1 (hanging) Char"/>
    <w:basedOn w:val="DefaultParagraphFont"/>
    <w:link w:val="LeglistL1hanging"/>
    <w:uiPriority w:val="9"/>
    <w:rsid w:val="000044FF"/>
    <w:rPr>
      <w:rFonts w:asciiTheme="minorHAnsi" w:eastAsia="Times New Roman" w:hAnsiTheme="minorHAnsi" w:cstheme="minorBidi"/>
      <w:i/>
      <w:sz w:val="22"/>
    </w:rPr>
  </w:style>
  <w:style w:type="paragraph" w:customStyle="1" w:styleId="LeglistL1nohanging">
    <w:name w:val="~Leg list L1 (no hanging)"/>
    <w:basedOn w:val="LeglistL1hanging"/>
    <w:link w:val="LeglistL1nohangingChar"/>
    <w:uiPriority w:val="10"/>
    <w:qFormat/>
    <w:rsid w:val="000044FF"/>
    <w:pPr>
      <w:ind w:left="709" w:firstLine="0"/>
    </w:pPr>
  </w:style>
  <w:style w:type="character" w:customStyle="1" w:styleId="LeglistL1nohangingChar">
    <w:name w:val="~Leg list L1 (no hanging) Char"/>
    <w:basedOn w:val="LeglistL1hangingChar"/>
    <w:link w:val="LeglistL1nohanging"/>
    <w:uiPriority w:val="10"/>
    <w:rsid w:val="000044FF"/>
    <w:rPr>
      <w:rFonts w:asciiTheme="minorHAnsi" w:eastAsia="Times New Roman" w:hAnsiTheme="minorHAnsi" w:cstheme="minorBidi"/>
      <w:i/>
      <w:sz w:val="22"/>
    </w:rPr>
  </w:style>
  <w:style w:type="paragraph" w:customStyle="1" w:styleId="LeglistL2hanging">
    <w:name w:val="~Leg list L2 (hanging)"/>
    <w:basedOn w:val="Normal"/>
    <w:link w:val="LeglistL2hangingChar"/>
    <w:uiPriority w:val="9"/>
    <w:qFormat/>
    <w:rsid w:val="000044FF"/>
    <w:pPr>
      <w:spacing w:before="120" w:line="240" w:lineRule="auto"/>
      <w:ind w:left="2127" w:hanging="709"/>
      <w:jc w:val="both"/>
    </w:pPr>
    <w:rPr>
      <w:rFonts w:asciiTheme="minorHAnsi" w:eastAsia="Times New Roman" w:hAnsiTheme="minorHAnsi" w:cstheme="minorBidi"/>
      <w:i/>
      <w:sz w:val="22"/>
    </w:rPr>
  </w:style>
  <w:style w:type="character" w:customStyle="1" w:styleId="LeglistL2hangingChar">
    <w:name w:val="~Leg list L2 (hanging) Char"/>
    <w:basedOn w:val="DefaultParagraphFont"/>
    <w:link w:val="LeglistL2hanging"/>
    <w:uiPriority w:val="9"/>
    <w:rsid w:val="000044FF"/>
    <w:rPr>
      <w:rFonts w:asciiTheme="minorHAnsi" w:eastAsia="Times New Roman" w:hAnsiTheme="minorHAnsi" w:cstheme="minorBidi"/>
      <w:i/>
      <w:sz w:val="22"/>
    </w:rPr>
  </w:style>
  <w:style w:type="paragraph" w:customStyle="1" w:styleId="LeglistL2nohanging">
    <w:name w:val="~Leg list L2 (no hanging)"/>
    <w:basedOn w:val="LeglistL2hanging"/>
    <w:link w:val="LeglistL2nohangingChar"/>
    <w:uiPriority w:val="10"/>
    <w:qFormat/>
    <w:rsid w:val="000044FF"/>
    <w:pPr>
      <w:ind w:left="1418" w:firstLine="0"/>
    </w:pPr>
  </w:style>
  <w:style w:type="character" w:customStyle="1" w:styleId="LeglistL2nohangingChar">
    <w:name w:val="~Leg list L2 (no hanging) Char"/>
    <w:basedOn w:val="LeglistL2hangingChar"/>
    <w:link w:val="LeglistL2nohanging"/>
    <w:uiPriority w:val="10"/>
    <w:rsid w:val="000044FF"/>
    <w:rPr>
      <w:rFonts w:asciiTheme="minorHAnsi" w:eastAsia="Times New Roman" w:hAnsiTheme="minorHAnsi" w:cstheme="minorBidi"/>
      <w:i/>
      <w:sz w:val="22"/>
    </w:rPr>
  </w:style>
  <w:style w:type="paragraph" w:customStyle="1" w:styleId="LeglistL3hanging">
    <w:name w:val="~Leg list L3 (hanging)"/>
    <w:basedOn w:val="LeglistL2hanging"/>
    <w:link w:val="LeglistL3hangingChar"/>
    <w:uiPriority w:val="9"/>
    <w:semiHidden/>
    <w:qFormat/>
    <w:rsid w:val="000044FF"/>
    <w:pPr>
      <w:ind w:left="2835"/>
    </w:pPr>
  </w:style>
  <w:style w:type="character" w:customStyle="1" w:styleId="LeglistL3hangingChar">
    <w:name w:val="~Leg list L3 (hanging) Char"/>
    <w:basedOn w:val="LeglistL2hangingChar"/>
    <w:link w:val="LeglistL3hanging"/>
    <w:uiPriority w:val="9"/>
    <w:semiHidden/>
    <w:rsid w:val="000044FF"/>
    <w:rPr>
      <w:rFonts w:asciiTheme="minorHAnsi" w:eastAsia="Times New Roman" w:hAnsiTheme="minorHAnsi" w:cstheme="minorBidi"/>
      <w:i/>
      <w:sz w:val="22"/>
    </w:rPr>
  </w:style>
  <w:style w:type="paragraph" w:customStyle="1" w:styleId="LeglistL3nohanging">
    <w:name w:val="~Leg list L3 (no hanging)"/>
    <w:basedOn w:val="LeglistL3hanging"/>
    <w:link w:val="LeglistL3nohangingChar"/>
    <w:uiPriority w:val="10"/>
    <w:semiHidden/>
    <w:qFormat/>
    <w:rsid w:val="000044FF"/>
    <w:pPr>
      <w:ind w:left="2126" w:firstLine="0"/>
    </w:pPr>
  </w:style>
  <w:style w:type="character" w:customStyle="1" w:styleId="LeglistL3nohangingChar">
    <w:name w:val="~Leg list L3 (no hanging) Char"/>
    <w:basedOn w:val="LeglistL3hangingChar"/>
    <w:link w:val="LeglistL3nohanging"/>
    <w:uiPriority w:val="10"/>
    <w:semiHidden/>
    <w:rsid w:val="000044FF"/>
    <w:rPr>
      <w:rFonts w:asciiTheme="minorHAnsi" w:eastAsia="Times New Roman" w:hAnsiTheme="minorHAnsi" w:cstheme="minorBidi"/>
      <w:i/>
      <w:sz w:val="22"/>
    </w:rPr>
  </w:style>
  <w:style w:type="paragraph" w:customStyle="1" w:styleId="LeglistL4hanging">
    <w:name w:val="~Leg list L4 (hanging)"/>
    <w:basedOn w:val="LeglistL3hanging"/>
    <w:uiPriority w:val="9"/>
    <w:semiHidden/>
    <w:qFormat/>
    <w:rsid w:val="000044FF"/>
    <w:pPr>
      <w:ind w:left="3544"/>
    </w:pPr>
  </w:style>
  <w:style w:type="paragraph" w:customStyle="1" w:styleId="LeglistL4nohanging">
    <w:name w:val="~Leg list L4 (no hanging)"/>
    <w:basedOn w:val="LeglistL4hanging"/>
    <w:uiPriority w:val="10"/>
    <w:semiHidden/>
    <w:qFormat/>
    <w:rsid w:val="000044FF"/>
    <w:pPr>
      <w:ind w:left="2835" w:firstLine="0"/>
    </w:pPr>
  </w:style>
  <w:style w:type="paragraph" w:customStyle="1" w:styleId="Listbullet">
    <w:name w:val="~List bullet"/>
    <w:link w:val="ListbulletChar"/>
    <w:uiPriority w:val="7"/>
    <w:qFormat/>
    <w:rsid w:val="000044FF"/>
    <w:pPr>
      <w:numPr>
        <w:numId w:val="64"/>
      </w:numPr>
      <w:spacing w:before="120" w:after="120"/>
      <w:ind w:left="0" w:firstLine="0"/>
      <w:contextualSpacing/>
    </w:pPr>
    <w:rPr>
      <w:rFonts w:asciiTheme="minorHAnsi" w:eastAsiaTheme="minorHAnsi" w:hAnsiTheme="minorHAnsi" w:cstheme="minorBidi"/>
      <w:color w:val="000000" w:themeColor="text1"/>
      <w:sz w:val="22"/>
      <w:szCs w:val="22"/>
    </w:rPr>
  </w:style>
  <w:style w:type="character" w:customStyle="1" w:styleId="ListbulletChar">
    <w:name w:val="~List bullet Char"/>
    <w:basedOn w:val="DefaultParagraphFont"/>
    <w:link w:val="Listbullet"/>
    <w:uiPriority w:val="7"/>
    <w:rsid w:val="000044FF"/>
    <w:rPr>
      <w:rFonts w:asciiTheme="minorHAnsi" w:eastAsiaTheme="minorHAnsi" w:hAnsiTheme="minorHAnsi" w:cstheme="minorBidi"/>
      <w:color w:val="000000" w:themeColor="text1"/>
      <w:sz w:val="22"/>
      <w:szCs w:val="22"/>
    </w:rPr>
  </w:style>
  <w:style w:type="paragraph" w:customStyle="1" w:styleId="Listnumber111">
    <w:name w:val="~List number (1. / 1.1.)"/>
    <w:link w:val="Listnumber111Char"/>
    <w:uiPriority w:val="6"/>
    <w:qFormat/>
    <w:rsid w:val="000044FF"/>
    <w:pPr>
      <w:numPr>
        <w:numId w:val="65"/>
      </w:numPr>
      <w:ind w:left="0" w:firstLine="0"/>
      <w:contextualSpacing/>
    </w:pPr>
    <w:rPr>
      <w:rFonts w:asciiTheme="minorHAnsi" w:eastAsia="Times New Roman" w:hAnsiTheme="minorHAnsi" w:cstheme="minorBidi"/>
      <w:sz w:val="22"/>
    </w:rPr>
  </w:style>
  <w:style w:type="character" w:customStyle="1" w:styleId="Listnumber111Char">
    <w:name w:val="~List number (1. / 1.1.) Char"/>
    <w:basedOn w:val="DefaultParagraphFont"/>
    <w:link w:val="Listnumber111"/>
    <w:uiPriority w:val="6"/>
    <w:rsid w:val="000044FF"/>
    <w:rPr>
      <w:rFonts w:asciiTheme="minorHAnsi" w:eastAsia="Times New Roman" w:hAnsiTheme="minorHAnsi" w:cstheme="minorBidi"/>
      <w:sz w:val="22"/>
    </w:rPr>
  </w:style>
  <w:style w:type="table" w:customStyle="1" w:styleId="LStable1">
    <w:name w:val="~LS table 1"/>
    <w:basedOn w:val="TableNormal"/>
    <w:uiPriority w:val="99"/>
    <w:rsid w:val="000044FF"/>
    <w:pPr>
      <w:spacing w:before="120"/>
    </w:pPr>
    <w:rPr>
      <w:rFonts w:eastAsiaTheme="minorHAnsi" w:cstheme="minorBidi"/>
      <w:color w:val="000000" w:themeColor="text1"/>
      <w:sz w:val="18"/>
      <w:szCs w:val="22"/>
    </w:rPr>
    <w:tblPr>
      <w:tblBorders>
        <w:top w:val="single" w:sz="4" w:space="0" w:color="auto"/>
        <w:bottom w:val="single" w:sz="4" w:space="0" w:color="auto"/>
        <w:insideH w:val="single" w:sz="4" w:space="0" w:color="auto"/>
      </w:tblBorders>
      <w:tblCellMar>
        <w:top w:w="74" w:type="dxa"/>
        <w:left w:w="71" w:type="dxa"/>
        <w:bottom w:w="74" w:type="dxa"/>
        <w:right w:w="71" w:type="dxa"/>
      </w:tblCellMar>
    </w:tblPr>
    <w:trPr>
      <w:cantSplit/>
    </w:trPr>
    <w:tcPr>
      <w:vAlign w:val="center"/>
    </w:tcPr>
    <w:tblStylePr w:type="firstRow">
      <w:pPr>
        <w:jc w:val="left"/>
      </w:pPr>
      <w:rPr>
        <w:b/>
      </w:rPr>
    </w:tblStylePr>
    <w:tblStylePr w:type="firstCol">
      <w:pPr>
        <w:jc w:val="left"/>
      </w:pPr>
      <w:rPr>
        <w:b/>
      </w:rPr>
    </w:tblStylePr>
  </w:style>
  <w:style w:type="table" w:customStyle="1" w:styleId="LStable2">
    <w:name w:val="~LS table 2"/>
    <w:basedOn w:val="TableNormal"/>
    <w:uiPriority w:val="99"/>
    <w:rsid w:val="000044FF"/>
    <w:pPr>
      <w:spacing w:before="120" w:after="120"/>
    </w:pPr>
    <w:rPr>
      <w:rFonts w:eastAsiaTheme="minorHAnsi" w:cstheme="minorBidi"/>
      <w:color w:val="000000" w:themeColor="text1"/>
      <w:sz w:val="22"/>
      <w:szCs w:val="22"/>
    </w:rPr>
    <w:tblPr>
      <w:tblCellMar>
        <w:top w:w="113" w:type="dxa"/>
        <w:left w:w="0" w:type="dxa"/>
        <w:bottom w:w="113" w:type="dxa"/>
        <w:right w:w="0" w:type="dxa"/>
      </w:tblCellMar>
    </w:tblPr>
    <w:tblStylePr w:type="firstRow">
      <w:rPr>
        <w:b/>
      </w:rPr>
    </w:tblStylePr>
    <w:tblStylePr w:type="lastRow">
      <w:rPr>
        <w:b/>
      </w:rPr>
    </w:tblStylePr>
    <w:tblStylePr w:type="firstCol">
      <w:rPr>
        <w:b/>
      </w:rPr>
    </w:tblStylePr>
    <w:tblStylePr w:type="lastCol">
      <w:rPr>
        <w:b/>
      </w:rPr>
    </w:tblStylePr>
  </w:style>
  <w:style w:type="numbering" w:customStyle="1" w:styleId="MLheadinglistnumliststyle">
    <w:name w:val="~ML heading list num (list style)"/>
    <w:uiPriority w:val="99"/>
    <w:rsid w:val="000044FF"/>
    <w:pPr>
      <w:numPr>
        <w:numId w:val="62"/>
      </w:numPr>
    </w:pPr>
  </w:style>
  <w:style w:type="numbering" w:customStyle="1" w:styleId="MLlistailiststyle">
    <w:name w:val="~ML list (a) (i) (list style)"/>
    <w:uiPriority w:val="99"/>
    <w:rsid w:val="000044FF"/>
    <w:pPr>
      <w:numPr>
        <w:numId w:val="65"/>
      </w:numPr>
    </w:pPr>
  </w:style>
  <w:style w:type="numbering" w:customStyle="1" w:styleId="MLlistbulliststyle">
    <w:name w:val="~ML list bul (list style)"/>
    <w:basedOn w:val="NoList"/>
    <w:uiPriority w:val="99"/>
    <w:rsid w:val="000044FF"/>
    <w:pPr>
      <w:numPr>
        <w:numId w:val="66"/>
      </w:numPr>
    </w:pPr>
  </w:style>
  <w:style w:type="numbering" w:customStyle="1" w:styleId="MLlistlegliststyle">
    <w:name w:val="~ML list leg (list style)"/>
    <w:next w:val="NoList"/>
    <w:uiPriority w:val="99"/>
    <w:rsid w:val="000044FF"/>
    <w:pPr>
      <w:numPr>
        <w:numId w:val="67"/>
      </w:numPr>
    </w:pPr>
  </w:style>
  <w:style w:type="numbering" w:customStyle="1" w:styleId="MLlistnumliststyle">
    <w:name w:val="~ML list num (list style)"/>
    <w:uiPriority w:val="99"/>
    <w:rsid w:val="000044FF"/>
    <w:pPr>
      <w:numPr>
        <w:numId w:val="68"/>
      </w:numPr>
    </w:pPr>
  </w:style>
  <w:style w:type="paragraph" w:customStyle="1" w:styleId="Quote">
    <w:name w:val="~Quote"/>
    <w:basedOn w:val="NoSpacing"/>
    <w:link w:val="QuoteChar"/>
    <w:uiPriority w:val="8"/>
    <w:qFormat/>
    <w:rsid w:val="000044FF"/>
    <w:rPr>
      <w:rFonts w:asciiTheme="minorHAnsi" w:hAnsiTheme="minorHAnsi"/>
    </w:rPr>
  </w:style>
  <w:style w:type="character" w:customStyle="1" w:styleId="QuoteChar">
    <w:name w:val="~Quote Char"/>
    <w:basedOn w:val="DefaultParagraphFont"/>
    <w:link w:val="Quote"/>
    <w:uiPriority w:val="8"/>
    <w:rsid w:val="000044FF"/>
    <w:rPr>
      <w:rFonts w:asciiTheme="minorHAnsi" w:eastAsiaTheme="minorHAnsi" w:hAnsiTheme="minorHAnsi" w:cstheme="minorBidi"/>
      <w:color w:val="000000" w:themeColor="text1"/>
      <w:sz w:val="22"/>
      <w:szCs w:val="22"/>
    </w:rPr>
  </w:style>
  <w:style w:type="numbering" w:styleId="111111">
    <w:name w:val="Outline List 2"/>
    <w:basedOn w:val="NoList"/>
    <w:uiPriority w:val="99"/>
    <w:semiHidden/>
    <w:unhideWhenUsed/>
    <w:rsid w:val="000044FF"/>
    <w:pPr>
      <w:numPr>
        <w:numId w:val="69"/>
      </w:numPr>
    </w:pPr>
  </w:style>
  <w:style w:type="numbering" w:styleId="1ai">
    <w:name w:val="Outline List 1"/>
    <w:basedOn w:val="NoList"/>
    <w:uiPriority w:val="99"/>
    <w:semiHidden/>
    <w:unhideWhenUsed/>
    <w:rsid w:val="000044FF"/>
    <w:pPr>
      <w:numPr>
        <w:numId w:val="70"/>
      </w:numPr>
    </w:pPr>
  </w:style>
  <w:style w:type="character" w:styleId="CommentReference">
    <w:name w:val="annotation reference"/>
    <w:basedOn w:val="DefaultParagraphFont"/>
    <w:uiPriority w:val="99"/>
    <w:semiHidden/>
    <w:unhideWhenUsed/>
    <w:rsid w:val="000044FF"/>
    <w:rPr>
      <w:sz w:val="16"/>
      <w:szCs w:val="16"/>
    </w:rPr>
  </w:style>
  <w:style w:type="paragraph" w:styleId="CommentText">
    <w:name w:val="annotation text"/>
    <w:basedOn w:val="Normal"/>
    <w:link w:val="CommentTextChar"/>
    <w:uiPriority w:val="99"/>
    <w:rsid w:val="000044FF"/>
    <w:pPr>
      <w:spacing w:before="120" w:line="240" w:lineRule="auto"/>
      <w:jc w:val="both"/>
    </w:pPr>
    <w:rPr>
      <w:rFonts w:eastAsia="Times New Roman" w:cstheme="minorBidi"/>
      <w:sz w:val="20"/>
      <w:szCs w:val="20"/>
    </w:rPr>
  </w:style>
  <w:style w:type="character" w:customStyle="1" w:styleId="CommentTextChar">
    <w:name w:val="Comment Text Char"/>
    <w:basedOn w:val="DefaultParagraphFont"/>
    <w:link w:val="CommentText"/>
    <w:uiPriority w:val="99"/>
    <w:rsid w:val="000044FF"/>
    <w:rPr>
      <w:rFonts w:eastAsia="Times New Roman" w:cstheme="minorBidi"/>
      <w:sz w:val="20"/>
      <w:szCs w:val="20"/>
    </w:rPr>
  </w:style>
  <w:style w:type="paragraph" w:styleId="CommentSubject">
    <w:name w:val="annotation subject"/>
    <w:basedOn w:val="CommentText"/>
    <w:next w:val="CommentText"/>
    <w:link w:val="CommentSubjectChar"/>
    <w:uiPriority w:val="99"/>
    <w:semiHidden/>
    <w:unhideWhenUsed/>
    <w:rsid w:val="000044FF"/>
    <w:rPr>
      <w:b/>
      <w:bCs/>
    </w:rPr>
  </w:style>
  <w:style w:type="character" w:customStyle="1" w:styleId="CommentSubjectChar">
    <w:name w:val="Comment Subject Char"/>
    <w:basedOn w:val="CommentTextChar"/>
    <w:link w:val="CommentSubject"/>
    <w:uiPriority w:val="99"/>
    <w:semiHidden/>
    <w:rsid w:val="000044FF"/>
    <w:rPr>
      <w:rFonts w:eastAsia="Times New Roman" w:cstheme="minorBidi"/>
      <w:b/>
      <w:bCs/>
      <w:sz w:val="20"/>
      <w:szCs w:val="20"/>
    </w:rPr>
  </w:style>
  <w:style w:type="character" w:customStyle="1" w:styleId="Doctitle">
    <w:name w:val="Doc title"/>
    <w:uiPriority w:val="99"/>
    <w:semiHidden/>
    <w:unhideWhenUsed/>
    <w:qFormat/>
    <w:locked/>
    <w:rsid w:val="000044FF"/>
    <w:rPr>
      <w:rFonts w:ascii="Arial" w:hAnsi="Arial"/>
      <w:b/>
      <w:sz w:val="22"/>
    </w:rPr>
  </w:style>
  <w:style w:type="paragraph" w:styleId="FootnoteText">
    <w:name w:val="footnote text"/>
    <w:basedOn w:val="NoSpacing"/>
    <w:link w:val="FootnoteTextChar"/>
    <w:uiPriority w:val="99"/>
    <w:rsid w:val="000044FF"/>
    <w:rPr>
      <w:rFonts w:asciiTheme="minorHAnsi" w:hAnsiTheme="minorHAnsi"/>
      <w:sz w:val="18"/>
      <w:szCs w:val="20"/>
    </w:rPr>
  </w:style>
  <w:style w:type="character" w:customStyle="1" w:styleId="FootnoteTextChar">
    <w:name w:val="Footnote Text Char"/>
    <w:basedOn w:val="DefaultParagraphFont"/>
    <w:link w:val="FootnoteText"/>
    <w:uiPriority w:val="99"/>
    <w:rsid w:val="000044FF"/>
    <w:rPr>
      <w:rFonts w:asciiTheme="minorHAnsi" w:eastAsiaTheme="minorHAnsi" w:hAnsiTheme="minorHAnsi" w:cstheme="minorBidi"/>
      <w:color w:val="000000" w:themeColor="text1"/>
      <w:sz w:val="18"/>
      <w:szCs w:val="20"/>
    </w:rPr>
  </w:style>
  <w:style w:type="paragraph" w:styleId="EndnoteText">
    <w:name w:val="endnote text"/>
    <w:basedOn w:val="FootnoteText"/>
    <w:link w:val="EndnoteTextChar"/>
    <w:uiPriority w:val="99"/>
    <w:semiHidden/>
    <w:unhideWhenUsed/>
    <w:rsid w:val="000044FF"/>
  </w:style>
  <w:style w:type="character" w:customStyle="1" w:styleId="EndnoteTextChar">
    <w:name w:val="Endnote Text Char"/>
    <w:basedOn w:val="DefaultParagraphFont"/>
    <w:link w:val="EndnoteText"/>
    <w:uiPriority w:val="99"/>
    <w:semiHidden/>
    <w:rsid w:val="000044FF"/>
    <w:rPr>
      <w:rFonts w:asciiTheme="minorHAnsi" w:eastAsiaTheme="minorHAnsi" w:hAnsiTheme="minorHAnsi" w:cstheme="minorBidi"/>
      <w:color w:val="000000" w:themeColor="text1"/>
      <w:sz w:val="18"/>
      <w:szCs w:val="20"/>
    </w:rPr>
  </w:style>
  <w:style w:type="paragraph" w:styleId="NormalWeb">
    <w:name w:val="Normal (Web)"/>
    <w:basedOn w:val="Normal"/>
    <w:uiPriority w:val="99"/>
    <w:semiHidden/>
    <w:unhideWhenUsed/>
    <w:rsid w:val="000044FF"/>
    <w:pPr>
      <w:spacing w:before="100" w:beforeAutospacing="1" w:after="100" w:afterAutospacing="1" w:line="240" w:lineRule="auto"/>
      <w:jc w:val="both"/>
    </w:pPr>
    <w:rPr>
      <w:rFonts w:eastAsia="Times New Roman"/>
      <w:sz w:val="22"/>
      <w:lang w:eastAsia="en-AU"/>
    </w:rPr>
  </w:style>
  <w:style w:type="table" w:styleId="PlainTable2">
    <w:name w:val="Plain Table 2"/>
    <w:basedOn w:val="TableNormal"/>
    <w:uiPriority w:val="42"/>
    <w:rsid w:val="000044FF"/>
    <w:pPr>
      <w:spacing w:before="120"/>
    </w:pPr>
    <w:rPr>
      <w:rFonts w:eastAsiaTheme="minorHAnsi" w:cstheme="minorBidi"/>
      <w:color w:val="000000" w:themeColor="text1"/>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tyleBulletedSymbolsymbolLeft063cmHanging063cm">
    <w:name w:val="Style Bulleted Symbol (symbol) Left:  0.63 cm Hanging:  0.63 cm"/>
    <w:basedOn w:val="NoList"/>
    <w:rsid w:val="000044FF"/>
    <w:pPr>
      <w:numPr>
        <w:numId w:val="71"/>
      </w:numPr>
    </w:pPr>
  </w:style>
  <w:style w:type="numbering" w:customStyle="1" w:styleId="StyleBulletedSymbolsymbolLeft063cmHanging063cm1">
    <w:name w:val="Style Bulleted Symbol (symbol) Left:  0.63 cm Hanging:  0.63 cm1"/>
    <w:basedOn w:val="NoList"/>
    <w:rsid w:val="000044FF"/>
    <w:pPr>
      <w:numPr>
        <w:numId w:val="72"/>
      </w:numPr>
    </w:pPr>
  </w:style>
  <w:style w:type="numbering" w:customStyle="1" w:styleId="StyleNumberedLeft063cmHanging063cm">
    <w:name w:val="Style Numbered Left:  0.63 cm Hanging:  0.63 cm"/>
    <w:basedOn w:val="NoList"/>
    <w:rsid w:val="000044FF"/>
    <w:pPr>
      <w:numPr>
        <w:numId w:val="73"/>
      </w:numPr>
    </w:pPr>
  </w:style>
  <w:style w:type="numbering" w:customStyle="1" w:styleId="StyleNumberedLeft063cmHanging063cm1">
    <w:name w:val="Style Numbered Left:  0.63 cm Hanging:  0.63 cm1"/>
    <w:basedOn w:val="NoList"/>
    <w:rsid w:val="000044FF"/>
    <w:pPr>
      <w:numPr>
        <w:numId w:val="74"/>
      </w:numPr>
    </w:pPr>
  </w:style>
  <w:style w:type="numbering" w:customStyle="1" w:styleId="StyleNumberedLeft063cmHanging063cm2">
    <w:name w:val="Style Numbered Left:  0.63 cm Hanging:  0.63 cm2"/>
    <w:basedOn w:val="NoList"/>
    <w:rsid w:val="000044FF"/>
    <w:pPr>
      <w:numPr>
        <w:numId w:val="75"/>
      </w:numPr>
    </w:pPr>
  </w:style>
  <w:style w:type="numbering" w:customStyle="1" w:styleId="StyleNumberedLeft063cmHanging063cm3">
    <w:name w:val="Style Numbered Left:  0.63 cm Hanging:  0.63 cm3"/>
    <w:basedOn w:val="NoList"/>
    <w:rsid w:val="000044FF"/>
    <w:pPr>
      <w:numPr>
        <w:numId w:val="76"/>
      </w:numPr>
    </w:pPr>
  </w:style>
  <w:style w:type="numbering" w:customStyle="1" w:styleId="StyleOutlinenumberedLeft0cmHanging125cm">
    <w:name w:val="Style Outline numbered Left:  0 cm Hanging:  1.25 cm"/>
    <w:basedOn w:val="NoList"/>
    <w:rsid w:val="000044FF"/>
    <w:pPr>
      <w:numPr>
        <w:numId w:val="77"/>
      </w:numPr>
    </w:pPr>
  </w:style>
  <w:style w:type="numbering" w:customStyle="1" w:styleId="StyleOutlinenumberedLeft0cmHanging125cm1">
    <w:name w:val="Style Outline numbered Left:  0 cm Hanging:  1.25 cm1"/>
    <w:basedOn w:val="NoList"/>
    <w:rsid w:val="000044FF"/>
    <w:pPr>
      <w:numPr>
        <w:numId w:val="78"/>
      </w:numPr>
    </w:pPr>
  </w:style>
  <w:style w:type="numbering" w:customStyle="1" w:styleId="StyleOutlinenumberedLeft0cmHanging125cm2">
    <w:name w:val="Style Outline numbered Left:  0 cm Hanging:  1.25 cm2"/>
    <w:basedOn w:val="NoList"/>
    <w:rsid w:val="000044FF"/>
    <w:pPr>
      <w:numPr>
        <w:numId w:val="79"/>
      </w:numPr>
    </w:pPr>
  </w:style>
  <w:style w:type="numbering" w:customStyle="1" w:styleId="StyleOutlinenumberedLeft0cmHanging125cm3">
    <w:name w:val="Style Outline numbered Left:  0 cm Hanging:  1.25 cm3"/>
    <w:basedOn w:val="NoList"/>
    <w:rsid w:val="000044FF"/>
    <w:pPr>
      <w:numPr>
        <w:numId w:val="80"/>
      </w:numPr>
    </w:pPr>
  </w:style>
  <w:style w:type="paragraph" w:styleId="TOC4">
    <w:name w:val="toc 4"/>
    <w:basedOn w:val="Normal"/>
    <w:next w:val="Normal"/>
    <w:autoRedefine/>
    <w:uiPriority w:val="39"/>
    <w:unhideWhenUsed/>
    <w:rsid w:val="000044FF"/>
    <w:pPr>
      <w:spacing w:before="120" w:after="100" w:line="240" w:lineRule="auto"/>
      <w:ind w:left="660"/>
      <w:jc w:val="both"/>
    </w:pPr>
    <w:rPr>
      <w:rFonts w:eastAsia="Times New Roman" w:cstheme="minorBidi"/>
      <w:sz w:val="22"/>
    </w:rPr>
  </w:style>
  <w:style w:type="character" w:styleId="Strong">
    <w:name w:val="Strong"/>
    <w:basedOn w:val="DefaultParagraphFont"/>
    <w:uiPriority w:val="22"/>
    <w:qFormat/>
    <w:rsid w:val="000044FF"/>
    <w:rPr>
      <w:b/>
      <w:bCs/>
    </w:rPr>
  </w:style>
  <w:style w:type="character" w:styleId="Emphasis">
    <w:name w:val="Emphasis"/>
    <w:basedOn w:val="DefaultParagraphFont"/>
    <w:uiPriority w:val="20"/>
    <w:qFormat/>
    <w:rsid w:val="000044FF"/>
    <w:rPr>
      <w:i/>
      <w:iCs/>
    </w:rPr>
  </w:style>
  <w:style w:type="character" w:styleId="SubtleEmphasis">
    <w:name w:val="Subtle Emphasis"/>
    <w:basedOn w:val="DefaultParagraphFont"/>
    <w:uiPriority w:val="19"/>
    <w:rsid w:val="000044FF"/>
    <w:rPr>
      <w:i/>
      <w:iCs/>
      <w:color w:val="808080" w:themeColor="text1" w:themeTint="7F"/>
    </w:rPr>
  </w:style>
  <w:style w:type="character" w:styleId="IntenseEmphasis">
    <w:name w:val="Intense Emphasis"/>
    <w:basedOn w:val="DefaultParagraphFont"/>
    <w:uiPriority w:val="21"/>
    <w:rsid w:val="000044FF"/>
    <w:rPr>
      <w:b/>
      <w:bCs/>
      <w:i/>
      <w:iCs/>
      <w:color w:val="007F84" w:themeColor="accent1"/>
    </w:rPr>
  </w:style>
  <w:style w:type="paragraph" w:customStyle="1" w:styleId="NumberedlistLevel1">
    <w:name w:val="Numbered list Level 1"/>
    <w:basedOn w:val="ListParagraph"/>
    <w:link w:val="NumberedlistLevel1Char"/>
    <w:qFormat/>
    <w:rsid w:val="000044FF"/>
    <w:pPr>
      <w:numPr>
        <w:numId w:val="81"/>
      </w:numPr>
      <w:spacing w:before="120" w:after="120" w:line="276" w:lineRule="auto"/>
      <w:ind w:left="0" w:firstLine="0"/>
    </w:pPr>
    <w:rPr>
      <w:rFonts w:eastAsia="Times New Roman"/>
      <w:bCs/>
      <w:color w:val="2D2E2F"/>
      <w:sz w:val="22"/>
      <w:szCs w:val="20"/>
      <w:lang w:eastAsia="en-AU"/>
    </w:rPr>
  </w:style>
  <w:style w:type="character" w:customStyle="1" w:styleId="NumberedlistLevel1Char">
    <w:name w:val="Numbered list Level 1 Char"/>
    <w:basedOn w:val="ListParagraphChar"/>
    <w:link w:val="NumberedlistLevel1"/>
    <w:rsid w:val="000044FF"/>
    <w:rPr>
      <w:rFonts w:eastAsia="Times New Roman" w:cs="Arial"/>
      <w:bCs/>
      <w:color w:val="2D2E2F"/>
      <w:sz w:val="22"/>
      <w:szCs w:val="20"/>
      <w:lang w:val="en-GB" w:eastAsia="en-AU"/>
    </w:rPr>
  </w:style>
  <w:style w:type="paragraph" w:customStyle="1" w:styleId="NumberedListLevel2">
    <w:name w:val="Numbered List Level 2"/>
    <w:basedOn w:val="ListParagraph"/>
    <w:link w:val="NumberedListLevel2Char"/>
    <w:qFormat/>
    <w:rsid w:val="000044FF"/>
    <w:pPr>
      <w:numPr>
        <w:ilvl w:val="1"/>
        <w:numId w:val="81"/>
      </w:numPr>
      <w:spacing w:before="120" w:after="120" w:line="276" w:lineRule="auto"/>
      <w:ind w:left="0" w:firstLine="0"/>
    </w:pPr>
    <w:rPr>
      <w:rFonts w:eastAsia="Times New Roman"/>
      <w:bCs/>
      <w:color w:val="2D2E2F"/>
      <w:sz w:val="22"/>
      <w:szCs w:val="20"/>
      <w:lang w:eastAsia="en-AU"/>
    </w:rPr>
  </w:style>
  <w:style w:type="character" w:customStyle="1" w:styleId="NumberedListLevel2Char">
    <w:name w:val="Numbered List Level 2 Char"/>
    <w:basedOn w:val="ListParagraphChar"/>
    <w:link w:val="NumberedListLevel2"/>
    <w:rsid w:val="000044FF"/>
    <w:rPr>
      <w:rFonts w:eastAsia="Times New Roman" w:cs="Arial"/>
      <w:bCs/>
      <w:color w:val="2D2E2F"/>
      <w:sz w:val="22"/>
      <w:szCs w:val="20"/>
      <w:lang w:val="en-GB" w:eastAsia="en-AU"/>
    </w:rPr>
  </w:style>
  <w:style w:type="paragraph" w:customStyle="1" w:styleId="NumberedListLevel3">
    <w:name w:val="Numbered List Level 3"/>
    <w:basedOn w:val="ListParagraph"/>
    <w:link w:val="NumberedListLevel3Char"/>
    <w:qFormat/>
    <w:rsid w:val="000044FF"/>
    <w:pPr>
      <w:numPr>
        <w:ilvl w:val="2"/>
        <w:numId w:val="81"/>
      </w:numPr>
      <w:spacing w:before="120" w:after="120" w:line="276" w:lineRule="auto"/>
      <w:ind w:left="0" w:firstLine="0"/>
    </w:pPr>
    <w:rPr>
      <w:rFonts w:eastAsia="Times New Roman"/>
      <w:bCs/>
      <w:color w:val="2D2E2F"/>
      <w:sz w:val="22"/>
      <w:szCs w:val="20"/>
      <w:lang w:eastAsia="en-AU"/>
    </w:rPr>
  </w:style>
  <w:style w:type="character" w:customStyle="1" w:styleId="NumberedListLevel3Char">
    <w:name w:val="Numbered List Level 3 Char"/>
    <w:basedOn w:val="ListParagraphChar"/>
    <w:link w:val="NumberedListLevel3"/>
    <w:rsid w:val="000044FF"/>
    <w:rPr>
      <w:rFonts w:eastAsia="Times New Roman" w:cs="Arial"/>
      <w:bCs/>
      <w:color w:val="2D2E2F"/>
      <w:sz w:val="22"/>
      <w:szCs w:val="20"/>
      <w:lang w:val="en-GB" w:eastAsia="en-AU"/>
    </w:rPr>
  </w:style>
  <w:style w:type="paragraph" w:customStyle="1" w:styleId="BulletListLevel1">
    <w:name w:val="Bullet List Level 1"/>
    <w:basedOn w:val="NumberedlistLevel1"/>
    <w:link w:val="BulletListLevel1Char"/>
    <w:qFormat/>
    <w:rsid w:val="000044FF"/>
    <w:pPr>
      <w:numPr>
        <w:numId w:val="82"/>
      </w:numPr>
      <w:ind w:left="0" w:firstLine="0"/>
    </w:pPr>
  </w:style>
  <w:style w:type="character" w:customStyle="1" w:styleId="BulletListLevel1Char">
    <w:name w:val="Bullet List Level 1 Char"/>
    <w:basedOn w:val="NumberedlistLevel1Char"/>
    <w:link w:val="BulletListLevel1"/>
    <w:rsid w:val="000044FF"/>
    <w:rPr>
      <w:rFonts w:eastAsia="Times New Roman" w:cs="Arial"/>
      <w:bCs/>
      <w:color w:val="2D2E2F"/>
      <w:sz w:val="22"/>
      <w:szCs w:val="20"/>
      <w:lang w:val="en-GB" w:eastAsia="en-AU"/>
    </w:rPr>
  </w:style>
  <w:style w:type="paragraph" w:customStyle="1" w:styleId="BulletListLevel2">
    <w:name w:val="Bullet List Level 2"/>
    <w:basedOn w:val="NumberedListLevel2"/>
    <w:link w:val="BulletListLevel2Char"/>
    <w:qFormat/>
    <w:rsid w:val="000044FF"/>
    <w:pPr>
      <w:numPr>
        <w:ilvl w:val="0"/>
        <w:numId w:val="83"/>
      </w:numPr>
      <w:ind w:left="0" w:firstLine="0"/>
    </w:pPr>
  </w:style>
  <w:style w:type="character" w:customStyle="1" w:styleId="BulletListLevel2Char">
    <w:name w:val="Bullet List Level 2 Char"/>
    <w:basedOn w:val="NumberedListLevel2Char"/>
    <w:link w:val="BulletListLevel2"/>
    <w:rsid w:val="000044FF"/>
    <w:rPr>
      <w:rFonts w:eastAsia="Times New Roman" w:cs="Arial"/>
      <w:bCs/>
      <w:color w:val="2D2E2F"/>
      <w:sz w:val="22"/>
      <w:szCs w:val="20"/>
      <w:lang w:val="en-GB" w:eastAsia="en-AU"/>
    </w:rPr>
  </w:style>
  <w:style w:type="paragraph" w:customStyle="1" w:styleId="BulletListLevel3">
    <w:name w:val="Bullet List Level 3"/>
    <w:basedOn w:val="NumberedListLevel3"/>
    <w:link w:val="BulletListLevel3Char"/>
    <w:qFormat/>
    <w:rsid w:val="000044FF"/>
    <w:pPr>
      <w:numPr>
        <w:numId w:val="84"/>
      </w:numPr>
      <w:ind w:left="0" w:firstLine="0"/>
    </w:pPr>
  </w:style>
  <w:style w:type="character" w:customStyle="1" w:styleId="BulletListLevel3Char">
    <w:name w:val="Bullet List Level 3 Char"/>
    <w:basedOn w:val="NumberedListLevel3Char"/>
    <w:link w:val="BulletListLevel3"/>
    <w:rsid w:val="000044FF"/>
    <w:rPr>
      <w:rFonts w:eastAsia="Times New Roman" w:cs="Arial"/>
      <w:bCs/>
      <w:color w:val="2D2E2F"/>
      <w:sz w:val="22"/>
      <w:szCs w:val="20"/>
      <w:lang w:val="en-GB" w:eastAsia="en-AU"/>
    </w:rPr>
  </w:style>
  <w:style w:type="paragraph" w:customStyle="1" w:styleId="HeadingIntro">
    <w:name w:val="Heading Intro"/>
    <w:basedOn w:val="Normal"/>
    <w:rsid w:val="000044FF"/>
    <w:pPr>
      <w:spacing w:before="240" w:after="240" w:line="276" w:lineRule="auto"/>
    </w:pPr>
    <w:rPr>
      <w:rFonts w:eastAsia="Times New Roman"/>
      <w:b/>
      <w:bCs/>
      <w:color w:val="2D2E2F"/>
      <w:sz w:val="28"/>
      <w:szCs w:val="28"/>
      <w:lang w:eastAsia="en-AU"/>
    </w:rPr>
  </w:style>
  <w:style w:type="table" w:styleId="MediumShading2-Accent6">
    <w:name w:val="Medium Shading 2 Accent 6"/>
    <w:basedOn w:val="TableNormal"/>
    <w:uiPriority w:val="64"/>
    <w:rsid w:val="000044FF"/>
    <w:rPr>
      <w:rFonts w:ascii="Verdana" w:eastAsia="Times New Roman" w:hAnsi="Verdana"/>
      <w:sz w:val="18"/>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C0E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C0E1" w:themeFill="accent6"/>
      </w:tcPr>
    </w:tblStylePr>
    <w:tblStylePr w:type="lastCol">
      <w:rPr>
        <w:b/>
        <w:bCs/>
        <w:color w:val="FFFFFF" w:themeColor="background1"/>
      </w:rPr>
      <w:tblPr/>
      <w:tcPr>
        <w:tcBorders>
          <w:left w:val="nil"/>
          <w:right w:val="nil"/>
          <w:insideH w:val="nil"/>
          <w:insideV w:val="nil"/>
        </w:tcBorders>
        <w:shd w:val="clear" w:color="auto" w:fill="00C0E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044FF"/>
    <w:rPr>
      <w:rFonts w:ascii="Verdana" w:eastAsia="Times New Roman" w:hAnsi="Verdana"/>
      <w:sz w:val="18"/>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D3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D3B8" w:themeFill="accent3"/>
      </w:tcPr>
    </w:tblStylePr>
    <w:tblStylePr w:type="lastCol">
      <w:rPr>
        <w:b/>
        <w:bCs/>
        <w:color w:val="FFFFFF" w:themeColor="background1"/>
      </w:rPr>
      <w:tblPr/>
      <w:tcPr>
        <w:tcBorders>
          <w:left w:val="nil"/>
          <w:right w:val="nil"/>
          <w:insideH w:val="nil"/>
          <w:insideV w:val="nil"/>
        </w:tcBorders>
        <w:shd w:val="clear" w:color="auto" w:fill="97D3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0044FF"/>
    <w:rPr>
      <w:rFonts w:ascii="Verdana" w:eastAsia="Times New Roman" w:hAnsi="Verdana"/>
      <w:sz w:val="18"/>
      <w:szCs w:val="20"/>
      <w:lang w:eastAsia="en-AU"/>
    </w:rPr>
    <w:tblPr>
      <w:tblStyleRowBandSize w:val="1"/>
      <w:tblStyleColBandSize w:val="1"/>
      <w:tblBorders>
        <w:top w:val="single" w:sz="8" w:space="0" w:color="97D3B8" w:themeColor="accent3"/>
        <w:left w:val="single" w:sz="8" w:space="0" w:color="97D3B8" w:themeColor="accent3"/>
        <w:bottom w:val="single" w:sz="8" w:space="0" w:color="97D3B8" w:themeColor="accent3"/>
        <w:right w:val="single" w:sz="8" w:space="0" w:color="97D3B8" w:themeColor="accent3"/>
      </w:tblBorders>
    </w:tblPr>
    <w:tblStylePr w:type="firstRow">
      <w:pPr>
        <w:spacing w:before="0" w:after="0" w:line="240" w:lineRule="auto"/>
      </w:pPr>
      <w:rPr>
        <w:b/>
        <w:bCs/>
        <w:color w:val="FFFFFF" w:themeColor="background1"/>
      </w:rPr>
      <w:tblPr/>
      <w:tcPr>
        <w:shd w:val="clear" w:color="auto" w:fill="97D3B8" w:themeFill="accent3"/>
      </w:tcPr>
    </w:tblStylePr>
    <w:tblStylePr w:type="lastRow">
      <w:pPr>
        <w:spacing w:before="0" w:after="0" w:line="240" w:lineRule="auto"/>
      </w:pPr>
      <w:rPr>
        <w:b/>
        <w:bCs/>
      </w:rPr>
      <w:tblPr/>
      <w:tcPr>
        <w:tcBorders>
          <w:top w:val="double" w:sz="6" w:space="0" w:color="97D3B8" w:themeColor="accent3"/>
          <w:left w:val="single" w:sz="8" w:space="0" w:color="97D3B8" w:themeColor="accent3"/>
          <w:bottom w:val="single" w:sz="8" w:space="0" w:color="97D3B8" w:themeColor="accent3"/>
          <w:right w:val="single" w:sz="8" w:space="0" w:color="97D3B8" w:themeColor="accent3"/>
        </w:tcBorders>
      </w:tcPr>
    </w:tblStylePr>
    <w:tblStylePr w:type="firstCol">
      <w:rPr>
        <w:b/>
        <w:bCs/>
      </w:rPr>
    </w:tblStylePr>
    <w:tblStylePr w:type="lastCol">
      <w:rPr>
        <w:b/>
        <w:bCs/>
      </w:rPr>
    </w:tblStylePr>
    <w:tblStylePr w:type="band1Vert">
      <w:tblPr/>
      <w:tcPr>
        <w:tcBorders>
          <w:top w:val="single" w:sz="8" w:space="0" w:color="97D3B8" w:themeColor="accent3"/>
          <w:left w:val="single" w:sz="8" w:space="0" w:color="97D3B8" w:themeColor="accent3"/>
          <w:bottom w:val="single" w:sz="8" w:space="0" w:color="97D3B8" w:themeColor="accent3"/>
          <w:right w:val="single" w:sz="8" w:space="0" w:color="97D3B8" w:themeColor="accent3"/>
        </w:tcBorders>
      </w:tcPr>
    </w:tblStylePr>
    <w:tblStylePr w:type="band1Horz">
      <w:tblPr/>
      <w:tcPr>
        <w:tcBorders>
          <w:top w:val="single" w:sz="8" w:space="0" w:color="97D3B8" w:themeColor="accent3"/>
          <w:left w:val="single" w:sz="8" w:space="0" w:color="97D3B8" w:themeColor="accent3"/>
          <w:bottom w:val="single" w:sz="8" w:space="0" w:color="97D3B8" w:themeColor="accent3"/>
          <w:right w:val="single" w:sz="8" w:space="0" w:color="97D3B8" w:themeColor="accent3"/>
        </w:tcBorders>
      </w:tcPr>
    </w:tblStylePr>
  </w:style>
  <w:style w:type="table" w:styleId="MediumShading2-Accent2">
    <w:name w:val="Medium Shading 2 Accent 2"/>
    <w:basedOn w:val="TableNormal"/>
    <w:uiPriority w:val="64"/>
    <w:rsid w:val="000044FF"/>
    <w:rPr>
      <w:rFonts w:ascii="Verdana" w:eastAsia="Times New Roman" w:hAnsi="Verdana"/>
      <w:sz w:val="18"/>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AD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AD7A" w:themeFill="accent2"/>
      </w:tcPr>
    </w:tblStylePr>
    <w:tblStylePr w:type="lastCol">
      <w:rPr>
        <w:b/>
        <w:bCs/>
        <w:color w:val="FFFFFF" w:themeColor="background1"/>
      </w:rPr>
      <w:tblPr/>
      <w:tcPr>
        <w:tcBorders>
          <w:left w:val="nil"/>
          <w:right w:val="nil"/>
          <w:insideH w:val="nil"/>
          <w:insideV w:val="nil"/>
        </w:tcBorders>
        <w:shd w:val="clear" w:color="auto" w:fill="B3AD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0044FF"/>
    <w:rPr>
      <w:rFonts w:eastAsiaTheme="majorEastAsia" w:cstheme="majorBidi"/>
      <w:sz w:val="22"/>
      <w:szCs w:val="20"/>
      <w:lang w:eastAsia="en-AU"/>
    </w:rPr>
    <w:tblPr>
      <w:tblStyleRowBandSize w:val="1"/>
      <w:tblStyleColBandSize w:val="1"/>
      <w:tblBorders>
        <w:top w:val="single" w:sz="8" w:space="0" w:color="B3AD7A" w:themeColor="accent2"/>
        <w:left w:val="single" w:sz="8" w:space="0" w:color="B3AD7A" w:themeColor="accent2"/>
        <w:bottom w:val="single" w:sz="8" w:space="0" w:color="B3AD7A" w:themeColor="accent2"/>
        <w:right w:val="single" w:sz="8" w:space="0" w:color="B3AD7A" w:themeColor="accent2"/>
      </w:tblBorders>
    </w:tblPr>
    <w:tblStylePr w:type="firstRow">
      <w:rPr>
        <w:sz w:val="24"/>
        <w:szCs w:val="24"/>
      </w:rPr>
      <w:tblPr/>
      <w:tcPr>
        <w:tcBorders>
          <w:top w:val="nil"/>
          <w:left w:val="nil"/>
          <w:bottom w:val="single" w:sz="24" w:space="0" w:color="B3AD7A" w:themeColor="accent2"/>
          <w:right w:val="nil"/>
          <w:insideH w:val="nil"/>
          <w:insideV w:val="nil"/>
        </w:tcBorders>
        <w:shd w:val="clear" w:color="auto" w:fill="FFFFFF" w:themeFill="background1"/>
      </w:tcPr>
    </w:tblStylePr>
    <w:tblStylePr w:type="lastRow">
      <w:tblPr/>
      <w:tcPr>
        <w:tcBorders>
          <w:top w:val="single" w:sz="8" w:space="0" w:color="B3AD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AD7A" w:themeColor="accent2"/>
          <w:insideH w:val="nil"/>
          <w:insideV w:val="nil"/>
        </w:tcBorders>
        <w:shd w:val="clear" w:color="auto" w:fill="FFFFFF" w:themeFill="background1"/>
      </w:tcPr>
    </w:tblStylePr>
    <w:tblStylePr w:type="lastCol">
      <w:tblPr/>
      <w:tcPr>
        <w:tcBorders>
          <w:top w:val="nil"/>
          <w:left w:val="single" w:sz="8" w:space="0" w:color="B3AD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ADE" w:themeFill="accent2" w:themeFillTint="3F"/>
      </w:tcPr>
    </w:tblStylePr>
    <w:tblStylePr w:type="band1Horz">
      <w:tblPr/>
      <w:tcPr>
        <w:tcBorders>
          <w:top w:val="nil"/>
          <w:bottom w:val="nil"/>
          <w:insideH w:val="nil"/>
          <w:insideV w:val="nil"/>
        </w:tcBorders>
        <w:shd w:val="clear" w:color="auto" w:fill="ECEA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DocumentMap">
    <w:name w:val="Document Map"/>
    <w:basedOn w:val="Normal"/>
    <w:link w:val="DocumentMapChar"/>
    <w:uiPriority w:val="99"/>
    <w:semiHidden/>
    <w:unhideWhenUsed/>
    <w:rsid w:val="000044FF"/>
    <w:pPr>
      <w:spacing w:before="120" w:after="0" w:line="240" w:lineRule="auto"/>
    </w:pPr>
    <w:rPr>
      <w:rFonts w:ascii="Tahoma" w:eastAsia="Times New Roman" w:hAnsi="Tahoma" w:cs="Tahoma"/>
      <w:color w:val="2D2E2F"/>
      <w:sz w:val="16"/>
      <w:szCs w:val="16"/>
      <w:lang w:eastAsia="en-AU"/>
    </w:rPr>
  </w:style>
  <w:style w:type="character" w:customStyle="1" w:styleId="DocumentMapChar">
    <w:name w:val="Document Map Char"/>
    <w:basedOn w:val="DefaultParagraphFont"/>
    <w:link w:val="DocumentMap"/>
    <w:uiPriority w:val="99"/>
    <w:semiHidden/>
    <w:rsid w:val="000044FF"/>
    <w:rPr>
      <w:rFonts w:ascii="Tahoma" w:eastAsia="Times New Roman" w:hAnsi="Tahoma" w:cs="Tahoma"/>
      <w:color w:val="2D2E2F"/>
      <w:sz w:val="16"/>
      <w:szCs w:val="16"/>
      <w:lang w:eastAsia="en-AU"/>
    </w:rPr>
  </w:style>
  <w:style w:type="character" w:styleId="IntenseReference">
    <w:name w:val="Intense Reference"/>
    <w:basedOn w:val="DefaultParagraphFont"/>
    <w:uiPriority w:val="32"/>
    <w:rsid w:val="000044FF"/>
    <w:rPr>
      <w:b/>
      <w:bCs/>
      <w:smallCaps/>
      <w:color w:val="97D3B8" w:themeColor="accent3"/>
      <w:spacing w:val="5"/>
      <w:u w:val="single"/>
    </w:rPr>
  </w:style>
  <w:style w:type="character" w:styleId="SubtleReference">
    <w:name w:val="Subtle Reference"/>
    <w:basedOn w:val="DefaultParagraphFont"/>
    <w:uiPriority w:val="31"/>
    <w:rsid w:val="000044FF"/>
    <w:rPr>
      <w:smallCaps/>
      <w:color w:val="000000" w:themeColor="text1"/>
      <w:u w:val="single"/>
    </w:rPr>
  </w:style>
  <w:style w:type="paragraph" w:styleId="BodyText2">
    <w:name w:val="Body Text 2"/>
    <w:basedOn w:val="Normal"/>
    <w:link w:val="BodyText2Char"/>
    <w:uiPriority w:val="99"/>
    <w:semiHidden/>
    <w:unhideWhenUsed/>
    <w:rsid w:val="000044FF"/>
    <w:pPr>
      <w:spacing w:before="120" w:line="480" w:lineRule="auto"/>
    </w:pPr>
    <w:rPr>
      <w:rFonts w:eastAsia="Times New Roman"/>
      <w:color w:val="2D2E2F"/>
      <w:sz w:val="22"/>
      <w:szCs w:val="20"/>
      <w:lang w:eastAsia="en-AU"/>
    </w:rPr>
  </w:style>
  <w:style w:type="character" w:customStyle="1" w:styleId="BodyText2Char">
    <w:name w:val="Body Text 2 Char"/>
    <w:basedOn w:val="DefaultParagraphFont"/>
    <w:link w:val="BodyText2"/>
    <w:uiPriority w:val="99"/>
    <w:semiHidden/>
    <w:rsid w:val="000044FF"/>
    <w:rPr>
      <w:rFonts w:eastAsia="Times New Roman"/>
      <w:color w:val="2D2E2F"/>
      <w:sz w:val="22"/>
      <w:szCs w:val="20"/>
      <w:lang w:eastAsia="en-AU"/>
    </w:rPr>
  </w:style>
  <w:style w:type="table" w:styleId="ColorfulShading-Accent5">
    <w:name w:val="Colorful Shading Accent 5"/>
    <w:basedOn w:val="TableNormal"/>
    <w:uiPriority w:val="71"/>
    <w:rsid w:val="000044FF"/>
    <w:rPr>
      <w:rFonts w:ascii="Verdana" w:eastAsia="Times New Roman" w:hAnsi="Verdana"/>
      <w:color w:val="000000" w:themeColor="text1"/>
      <w:sz w:val="18"/>
      <w:szCs w:val="20"/>
      <w:lang w:eastAsia="en-AU"/>
    </w:rPr>
    <w:tblPr>
      <w:tblStyleRowBandSize w:val="1"/>
      <w:tblStyleColBandSize w:val="1"/>
      <w:tblBorders>
        <w:top w:val="single" w:sz="24" w:space="0" w:color="00C0E1" w:themeColor="accent6"/>
        <w:left w:val="single" w:sz="4" w:space="0" w:color="F7E100" w:themeColor="accent5"/>
        <w:bottom w:val="single" w:sz="4" w:space="0" w:color="F7E100" w:themeColor="accent5"/>
        <w:right w:val="single" w:sz="4" w:space="0" w:color="F7E100" w:themeColor="accent5"/>
        <w:insideH w:val="single" w:sz="4" w:space="0" w:color="FFFFFF" w:themeColor="background1"/>
        <w:insideV w:val="single" w:sz="4" w:space="0" w:color="FFFFFF" w:themeColor="background1"/>
      </w:tblBorders>
    </w:tblPr>
    <w:tcPr>
      <w:shd w:val="clear" w:color="auto" w:fill="FFFCE5" w:themeFill="accent5" w:themeFillTint="19"/>
    </w:tcPr>
    <w:tblStylePr w:type="firstRow">
      <w:rPr>
        <w:b/>
        <w:bCs/>
      </w:rPr>
      <w:tblPr/>
      <w:tcPr>
        <w:tcBorders>
          <w:top w:val="nil"/>
          <w:left w:val="nil"/>
          <w:bottom w:val="single" w:sz="24" w:space="0" w:color="00C0E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8600" w:themeFill="accent5" w:themeFillShade="99"/>
      </w:tcPr>
    </w:tblStylePr>
    <w:tblStylePr w:type="firstCol">
      <w:rPr>
        <w:color w:val="FFFFFF" w:themeColor="background1"/>
      </w:rPr>
      <w:tblPr/>
      <w:tcPr>
        <w:tcBorders>
          <w:top w:val="nil"/>
          <w:left w:val="nil"/>
          <w:bottom w:val="nil"/>
          <w:right w:val="nil"/>
          <w:insideH w:val="single" w:sz="4" w:space="0" w:color="948600" w:themeColor="accent5" w:themeShade="99"/>
          <w:insideV w:val="nil"/>
        </w:tcBorders>
        <w:shd w:val="clear" w:color="auto" w:fill="9486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48600" w:themeFill="accent5" w:themeFillShade="99"/>
      </w:tcPr>
    </w:tblStylePr>
    <w:tblStylePr w:type="band1Vert">
      <w:tblPr/>
      <w:tcPr>
        <w:shd w:val="clear" w:color="auto" w:fill="FFF595" w:themeFill="accent5" w:themeFillTint="66"/>
      </w:tcPr>
    </w:tblStylePr>
    <w:tblStylePr w:type="band1Horz">
      <w:tblPr/>
      <w:tcPr>
        <w:shd w:val="clear" w:color="auto" w:fill="FFF37C" w:themeFill="accent5" w:themeFillTint="7F"/>
      </w:tcPr>
    </w:tblStylePr>
    <w:tblStylePr w:type="neCell">
      <w:rPr>
        <w:color w:val="000000" w:themeColor="text1"/>
      </w:rPr>
    </w:tblStylePr>
    <w:tblStylePr w:type="nwCell">
      <w:rPr>
        <w:color w:val="000000" w:themeColor="text1"/>
      </w:rPr>
    </w:tblStylePr>
  </w:style>
  <w:style w:type="table" w:styleId="LightGrid-Accent3">
    <w:name w:val="Light Grid Accent 3"/>
    <w:basedOn w:val="TableNormal"/>
    <w:uiPriority w:val="62"/>
    <w:rsid w:val="000044FF"/>
    <w:rPr>
      <w:rFonts w:ascii="Verdana" w:eastAsia="Times New Roman" w:hAnsi="Verdana"/>
      <w:sz w:val="18"/>
      <w:szCs w:val="20"/>
      <w:lang w:eastAsia="en-AU"/>
    </w:rPr>
    <w:tblPr>
      <w:tblStyleRowBandSize w:val="1"/>
      <w:tblStyleColBandSize w:val="1"/>
      <w:tblBorders>
        <w:top w:val="single" w:sz="8" w:space="0" w:color="97D3B8" w:themeColor="accent3"/>
        <w:left w:val="single" w:sz="8" w:space="0" w:color="97D3B8" w:themeColor="accent3"/>
        <w:bottom w:val="single" w:sz="8" w:space="0" w:color="97D3B8" w:themeColor="accent3"/>
        <w:right w:val="single" w:sz="8" w:space="0" w:color="97D3B8" w:themeColor="accent3"/>
        <w:insideH w:val="single" w:sz="8" w:space="0" w:color="97D3B8" w:themeColor="accent3"/>
        <w:insideV w:val="single" w:sz="8" w:space="0" w:color="97D3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D3B8" w:themeColor="accent3"/>
          <w:left w:val="single" w:sz="8" w:space="0" w:color="97D3B8" w:themeColor="accent3"/>
          <w:bottom w:val="single" w:sz="18" w:space="0" w:color="97D3B8" w:themeColor="accent3"/>
          <w:right w:val="single" w:sz="8" w:space="0" w:color="97D3B8" w:themeColor="accent3"/>
          <w:insideH w:val="nil"/>
          <w:insideV w:val="single" w:sz="8" w:space="0" w:color="97D3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D3B8" w:themeColor="accent3"/>
          <w:left w:val="single" w:sz="8" w:space="0" w:color="97D3B8" w:themeColor="accent3"/>
          <w:bottom w:val="single" w:sz="8" w:space="0" w:color="97D3B8" w:themeColor="accent3"/>
          <w:right w:val="single" w:sz="8" w:space="0" w:color="97D3B8" w:themeColor="accent3"/>
          <w:insideH w:val="nil"/>
          <w:insideV w:val="single" w:sz="8" w:space="0" w:color="97D3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D3B8" w:themeColor="accent3"/>
          <w:left w:val="single" w:sz="8" w:space="0" w:color="97D3B8" w:themeColor="accent3"/>
          <w:bottom w:val="single" w:sz="8" w:space="0" w:color="97D3B8" w:themeColor="accent3"/>
          <w:right w:val="single" w:sz="8" w:space="0" w:color="97D3B8" w:themeColor="accent3"/>
        </w:tcBorders>
      </w:tcPr>
    </w:tblStylePr>
    <w:tblStylePr w:type="band1Vert">
      <w:tblPr/>
      <w:tcPr>
        <w:tcBorders>
          <w:top w:val="single" w:sz="8" w:space="0" w:color="97D3B8" w:themeColor="accent3"/>
          <w:left w:val="single" w:sz="8" w:space="0" w:color="97D3B8" w:themeColor="accent3"/>
          <w:bottom w:val="single" w:sz="8" w:space="0" w:color="97D3B8" w:themeColor="accent3"/>
          <w:right w:val="single" w:sz="8" w:space="0" w:color="97D3B8" w:themeColor="accent3"/>
        </w:tcBorders>
        <w:shd w:val="clear" w:color="auto" w:fill="E5F4ED" w:themeFill="accent3" w:themeFillTint="3F"/>
      </w:tcPr>
    </w:tblStylePr>
    <w:tblStylePr w:type="band1Horz">
      <w:tblPr/>
      <w:tcPr>
        <w:tcBorders>
          <w:top w:val="single" w:sz="8" w:space="0" w:color="97D3B8" w:themeColor="accent3"/>
          <w:left w:val="single" w:sz="8" w:space="0" w:color="97D3B8" w:themeColor="accent3"/>
          <w:bottom w:val="single" w:sz="8" w:space="0" w:color="97D3B8" w:themeColor="accent3"/>
          <w:right w:val="single" w:sz="8" w:space="0" w:color="97D3B8" w:themeColor="accent3"/>
          <w:insideV w:val="single" w:sz="8" w:space="0" w:color="97D3B8" w:themeColor="accent3"/>
        </w:tcBorders>
        <w:shd w:val="clear" w:color="auto" w:fill="E5F4ED" w:themeFill="accent3" w:themeFillTint="3F"/>
      </w:tcPr>
    </w:tblStylePr>
    <w:tblStylePr w:type="band2Horz">
      <w:tblPr/>
      <w:tcPr>
        <w:tcBorders>
          <w:top w:val="single" w:sz="8" w:space="0" w:color="97D3B8" w:themeColor="accent3"/>
          <w:left w:val="single" w:sz="8" w:space="0" w:color="97D3B8" w:themeColor="accent3"/>
          <w:bottom w:val="single" w:sz="8" w:space="0" w:color="97D3B8" w:themeColor="accent3"/>
          <w:right w:val="single" w:sz="8" w:space="0" w:color="97D3B8" w:themeColor="accent3"/>
          <w:insideV w:val="single" w:sz="8" w:space="0" w:color="97D3B8" w:themeColor="accent3"/>
        </w:tcBorders>
      </w:tcPr>
    </w:tblStylePr>
  </w:style>
  <w:style w:type="table" w:styleId="LightGrid-Accent6">
    <w:name w:val="Light Grid Accent 6"/>
    <w:basedOn w:val="TableNormal"/>
    <w:uiPriority w:val="62"/>
    <w:rsid w:val="000044FF"/>
    <w:rPr>
      <w:rFonts w:ascii="Verdana" w:eastAsia="Times New Roman" w:hAnsi="Verdana"/>
      <w:sz w:val="18"/>
      <w:szCs w:val="20"/>
      <w:lang w:eastAsia="en-AU"/>
    </w:rPr>
    <w:tblPr>
      <w:tblStyleRowBandSize w:val="1"/>
      <w:tblStyleColBandSize w:val="1"/>
      <w:tblBorders>
        <w:top w:val="single" w:sz="8" w:space="0" w:color="00C0E1" w:themeColor="accent6"/>
        <w:left w:val="single" w:sz="8" w:space="0" w:color="00C0E1" w:themeColor="accent6"/>
        <w:bottom w:val="single" w:sz="8" w:space="0" w:color="00C0E1" w:themeColor="accent6"/>
        <w:right w:val="single" w:sz="8" w:space="0" w:color="00C0E1" w:themeColor="accent6"/>
        <w:insideH w:val="single" w:sz="8" w:space="0" w:color="00C0E1" w:themeColor="accent6"/>
        <w:insideV w:val="single" w:sz="8" w:space="0" w:color="00C0E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C0E1" w:themeColor="accent6"/>
          <w:left w:val="single" w:sz="8" w:space="0" w:color="00C0E1" w:themeColor="accent6"/>
          <w:bottom w:val="single" w:sz="18" w:space="0" w:color="00C0E1" w:themeColor="accent6"/>
          <w:right w:val="single" w:sz="8" w:space="0" w:color="00C0E1" w:themeColor="accent6"/>
          <w:insideH w:val="nil"/>
          <w:insideV w:val="single" w:sz="8" w:space="0" w:color="00C0E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0E1" w:themeColor="accent6"/>
          <w:left w:val="single" w:sz="8" w:space="0" w:color="00C0E1" w:themeColor="accent6"/>
          <w:bottom w:val="single" w:sz="8" w:space="0" w:color="00C0E1" w:themeColor="accent6"/>
          <w:right w:val="single" w:sz="8" w:space="0" w:color="00C0E1" w:themeColor="accent6"/>
          <w:insideH w:val="nil"/>
          <w:insideV w:val="single" w:sz="8" w:space="0" w:color="00C0E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0E1" w:themeColor="accent6"/>
          <w:left w:val="single" w:sz="8" w:space="0" w:color="00C0E1" w:themeColor="accent6"/>
          <w:bottom w:val="single" w:sz="8" w:space="0" w:color="00C0E1" w:themeColor="accent6"/>
          <w:right w:val="single" w:sz="8" w:space="0" w:color="00C0E1" w:themeColor="accent6"/>
        </w:tcBorders>
      </w:tcPr>
    </w:tblStylePr>
    <w:tblStylePr w:type="band1Vert">
      <w:tblPr/>
      <w:tcPr>
        <w:tcBorders>
          <w:top w:val="single" w:sz="8" w:space="0" w:color="00C0E1" w:themeColor="accent6"/>
          <w:left w:val="single" w:sz="8" w:space="0" w:color="00C0E1" w:themeColor="accent6"/>
          <w:bottom w:val="single" w:sz="8" w:space="0" w:color="00C0E1" w:themeColor="accent6"/>
          <w:right w:val="single" w:sz="8" w:space="0" w:color="00C0E1" w:themeColor="accent6"/>
        </w:tcBorders>
        <w:shd w:val="clear" w:color="auto" w:fill="B8F4FF" w:themeFill="accent6" w:themeFillTint="3F"/>
      </w:tcPr>
    </w:tblStylePr>
    <w:tblStylePr w:type="band1Horz">
      <w:tblPr/>
      <w:tcPr>
        <w:tcBorders>
          <w:top w:val="single" w:sz="8" w:space="0" w:color="00C0E1" w:themeColor="accent6"/>
          <w:left w:val="single" w:sz="8" w:space="0" w:color="00C0E1" w:themeColor="accent6"/>
          <w:bottom w:val="single" w:sz="8" w:space="0" w:color="00C0E1" w:themeColor="accent6"/>
          <w:right w:val="single" w:sz="8" w:space="0" w:color="00C0E1" w:themeColor="accent6"/>
          <w:insideV w:val="single" w:sz="8" w:space="0" w:color="00C0E1" w:themeColor="accent6"/>
        </w:tcBorders>
        <w:shd w:val="clear" w:color="auto" w:fill="B8F4FF" w:themeFill="accent6" w:themeFillTint="3F"/>
      </w:tcPr>
    </w:tblStylePr>
    <w:tblStylePr w:type="band2Horz">
      <w:tblPr/>
      <w:tcPr>
        <w:tcBorders>
          <w:top w:val="single" w:sz="8" w:space="0" w:color="00C0E1" w:themeColor="accent6"/>
          <w:left w:val="single" w:sz="8" w:space="0" w:color="00C0E1" w:themeColor="accent6"/>
          <w:bottom w:val="single" w:sz="8" w:space="0" w:color="00C0E1" w:themeColor="accent6"/>
          <w:right w:val="single" w:sz="8" w:space="0" w:color="00C0E1" w:themeColor="accent6"/>
          <w:insideV w:val="single" w:sz="8" w:space="0" w:color="00C0E1" w:themeColor="accent6"/>
        </w:tcBorders>
      </w:tcPr>
    </w:tblStylePr>
  </w:style>
  <w:style w:type="character" w:styleId="PlaceholderText">
    <w:name w:val="Placeholder Text"/>
    <w:basedOn w:val="DefaultParagraphFont"/>
    <w:uiPriority w:val="99"/>
    <w:semiHidden/>
    <w:rsid w:val="000044FF"/>
    <w:rPr>
      <w:color w:val="808080"/>
    </w:rPr>
  </w:style>
  <w:style w:type="table" w:styleId="MediumShading2-Accent4">
    <w:name w:val="Medium Shading 2 Accent 4"/>
    <w:basedOn w:val="TableNormal"/>
    <w:uiPriority w:val="64"/>
    <w:rsid w:val="000044FF"/>
    <w:rPr>
      <w:rFonts w:ascii="Verdana" w:eastAsia="Times New Roman" w:hAnsi="Verdana"/>
      <w:sz w:val="18"/>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5F4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F45" w:themeFill="accent4"/>
      </w:tcPr>
    </w:tblStylePr>
    <w:tblStylePr w:type="lastCol">
      <w:rPr>
        <w:b/>
        <w:bCs/>
        <w:color w:val="FFFFFF" w:themeColor="background1"/>
      </w:rPr>
      <w:tblPr/>
      <w:tcPr>
        <w:tcBorders>
          <w:left w:val="nil"/>
          <w:right w:val="nil"/>
          <w:insideH w:val="nil"/>
          <w:insideV w:val="nil"/>
        </w:tcBorders>
        <w:shd w:val="clear" w:color="auto" w:fill="F15F4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etterListLevel1">
    <w:name w:val="Letter List Level 1"/>
    <w:basedOn w:val="BulletListLevel1"/>
    <w:link w:val="LetterListLevel1Char"/>
    <w:rsid w:val="000044FF"/>
    <w:pPr>
      <w:numPr>
        <w:numId w:val="85"/>
      </w:numPr>
      <w:ind w:left="0" w:firstLine="0"/>
    </w:pPr>
  </w:style>
  <w:style w:type="paragraph" w:styleId="Quote0">
    <w:name w:val="Quote"/>
    <w:basedOn w:val="Normal"/>
    <w:next w:val="Normal"/>
    <w:link w:val="QuoteChar0"/>
    <w:uiPriority w:val="29"/>
    <w:rsid w:val="000044FF"/>
    <w:pPr>
      <w:keepLines/>
      <w:spacing w:before="120" w:line="276" w:lineRule="auto"/>
    </w:pPr>
    <w:rPr>
      <w:rFonts w:asciiTheme="minorHAnsi" w:eastAsia="Times New Roman" w:hAnsiTheme="minorHAnsi"/>
      <w:iCs/>
      <w:color w:val="000000" w:themeColor="text1"/>
    </w:rPr>
  </w:style>
  <w:style w:type="character" w:customStyle="1" w:styleId="QuoteChar0">
    <w:name w:val="Quote Char"/>
    <w:basedOn w:val="DefaultParagraphFont"/>
    <w:link w:val="Quote0"/>
    <w:uiPriority w:val="29"/>
    <w:rsid w:val="000044FF"/>
    <w:rPr>
      <w:rFonts w:asciiTheme="minorHAnsi" w:eastAsia="Times New Roman" w:hAnsiTheme="minorHAnsi"/>
      <w:iCs/>
      <w:color w:val="000000" w:themeColor="text1"/>
    </w:rPr>
  </w:style>
  <w:style w:type="table" w:styleId="LightShading">
    <w:name w:val="Light Shading"/>
    <w:basedOn w:val="TableNormal"/>
    <w:uiPriority w:val="60"/>
    <w:rsid w:val="000044FF"/>
    <w:rPr>
      <w:rFonts w:ascii="Verdana" w:eastAsia="Times New Roman" w:hAnsi="Verdana"/>
      <w:color w:val="000000" w:themeColor="text1" w:themeShade="BF"/>
      <w:sz w:val="18"/>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044FF"/>
    <w:rPr>
      <w:rFonts w:ascii="Verdana" w:eastAsia="Times New Roman" w:hAnsi="Verdana"/>
      <w:color w:val="005E62" w:themeColor="accent1" w:themeShade="BF"/>
      <w:sz w:val="18"/>
      <w:szCs w:val="20"/>
      <w:lang w:eastAsia="en-AU"/>
    </w:rPr>
    <w:tblPr>
      <w:tblStyleRowBandSize w:val="1"/>
      <w:tblStyleColBandSize w:val="1"/>
      <w:tblBorders>
        <w:top w:val="single" w:sz="8" w:space="0" w:color="007F84" w:themeColor="accent1"/>
        <w:bottom w:val="single" w:sz="8" w:space="0" w:color="007F84" w:themeColor="accent1"/>
      </w:tblBorders>
    </w:tblPr>
    <w:tblStylePr w:type="firstRow">
      <w:pPr>
        <w:spacing w:before="0" w:after="0" w:line="240" w:lineRule="auto"/>
      </w:pPr>
      <w:rPr>
        <w:b/>
        <w:bCs/>
      </w:rPr>
      <w:tblPr/>
      <w:tcPr>
        <w:tcBorders>
          <w:top w:val="single" w:sz="8" w:space="0" w:color="007F84" w:themeColor="accent1"/>
          <w:left w:val="nil"/>
          <w:bottom w:val="single" w:sz="8" w:space="0" w:color="007F84" w:themeColor="accent1"/>
          <w:right w:val="nil"/>
          <w:insideH w:val="nil"/>
          <w:insideV w:val="nil"/>
        </w:tcBorders>
      </w:tcPr>
    </w:tblStylePr>
    <w:tblStylePr w:type="lastRow">
      <w:pPr>
        <w:spacing w:before="0" w:after="0" w:line="240" w:lineRule="auto"/>
      </w:pPr>
      <w:rPr>
        <w:b/>
        <w:bCs/>
      </w:rPr>
      <w:tblPr/>
      <w:tcPr>
        <w:tcBorders>
          <w:top w:val="single" w:sz="8" w:space="0" w:color="007F84" w:themeColor="accent1"/>
          <w:left w:val="nil"/>
          <w:bottom w:val="single" w:sz="8" w:space="0" w:color="007F8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BFF" w:themeFill="accent1" w:themeFillTint="3F"/>
      </w:tcPr>
    </w:tblStylePr>
    <w:tblStylePr w:type="band1Horz">
      <w:tblPr/>
      <w:tcPr>
        <w:tcBorders>
          <w:left w:val="nil"/>
          <w:right w:val="nil"/>
          <w:insideH w:val="nil"/>
          <w:insideV w:val="nil"/>
        </w:tcBorders>
        <w:shd w:val="clear" w:color="auto" w:fill="A1FBFF" w:themeFill="accent1" w:themeFillTint="3F"/>
      </w:tcPr>
    </w:tblStylePr>
  </w:style>
  <w:style w:type="table" w:styleId="LightShading-Accent4">
    <w:name w:val="Light Shading Accent 4"/>
    <w:basedOn w:val="TableNormal"/>
    <w:uiPriority w:val="60"/>
    <w:rsid w:val="000044FF"/>
    <w:rPr>
      <w:rFonts w:ascii="Verdana" w:eastAsia="Times New Roman" w:hAnsi="Verdana"/>
      <w:color w:val="D72E10" w:themeColor="accent4" w:themeShade="BF"/>
      <w:sz w:val="18"/>
      <w:szCs w:val="20"/>
      <w:lang w:eastAsia="en-AU"/>
    </w:rPr>
    <w:tblPr>
      <w:tblStyleRowBandSize w:val="1"/>
      <w:tblStyleColBandSize w:val="1"/>
      <w:tblBorders>
        <w:top w:val="single" w:sz="8" w:space="0" w:color="F15F45" w:themeColor="accent4"/>
        <w:bottom w:val="single" w:sz="8" w:space="0" w:color="F15F45" w:themeColor="accent4"/>
      </w:tblBorders>
    </w:tblPr>
    <w:tblStylePr w:type="firstRow">
      <w:pPr>
        <w:spacing w:before="0" w:after="0" w:line="240" w:lineRule="auto"/>
      </w:pPr>
      <w:rPr>
        <w:b/>
        <w:bCs/>
      </w:rPr>
      <w:tblPr/>
      <w:tcPr>
        <w:tcBorders>
          <w:top w:val="single" w:sz="8" w:space="0" w:color="F15F45" w:themeColor="accent4"/>
          <w:left w:val="nil"/>
          <w:bottom w:val="single" w:sz="8" w:space="0" w:color="F15F45" w:themeColor="accent4"/>
          <w:right w:val="nil"/>
          <w:insideH w:val="nil"/>
          <w:insideV w:val="nil"/>
        </w:tcBorders>
      </w:tcPr>
    </w:tblStylePr>
    <w:tblStylePr w:type="lastRow">
      <w:pPr>
        <w:spacing w:before="0" w:after="0" w:line="240" w:lineRule="auto"/>
      </w:pPr>
      <w:rPr>
        <w:b/>
        <w:bCs/>
      </w:rPr>
      <w:tblPr/>
      <w:tcPr>
        <w:tcBorders>
          <w:top w:val="single" w:sz="8" w:space="0" w:color="F15F45" w:themeColor="accent4"/>
          <w:left w:val="nil"/>
          <w:bottom w:val="single" w:sz="8" w:space="0" w:color="F15F4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7D0" w:themeFill="accent4" w:themeFillTint="3F"/>
      </w:tcPr>
    </w:tblStylePr>
    <w:tblStylePr w:type="band1Horz">
      <w:tblPr/>
      <w:tcPr>
        <w:tcBorders>
          <w:left w:val="nil"/>
          <w:right w:val="nil"/>
          <w:insideH w:val="nil"/>
          <w:insideV w:val="nil"/>
        </w:tcBorders>
        <w:shd w:val="clear" w:color="auto" w:fill="FBD7D0" w:themeFill="accent4" w:themeFillTint="3F"/>
      </w:tcPr>
    </w:tblStylePr>
  </w:style>
  <w:style w:type="paragraph" w:styleId="IntenseQuote">
    <w:name w:val="Intense Quote"/>
    <w:basedOn w:val="Normal"/>
    <w:next w:val="Normal"/>
    <w:link w:val="IntenseQuoteChar"/>
    <w:uiPriority w:val="30"/>
    <w:rsid w:val="000044FF"/>
    <w:pPr>
      <w:pBdr>
        <w:bottom w:val="single" w:sz="4" w:space="4" w:color="007F84" w:themeColor="accent1"/>
      </w:pBdr>
      <w:spacing w:before="200" w:after="280" w:line="276" w:lineRule="auto"/>
      <w:ind w:left="936" w:right="936"/>
    </w:pPr>
    <w:rPr>
      <w:rFonts w:eastAsia="Times New Roman"/>
      <w:b/>
      <w:bCs/>
      <w:i/>
      <w:iCs/>
      <w:color w:val="45415D" w:themeColor="text2"/>
      <w:sz w:val="22"/>
      <w:szCs w:val="20"/>
      <w:lang w:eastAsia="en-AU"/>
    </w:rPr>
  </w:style>
  <w:style w:type="character" w:customStyle="1" w:styleId="IntenseQuoteChar">
    <w:name w:val="Intense Quote Char"/>
    <w:basedOn w:val="DefaultParagraphFont"/>
    <w:link w:val="IntenseQuote"/>
    <w:uiPriority w:val="30"/>
    <w:rsid w:val="000044FF"/>
    <w:rPr>
      <w:rFonts w:eastAsia="Times New Roman"/>
      <w:b/>
      <w:bCs/>
      <w:i/>
      <w:iCs/>
      <w:color w:val="45415D" w:themeColor="text2"/>
      <w:sz w:val="22"/>
      <w:szCs w:val="20"/>
      <w:lang w:eastAsia="en-AU"/>
    </w:rPr>
  </w:style>
  <w:style w:type="character" w:customStyle="1" w:styleId="LetterListLevel1Char">
    <w:name w:val="Letter List Level 1 Char"/>
    <w:basedOn w:val="BulletListLevel1Char"/>
    <w:link w:val="LetterListLevel1"/>
    <w:rsid w:val="000044FF"/>
    <w:rPr>
      <w:rFonts w:eastAsia="Times New Roman" w:cs="Arial"/>
      <w:bCs/>
      <w:color w:val="2D2E2F"/>
      <w:sz w:val="22"/>
      <w:szCs w:val="20"/>
      <w:lang w:val="en-GB" w:eastAsia="en-AU"/>
    </w:rPr>
  </w:style>
  <w:style w:type="table" w:styleId="ColorfulShading-Accent6">
    <w:name w:val="Colorful Shading Accent 6"/>
    <w:basedOn w:val="TableNormal"/>
    <w:uiPriority w:val="71"/>
    <w:rsid w:val="000044FF"/>
    <w:rPr>
      <w:rFonts w:ascii="Verdana" w:eastAsia="Times New Roman" w:hAnsi="Verdana"/>
      <w:color w:val="000000" w:themeColor="text1"/>
      <w:sz w:val="18"/>
      <w:szCs w:val="20"/>
      <w:lang w:eastAsia="en-AU"/>
    </w:rPr>
    <w:tblPr>
      <w:tblStyleRowBandSize w:val="1"/>
      <w:tblStyleColBandSize w:val="1"/>
      <w:tblBorders>
        <w:top w:val="single" w:sz="24" w:space="0" w:color="F7E100" w:themeColor="accent5"/>
        <w:left w:val="single" w:sz="4" w:space="0" w:color="00C0E1" w:themeColor="accent6"/>
        <w:bottom w:val="single" w:sz="4" w:space="0" w:color="00C0E1" w:themeColor="accent6"/>
        <w:right w:val="single" w:sz="4" w:space="0" w:color="00C0E1" w:themeColor="accent6"/>
        <w:insideH w:val="single" w:sz="4" w:space="0" w:color="FFFFFF" w:themeColor="background1"/>
        <w:insideV w:val="single" w:sz="4" w:space="0" w:color="FFFFFF" w:themeColor="background1"/>
      </w:tblBorders>
    </w:tblPr>
    <w:tcPr>
      <w:shd w:val="clear" w:color="auto" w:fill="E3FAFF" w:themeFill="accent6" w:themeFillTint="19"/>
    </w:tcPr>
    <w:tblStylePr w:type="firstRow">
      <w:rPr>
        <w:b/>
        <w:bCs/>
      </w:rPr>
      <w:tblPr/>
      <w:tcPr>
        <w:tcBorders>
          <w:top w:val="nil"/>
          <w:left w:val="nil"/>
          <w:bottom w:val="single" w:sz="24" w:space="0" w:color="F7E1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287" w:themeFill="accent6" w:themeFillShade="99"/>
      </w:tcPr>
    </w:tblStylePr>
    <w:tblStylePr w:type="firstCol">
      <w:rPr>
        <w:color w:val="FFFFFF" w:themeColor="background1"/>
      </w:rPr>
      <w:tblPr/>
      <w:tcPr>
        <w:tcBorders>
          <w:top w:val="nil"/>
          <w:left w:val="nil"/>
          <w:bottom w:val="nil"/>
          <w:right w:val="nil"/>
          <w:insideH w:val="single" w:sz="4" w:space="0" w:color="007287" w:themeColor="accent6" w:themeShade="99"/>
          <w:insideV w:val="nil"/>
        </w:tcBorders>
        <w:shd w:val="clear" w:color="auto" w:fill="00728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7287" w:themeFill="accent6" w:themeFillShade="99"/>
      </w:tcPr>
    </w:tblStylePr>
    <w:tblStylePr w:type="band1Vert">
      <w:tblPr/>
      <w:tcPr>
        <w:shd w:val="clear" w:color="auto" w:fill="8DEEFF" w:themeFill="accent6" w:themeFillTint="66"/>
      </w:tcPr>
    </w:tblStylePr>
    <w:tblStylePr w:type="band1Horz">
      <w:tblPr/>
      <w:tcPr>
        <w:shd w:val="clear" w:color="auto" w:fill="71E9FF" w:themeFill="accent6" w:themeFillTint="7F"/>
      </w:tcPr>
    </w:tblStylePr>
    <w:tblStylePr w:type="neCell">
      <w:rPr>
        <w:color w:val="000000" w:themeColor="text1"/>
      </w:rPr>
    </w:tblStylePr>
    <w:tblStylePr w:type="nwCell">
      <w:rPr>
        <w:color w:val="000000" w:themeColor="text1"/>
      </w:rPr>
    </w:tblStylePr>
  </w:style>
  <w:style w:type="table" w:styleId="MediumList2-Accent4">
    <w:name w:val="Medium List 2 Accent 4"/>
    <w:basedOn w:val="TableNormal"/>
    <w:uiPriority w:val="66"/>
    <w:rsid w:val="000044FF"/>
    <w:rPr>
      <w:rFonts w:asciiTheme="majorHAnsi" w:eastAsiaTheme="majorEastAsia" w:hAnsiTheme="majorHAnsi" w:cstheme="majorBidi"/>
      <w:color w:val="000000" w:themeColor="text1"/>
      <w:sz w:val="18"/>
      <w:szCs w:val="20"/>
      <w:lang w:eastAsia="en-AU"/>
    </w:rPr>
    <w:tblPr>
      <w:tblStyleRowBandSize w:val="1"/>
      <w:tblStyleColBandSize w:val="1"/>
      <w:tblBorders>
        <w:top w:val="single" w:sz="8" w:space="0" w:color="F15F45" w:themeColor="accent4"/>
        <w:left w:val="single" w:sz="8" w:space="0" w:color="F15F45" w:themeColor="accent4"/>
        <w:bottom w:val="single" w:sz="8" w:space="0" w:color="F15F45" w:themeColor="accent4"/>
        <w:right w:val="single" w:sz="8" w:space="0" w:color="F15F45" w:themeColor="accent4"/>
      </w:tblBorders>
    </w:tblPr>
    <w:tblStylePr w:type="firstRow">
      <w:rPr>
        <w:sz w:val="24"/>
        <w:szCs w:val="24"/>
      </w:rPr>
      <w:tblPr/>
      <w:tcPr>
        <w:tcBorders>
          <w:top w:val="nil"/>
          <w:left w:val="nil"/>
          <w:bottom w:val="single" w:sz="24" w:space="0" w:color="F15F45" w:themeColor="accent4"/>
          <w:right w:val="nil"/>
          <w:insideH w:val="nil"/>
          <w:insideV w:val="nil"/>
        </w:tcBorders>
        <w:shd w:val="clear" w:color="auto" w:fill="FFFFFF" w:themeFill="background1"/>
      </w:tcPr>
    </w:tblStylePr>
    <w:tblStylePr w:type="lastRow">
      <w:tblPr/>
      <w:tcPr>
        <w:tcBorders>
          <w:top w:val="single" w:sz="8" w:space="0" w:color="F15F4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F45" w:themeColor="accent4"/>
          <w:insideH w:val="nil"/>
          <w:insideV w:val="nil"/>
        </w:tcBorders>
        <w:shd w:val="clear" w:color="auto" w:fill="FFFFFF" w:themeFill="background1"/>
      </w:tcPr>
    </w:tblStylePr>
    <w:tblStylePr w:type="lastCol">
      <w:tblPr/>
      <w:tcPr>
        <w:tcBorders>
          <w:top w:val="nil"/>
          <w:left w:val="single" w:sz="8" w:space="0" w:color="F15F4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7D0" w:themeFill="accent4" w:themeFillTint="3F"/>
      </w:tcPr>
    </w:tblStylePr>
    <w:tblStylePr w:type="band1Horz">
      <w:tblPr/>
      <w:tcPr>
        <w:tcBorders>
          <w:top w:val="nil"/>
          <w:bottom w:val="nil"/>
          <w:insideH w:val="nil"/>
          <w:insideV w:val="nil"/>
        </w:tcBorders>
        <w:shd w:val="clear" w:color="auto" w:fill="FBD7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GMSsimpletable">
    <w:name w:val="OGMS simple table"/>
    <w:basedOn w:val="TableNormal"/>
    <w:uiPriority w:val="99"/>
    <w:rsid w:val="000044FF"/>
    <w:rPr>
      <w:rFonts w:ascii="Verdana" w:eastAsia="Times New Roman" w:hAnsi="Verdana"/>
      <w:sz w:val="18"/>
      <w:szCs w:val="20"/>
      <w:lang w:eastAsia="en-AU"/>
    </w:rPr>
    <w:tblPr>
      <w:tblBorders>
        <w:insideH w:val="single" w:sz="8" w:space="0" w:color="F15F45" w:themeColor="accent4"/>
        <w:insideV w:val="single" w:sz="8" w:space="0" w:color="F15F45" w:themeColor="accent4"/>
      </w:tblBorders>
    </w:tblPr>
    <w:tblStylePr w:type="firstCol">
      <w:rPr>
        <w:b/>
        <w:color w:val="000000" w:themeColor="text1" w:themeShade="80"/>
      </w:rPr>
      <w:tblPr/>
      <w:tcPr>
        <w:shd w:val="clear" w:color="auto" w:fill="F2F2F2" w:themeFill="background1" w:themeFillShade="F2"/>
      </w:tcPr>
    </w:tblStylePr>
  </w:style>
  <w:style w:type="paragraph" w:customStyle="1" w:styleId="letterlist">
    <w:name w:val="letter list"/>
    <w:basedOn w:val="BulletListLevel1"/>
    <w:link w:val="letterlistChar"/>
    <w:rsid w:val="000044FF"/>
    <w:pPr>
      <w:numPr>
        <w:numId w:val="0"/>
      </w:numPr>
      <w:spacing w:before="0"/>
      <w:ind w:left="360" w:hanging="360"/>
    </w:pPr>
    <w:rPr>
      <w:color w:val="080808"/>
    </w:rPr>
  </w:style>
  <w:style w:type="character" w:customStyle="1" w:styleId="letterlistChar">
    <w:name w:val="letter list Char"/>
    <w:basedOn w:val="BulletListLevel1Char"/>
    <w:link w:val="letterlist"/>
    <w:rsid w:val="000044FF"/>
    <w:rPr>
      <w:rFonts w:eastAsia="Times New Roman" w:cs="Arial"/>
      <w:bCs/>
      <w:color w:val="080808"/>
      <w:sz w:val="22"/>
      <w:szCs w:val="20"/>
      <w:lang w:val="en-GB" w:eastAsia="en-AU"/>
    </w:rPr>
  </w:style>
  <w:style w:type="table" w:styleId="ColorfulShading-Accent4">
    <w:name w:val="Colorful Shading Accent 4"/>
    <w:basedOn w:val="TableNormal"/>
    <w:uiPriority w:val="71"/>
    <w:rsid w:val="000044FF"/>
    <w:rPr>
      <w:rFonts w:ascii="Century Gothic" w:eastAsia="Times New Roman" w:hAnsi="Century Gothic"/>
      <w:color w:val="000000" w:themeColor="text1"/>
      <w:sz w:val="20"/>
      <w:szCs w:val="20"/>
      <w:lang w:eastAsia="en-AU"/>
    </w:rPr>
    <w:tblPr>
      <w:tblStyleRowBandSize w:val="1"/>
      <w:tblStyleColBandSize w:val="1"/>
      <w:tblBorders>
        <w:top w:val="single" w:sz="24" w:space="0" w:color="97D3B8" w:themeColor="accent3"/>
        <w:left w:val="single" w:sz="4" w:space="0" w:color="F15F45" w:themeColor="accent4"/>
        <w:bottom w:val="single" w:sz="4" w:space="0" w:color="F15F45" w:themeColor="accent4"/>
        <w:right w:val="single" w:sz="4" w:space="0" w:color="F15F45" w:themeColor="accent4"/>
        <w:insideH w:val="single" w:sz="4" w:space="0" w:color="FFFFFF" w:themeColor="background1"/>
        <w:insideV w:val="single" w:sz="4" w:space="0" w:color="FFFFFF" w:themeColor="background1"/>
      </w:tblBorders>
    </w:tblPr>
    <w:tcPr>
      <w:shd w:val="clear" w:color="auto" w:fill="FDEFEC" w:themeFill="accent4" w:themeFillTint="19"/>
    </w:tcPr>
    <w:tblStylePr w:type="firstRow">
      <w:rPr>
        <w:b/>
        <w:bCs/>
      </w:rPr>
      <w:tblPr/>
      <w:tcPr>
        <w:tcBorders>
          <w:top w:val="nil"/>
          <w:left w:val="nil"/>
          <w:bottom w:val="single" w:sz="24" w:space="0" w:color="97D3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C240D" w:themeFill="accent4" w:themeFillShade="99"/>
      </w:tcPr>
    </w:tblStylePr>
    <w:tblStylePr w:type="firstCol">
      <w:rPr>
        <w:color w:val="FFFFFF" w:themeColor="background1"/>
      </w:rPr>
      <w:tblPr/>
      <w:tcPr>
        <w:tcBorders>
          <w:top w:val="nil"/>
          <w:left w:val="nil"/>
          <w:bottom w:val="nil"/>
          <w:right w:val="nil"/>
          <w:insideH w:val="single" w:sz="4" w:space="0" w:color="AC240D" w:themeColor="accent4" w:themeShade="99"/>
          <w:insideV w:val="nil"/>
        </w:tcBorders>
        <w:shd w:val="clear" w:color="auto" w:fill="AC240D" w:themeFill="accent4" w:themeFillShade="99"/>
      </w:tcPr>
    </w:tblStylePr>
    <w:tblStylePr w:type="lastCol">
      <w:rPr>
        <w:rFonts w:ascii="HelveticaNeueLTPro-Lt" w:hAnsi="HelveticaNeueLTPro-Lt"/>
        <w:color w:val="000000"/>
        <w:sz w:val="20"/>
      </w:rPr>
      <w:tblPr/>
      <w:tcPr>
        <w:tcBorders>
          <w:top w:val="nil"/>
          <w:left w:val="nil"/>
          <w:bottom w:val="nil"/>
          <w:right w:val="nil"/>
          <w:insideH w:val="nil"/>
          <w:insideV w:val="nil"/>
        </w:tcBorders>
        <w:shd w:val="clear" w:color="auto" w:fill="AC240D" w:themeFill="accent4" w:themeFillShade="99"/>
      </w:tcPr>
    </w:tblStylePr>
    <w:tblStylePr w:type="band1Vert">
      <w:tblPr/>
      <w:tcPr>
        <w:shd w:val="clear" w:color="auto" w:fill="F9BEB4" w:themeFill="accent4" w:themeFillTint="66"/>
      </w:tcPr>
    </w:tblStylePr>
    <w:tblStylePr w:type="band1Horz">
      <w:tblPr/>
      <w:tcPr>
        <w:shd w:val="clear" w:color="auto" w:fill="F8AFA2" w:themeFill="accent4" w:themeFillTint="7F"/>
      </w:tcPr>
    </w:tblStylePr>
    <w:tblStylePr w:type="neCell">
      <w:rPr>
        <w:color w:val="000000" w:themeColor="text1"/>
      </w:rPr>
    </w:tblStylePr>
    <w:tblStylePr w:type="nwCell">
      <w:rPr>
        <w:color w:val="000000" w:themeColor="text1"/>
      </w:rPr>
    </w:tblStylePr>
  </w:style>
  <w:style w:type="paragraph" w:customStyle="1" w:styleId="BodyText1">
    <w:name w:val="Body Text 1"/>
    <w:basedOn w:val="Normal"/>
    <w:link w:val="BodyText1Char"/>
    <w:rsid w:val="000044FF"/>
    <w:pPr>
      <w:spacing w:before="120" w:after="240" w:line="276" w:lineRule="auto"/>
    </w:pPr>
    <w:rPr>
      <w:rFonts w:eastAsia="Times New Roman"/>
      <w:color w:val="2D2E2F"/>
      <w:sz w:val="22"/>
      <w:szCs w:val="20"/>
      <w:lang w:eastAsia="en-AU"/>
    </w:rPr>
  </w:style>
  <w:style w:type="character" w:customStyle="1" w:styleId="BodyText1Char">
    <w:name w:val="Body Text 1 Char"/>
    <w:basedOn w:val="DefaultParagraphFont"/>
    <w:link w:val="BodyText1"/>
    <w:rsid w:val="000044FF"/>
    <w:rPr>
      <w:rFonts w:eastAsia="Times New Roman"/>
      <w:color w:val="2D2E2F"/>
      <w:sz w:val="22"/>
      <w:szCs w:val="20"/>
      <w:lang w:eastAsia="en-AU"/>
    </w:rPr>
  </w:style>
  <w:style w:type="paragraph" w:customStyle="1" w:styleId="Subtitle1">
    <w:name w:val="Subtitle 1"/>
    <w:basedOn w:val="Subtitle"/>
    <w:link w:val="Subtitle1Char"/>
    <w:rsid w:val="000044FF"/>
    <w:pPr>
      <w:shd w:val="clear" w:color="auto" w:fill="EAF6F0" w:themeFill="accent3" w:themeFillTint="33"/>
      <w:spacing w:before="240" w:after="240" w:line="30" w:lineRule="atLeast"/>
    </w:pPr>
    <w:rPr>
      <w:rFonts w:asciiTheme="majorHAnsi" w:hAnsiTheme="majorHAnsi"/>
      <w:i/>
      <w:iCs/>
      <w:color w:val="333045" w:themeColor="text2" w:themeShade="BF"/>
      <w:spacing w:val="15"/>
      <w:lang w:eastAsia="en-AU"/>
    </w:rPr>
  </w:style>
  <w:style w:type="character" w:customStyle="1" w:styleId="Subtitle1Char">
    <w:name w:val="Subtitle 1 Char"/>
    <w:basedOn w:val="SubtitleChar"/>
    <w:link w:val="Subtitle1"/>
    <w:rsid w:val="000044FF"/>
    <w:rPr>
      <w:rFonts w:asciiTheme="majorHAnsi" w:eastAsiaTheme="majorEastAsia" w:hAnsiTheme="majorHAnsi" w:cstheme="majorBidi"/>
      <w:i/>
      <w:iCs/>
      <w:color w:val="333045" w:themeColor="text2" w:themeShade="BF"/>
      <w:spacing w:val="15"/>
      <w:kern w:val="16"/>
      <w:sz w:val="40"/>
      <w:szCs w:val="40"/>
      <w:shd w:val="clear" w:color="auto" w:fill="EAF6F0" w:themeFill="accent3" w:themeFillTint="33"/>
      <w:lang w:eastAsia="en-AU"/>
      <w14:ligatures w14:val="standardContextual"/>
    </w:rPr>
  </w:style>
  <w:style w:type="paragraph" w:customStyle="1" w:styleId="BlockTitle">
    <w:name w:val="Block Title"/>
    <w:basedOn w:val="Title"/>
    <w:link w:val="BlockTitleChar"/>
    <w:rsid w:val="000044FF"/>
    <w:pPr>
      <w:shd w:val="clear" w:color="auto" w:fill="4D4D4D"/>
      <w:spacing w:before="240" w:after="240" w:line="276" w:lineRule="auto"/>
      <w:ind w:left="0" w:right="0"/>
      <w:jc w:val="center"/>
      <w:outlineLvl w:val="9"/>
    </w:pPr>
    <w:rPr>
      <w:rFonts w:ascii="Franklin Gothic Medium" w:eastAsiaTheme="majorEastAsia" w:hAnsi="Franklin Gothic Medium" w:cstheme="majorBidi"/>
      <w:b w:val="0"/>
      <w:color w:val="FFFFFF" w:themeColor="background2"/>
      <w:spacing w:val="5"/>
      <w:kern w:val="28"/>
      <w:sz w:val="52"/>
      <w:szCs w:val="40"/>
    </w:rPr>
  </w:style>
  <w:style w:type="character" w:customStyle="1" w:styleId="BlockTitleChar">
    <w:name w:val="Block Title Char"/>
    <w:basedOn w:val="TitleChar"/>
    <w:link w:val="BlockTitle"/>
    <w:rsid w:val="000044FF"/>
    <w:rPr>
      <w:rFonts w:ascii="Franklin Gothic Medium" w:eastAsiaTheme="majorEastAsia" w:hAnsi="Franklin Gothic Medium" w:cstheme="majorBidi"/>
      <w:b w:val="0"/>
      <w:noProof/>
      <w:color w:val="FFFFFF" w:themeColor="background2"/>
      <w:spacing w:val="5"/>
      <w:kern w:val="28"/>
      <w:sz w:val="52"/>
      <w:szCs w:val="40"/>
      <w:shd w:val="clear" w:color="auto" w:fill="4D4D4D"/>
      <w:lang w:eastAsia="en-AU"/>
    </w:rPr>
  </w:style>
  <w:style w:type="paragraph" w:customStyle="1" w:styleId="Pa0">
    <w:name w:val="Pa0"/>
    <w:basedOn w:val="Default"/>
    <w:next w:val="Default"/>
    <w:uiPriority w:val="99"/>
    <w:rsid w:val="000044FF"/>
    <w:pPr>
      <w:spacing w:before="120" w:after="120" w:line="241" w:lineRule="atLeast"/>
    </w:pPr>
    <w:rPr>
      <w:rFonts w:ascii="Arial" w:eastAsia="Times New Roman" w:hAnsi="Arial" w:cs="Arial"/>
      <w:color w:val="auto"/>
      <w:sz w:val="22"/>
      <w:lang w:eastAsia="en-AU"/>
      <w14:ligatures w14:val="none"/>
    </w:rPr>
  </w:style>
  <w:style w:type="table" w:styleId="MediumGrid3-Accent4">
    <w:name w:val="Medium Grid 3 Accent 4"/>
    <w:aliases w:val="Program Guides - no header"/>
    <w:basedOn w:val="TableNormal"/>
    <w:uiPriority w:val="69"/>
    <w:rsid w:val="000044FF"/>
    <w:rPr>
      <w:rFonts w:ascii="Century Gothic" w:eastAsia="Times New Roman" w:hAnsi="Century Gothic"/>
      <w:color w:val="080808"/>
      <w:sz w:val="22"/>
      <w:szCs w:val="20"/>
      <w:lang w:eastAsia="en-AU"/>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BD7D0" w:themeFill="accent4" w:themeFillTint="3F"/>
    </w:tcPr>
    <w:tblStylePr w:type="firstRow">
      <w:rPr>
        <w:rFonts w:ascii="Franklin Gothic Medium" w:hAnsi="Franklin Gothic Medium"/>
        <w:b/>
        <w:bCs/>
        <w:i w:val="0"/>
        <w:iCs w:val="0"/>
        <w:color w:val="6F242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F4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F45" w:themeFill="accent4"/>
      </w:tcPr>
    </w:tblStylePr>
    <w:tblStylePr w:type="firstCol">
      <w:rPr>
        <w:rFonts w:ascii="Franklin Gothic Medium" w:hAnsi="Franklin Gothic Medium"/>
        <w:b/>
        <w:bCs/>
        <w:i w:val="0"/>
        <w:iCs w:val="0"/>
        <w:color w:val="auto"/>
        <w:sz w:val="22"/>
      </w:rPr>
      <w:tblPr/>
      <w:tcPr>
        <w:shd w:val="clear" w:color="auto" w:fill="FFFFFF" w:themeFill="background1"/>
      </w:tcPr>
    </w:tblStylePr>
    <w:tblStylePr w:type="lastCol">
      <w:rPr>
        <w:b/>
        <w:bCs/>
        <w:i w:val="0"/>
        <w:iCs w:val="0"/>
        <w:color w:val="FFFFFF" w:themeColor="background1"/>
      </w:r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FA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FA2" w:themeFill="accent4" w:themeFillTint="7F"/>
      </w:tcPr>
    </w:tblStylePr>
  </w:style>
  <w:style w:type="table" w:customStyle="1" w:styleId="Style2">
    <w:name w:val="Style2"/>
    <w:basedOn w:val="TableNormal"/>
    <w:uiPriority w:val="99"/>
    <w:rsid w:val="000044FF"/>
    <w:rPr>
      <w:rFonts w:ascii="Verdana" w:eastAsia="Times New Roman" w:hAnsi="Verdana"/>
      <w:sz w:val="18"/>
      <w:szCs w:val="20"/>
      <w:lang w:eastAsia="en-AU"/>
    </w:rPr>
    <w:tblPr/>
  </w:style>
  <w:style w:type="table" w:customStyle="1" w:styleId="Style3">
    <w:name w:val="Style3"/>
    <w:basedOn w:val="TableNormal"/>
    <w:uiPriority w:val="99"/>
    <w:rsid w:val="000044FF"/>
    <w:rPr>
      <w:rFonts w:ascii="Century Gothic" w:eastAsia="Times New Roman" w:hAnsi="Century Gothic"/>
      <w:sz w:val="18"/>
      <w:szCs w:val="20"/>
      <w:lang w:eastAsia="en-AU"/>
    </w:rPr>
    <w:tblPr>
      <w:tblBorders>
        <w:insideH w:val="double" w:sz="2" w:space="0" w:color="D5EDE2" w:themeColor="accent3" w:themeTint="66"/>
        <w:insideV w:val="double" w:sz="2" w:space="0" w:color="D5EDE2" w:themeColor="accent3" w:themeTint="66"/>
      </w:tblBorders>
    </w:tblPr>
    <w:tcPr>
      <w:shd w:val="clear" w:color="auto" w:fill="FFFFFF" w:themeFill="background1"/>
    </w:tcPr>
    <w:tblStylePr w:type="firstCol">
      <w:tblPr/>
      <w:tcPr>
        <w:shd w:val="clear" w:color="auto" w:fill="EE4628" w:themeFill="accent4" w:themeFillShade="E6"/>
      </w:tcPr>
    </w:tblStylePr>
    <w:tblStylePr w:type="lastCol">
      <w:tblPr/>
      <w:tcPr>
        <w:shd w:val="clear" w:color="auto" w:fill="FFFFFF" w:themeFill="background1"/>
      </w:tcPr>
    </w:tblStylePr>
  </w:style>
  <w:style w:type="paragraph" w:customStyle="1" w:styleId="Std">
    <w:name w:val="Std"/>
    <w:uiPriority w:val="99"/>
    <w:rsid w:val="000044FF"/>
    <w:pPr>
      <w:widowControl w:val="0"/>
      <w:autoSpaceDE w:val="0"/>
      <w:autoSpaceDN w:val="0"/>
      <w:adjustRightInd w:val="0"/>
      <w:spacing w:after="144"/>
      <w:ind w:left="720" w:hanging="720"/>
    </w:pPr>
    <w:rPr>
      <w:rFonts w:eastAsiaTheme="minorEastAsia" w:cs="Arial"/>
      <w:b/>
      <w:bCs/>
      <w:sz w:val="20"/>
      <w:szCs w:val="20"/>
      <w:lang w:eastAsia="en-AU"/>
    </w:rPr>
  </w:style>
  <w:style w:type="paragraph" w:customStyle="1" w:styleId="Tableheading0">
    <w:name w:val="Table heading"/>
    <w:basedOn w:val="Normal"/>
    <w:uiPriority w:val="99"/>
    <w:rsid w:val="000044FF"/>
    <w:pPr>
      <w:widowControl w:val="0"/>
      <w:suppressAutoHyphens/>
      <w:autoSpaceDE w:val="0"/>
      <w:autoSpaceDN w:val="0"/>
      <w:adjustRightInd w:val="0"/>
      <w:spacing w:after="113" w:line="220" w:lineRule="atLeast"/>
      <w:textAlignment w:val="center"/>
    </w:pPr>
    <w:rPr>
      <w:rFonts w:ascii="HelveticaNeueLTPro-Bd" w:eastAsiaTheme="minorEastAsia" w:hAnsi="HelveticaNeueLTPro-Bd" w:cs="HelveticaNeueLTPro-Bd"/>
      <w:b/>
      <w:bCs/>
      <w:color w:val="FFFFFF"/>
      <w:sz w:val="18"/>
      <w:szCs w:val="18"/>
      <w:lang w:val="en-US" w:eastAsia="en-AU"/>
    </w:rPr>
  </w:style>
  <w:style w:type="paragraph" w:customStyle="1" w:styleId="Tabletext0">
    <w:name w:val="Table text"/>
    <w:basedOn w:val="Normal"/>
    <w:uiPriority w:val="99"/>
    <w:rsid w:val="000044FF"/>
    <w:pPr>
      <w:widowControl w:val="0"/>
      <w:suppressAutoHyphens/>
      <w:autoSpaceDE w:val="0"/>
      <w:autoSpaceDN w:val="0"/>
      <w:adjustRightInd w:val="0"/>
      <w:spacing w:after="113" w:line="220" w:lineRule="atLeast"/>
      <w:textAlignment w:val="center"/>
    </w:pPr>
    <w:rPr>
      <w:rFonts w:ascii="HelveticaNeueLTPro-Lt" w:eastAsiaTheme="minorEastAsia" w:hAnsi="HelveticaNeueLTPro-Lt" w:cs="HelveticaNeueLTPro-Lt"/>
      <w:color w:val="000000"/>
      <w:sz w:val="18"/>
      <w:szCs w:val="18"/>
      <w:lang w:val="en-US" w:eastAsia="en-AU"/>
    </w:rPr>
  </w:style>
  <w:style w:type="paragraph" w:customStyle="1" w:styleId="APVCOPY">
    <w:name w:val="APV COPY"/>
    <w:basedOn w:val="Normal"/>
    <w:qFormat/>
    <w:rsid w:val="000044FF"/>
    <w:pPr>
      <w:spacing w:line="360" w:lineRule="auto"/>
    </w:pPr>
    <w:rPr>
      <w:rFonts w:eastAsia="Cambria"/>
      <w:sz w:val="20"/>
      <w:lang w:eastAsia="en-AU"/>
    </w:rPr>
  </w:style>
  <w:style w:type="paragraph" w:customStyle="1" w:styleId="APVTABLEHEAD">
    <w:name w:val="APV TABLE HEAD"/>
    <w:basedOn w:val="Normal"/>
    <w:qFormat/>
    <w:rsid w:val="000044FF"/>
    <w:pPr>
      <w:tabs>
        <w:tab w:val="right" w:leader="dot" w:pos="5680"/>
      </w:tabs>
      <w:spacing w:after="0" w:line="240" w:lineRule="auto"/>
    </w:pPr>
    <w:rPr>
      <w:rFonts w:eastAsia="Cambria"/>
      <w:b/>
      <w:color w:val="F2F2F2"/>
      <w:sz w:val="20"/>
      <w:lang w:eastAsia="en-AU"/>
    </w:rPr>
  </w:style>
  <w:style w:type="paragraph" w:customStyle="1" w:styleId="APVCOPYBOLD">
    <w:name w:val="APV COPY BOLD"/>
    <w:basedOn w:val="Normal"/>
    <w:qFormat/>
    <w:rsid w:val="000044FF"/>
    <w:pPr>
      <w:spacing w:line="360" w:lineRule="auto"/>
    </w:pPr>
    <w:rPr>
      <w:rFonts w:eastAsia="Cambria"/>
      <w:b/>
      <w:sz w:val="18"/>
      <w:lang w:eastAsia="en-AU"/>
    </w:rPr>
  </w:style>
  <w:style w:type="character" w:customStyle="1" w:styleId="bodytext10">
    <w:name w:val="bodytext1"/>
    <w:basedOn w:val="DefaultParagraphFont"/>
    <w:rsid w:val="000044FF"/>
    <w:rPr>
      <w:rFonts w:ascii="Arial" w:hAnsi="Arial" w:cs="Arial" w:hint="default"/>
      <w:color w:val="333333"/>
      <w:sz w:val="18"/>
      <w:szCs w:val="18"/>
    </w:rPr>
  </w:style>
  <w:style w:type="paragraph" w:styleId="TOC5">
    <w:name w:val="toc 5"/>
    <w:basedOn w:val="Normal"/>
    <w:next w:val="Normal"/>
    <w:autoRedefine/>
    <w:uiPriority w:val="39"/>
    <w:unhideWhenUsed/>
    <w:rsid w:val="000044FF"/>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0044FF"/>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0044FF"/>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0044FF"/>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0044FF"/>
    <w:pPr>
      <w:spacing w:after="100" w:line="276" w:lineRule="auto"/>
      <w:ind w:left="1760"/>
    </w:pPr>
    <w:rPr>
      <w:rFonts w:asciiTheme="minorHAnsi" w:eastAsiaTheme="minorEastAsia" w:hAnsiTheme="minorHAnsi" w:cstheme="minorBidi"/>
      <w:sz w:val="22"/>
      <w:szCs w:val="22"/>
      <w:lang w:eastAsia="en-AU"/>
    </w:rPr>
  </w:style>
  <w:style w:type="paragraph" w:customStyle="1" w:styleId="APVBULLET1">
    <w:name w:val="APV BULLET 1"/>
    <w:basedOn w:val="Normal"/>
    <w:autoRedefine/>
    <w:qFormat/>
    <w:rsid w:val="000044FF"/>
    <w:pPr>
      <w:numPr>
        <w:numId w:val="86"/>
      </w:numPr>
      <w:spacing w:after="0" w:line="360" w:lineRule="auto"/>
      <w:ind w:left="0" w:firstLine="0"/>
      <w:contextualSpacing/>
    </w:pPr>
    <w:rPr>
      <w:rFonts w:eastAsia="Cambria"/>
      <w:sz w:val="22"/>
      <w:lang w:val="en-US" w:eastAsia="en-AU"/>
    </w:rPr>
  </w:style>
  <w:style w:type="paragraph" w:styleId="Revision">
    <w:name w:val="Revision"/>
    <w:hidden/>
    <w:uiPriority w:val="99"/>
    <w:semiHidden/>
    <w:rsid w:val="000044FF"/>
    <w:rPr>
      <w:rFonts w:asciiTheme="minorHAnsi" w:eastAsiaTheme="minorEastAsia" w:hAnsiTheme="minorHAnsi" w:cstheme="minorBidi"/>
      <w:sz w:val="22"/>
      <w:szCs w:val="22"/>
      <w:lang w:eastAsia="en-AU"/>
    </w:rPr>
  </w:style>
  <w:style w:type="paragraph" w:customStyle="1" w:styleId="paragraph">
    <w:name w:val="paragraph"/>
    <w:basedOn w:val="Normal"/>
    <w:rsid w:val="000044FF"/>
    <w:pPr>
      <w:spacing w:before="100" w:beforeAutospacing="1" w:after="100" w:afterAutospacing="1" w:line="240" w:lineRule="auto"/>
    </w:pPr>
    <w:rPr>
      <w:rFonts w:ascii="Times New Roman" w:eastAsia="Times New Roman" w:hAnsi="Times New Roman"/>
      <w:lang w:eastAsia="en-AU"/>
    </w:rPr>
  </w:style>
  <w:style w:type="character" w:customStyle="1" w:styleId="eop">
    <w:name w:val="eop"/>
    <w:basedOn w:val="DefaultParagraphFont"/>
    <w:rsid w:val="000044FF"/>
  </w:style>
  <w:style w:type="character" w:customStyle="1" w:styleId="wacimagecontainer">
    <w:name w:val="wacimagecontainer"/>
    <w:basedOn w:val="DefaultParagraphFont"/>
    <w:rsid w:val="000044FF"/>
  </w:style>
  <w:style w:type="paragraph" w:customStyle="1" w:styleId="pf0">
    <w:name w:val="pf0"/>
    <w:basedOn w:val="Normal"/>
    <w:rsid w:val="000044FF"/>
    <w:pPr>
      <w:spacing w:before="100" w:beforeAutospacing="1" w:after="100" w:afterAutospacing="1" w:line="240" w:lineRule="auto"/>
    </w:pPr>
    <w:rPr>
      <w:rFonts w:ascii="Times New Roman" w:eastAsia="Times New Roman" w:hAnsi="Times New Roman"/>
      <w:lang w:eastAsia="en-AU"/>
    </w:rPr>
  </w:style>
  <w:style w:type="character" w:customStyle="1" w:styleId="cf01">
    <w:name w:val="cf01"/>
    <w:basedOn w:val="DefaultParagraphFont"/>
    <w:rsid w:val="000044FF"/>
    <w:rPr>
      <w:rFonts w:ascii="Segoe UI" w:hAnsi="Segoe UI" w:cs="Segoe UI" w:hint="default"/>
      <w:color w:val="2D2E2F"/>
      <w:sz w:val="18"/>
      <w:szCs w:val="18"/>
    </w:rPr>
  </w:style>
  <w:style w:type="character" w:customStyle="1" w:styleId="is-uppercase">
    <w:name w:val="is-uppercase"/>
    <w:basedOn w:val="DefaultParagraphFont"/>
    <w:rsid w:val="000044FF"/>
  </w:style>
  <w:style w:type="paragraph" w:customStyle="1" w:styleId="p">
    <w:name w:val="p"/>
    <w:basedOn w:val="Normal"/>
    <w:rsid w:val="000044FF"/>
    <w:pPr>
      <w:spacing w:before="100" w:beforeAutospacing="1" w:after="100" w:afterAutospacing="1" w:line="240" w:lineRule="auto"/>
    </w:pPr>
    <w:rPr>
      <w:rFonts w:ascii="Times New Roman" w:eastAsia="Times New Roman" w:hAnsi="Times New Roman"/>
      <w:lang w:eastAsia="en-AU"/>
    </w:rPr>
  </w:style>
  <w:style w:type="paragraph" w:customStyle="1" w:styleId="div">
    <w:name w:val="div"/>
    <w:basedOn w:val="Normal"/>
    <w:rsid w:val="000044FF"/>
    <w:pPr>
      <w:spacing w:before="100" w:beforeAutospacing="1" w:after="100" w:afterAutospacing="1" w:line="240" w:lineRule="auto"/>
    </w:pPr>
    <w:rPr>
      <w:rFonts w:ascii="Times New Roman" w:eastAsia="Times New Roman" w:hAnsi="Times New Roman"/>
      <w:lang w:eastAsia="en-AU"/>
    </w:rPr>
  </w:style>
  <w:style w:type="paragraph" w:customStyle="1" w:styleId="xmsonormal">
    <w:name w:val="x_msonormal"/>
    <w:basedOn w:val="Normal"/>
    <w:rsid w:val="000044FF"/>
    <w:pPr>
      <w:spacing w:after="0" w:line="240" w:lineRule="auto"/>
    </w:pPr>
    <w:rPr>
      <w:rFonts w:ascii="Calibri" w:eastAsiaTheme="minorHAnsi" w:hAnsi="Calibri" w:cs="Calibri"/>
      <w:sz w:val="22"/>
      <w:szCs w:val="22"/>
      <w:lang w:eastAsia="en-AU"/>
    </w:rPr>
  </w:style>
  <w:style w:type="paragraph" w:customStyle="1" w:styleId="xdefault">
    <w:name w:val="x_default"/>
    <w:basedOn w:val="Normal"/>
    <w:rsid w:val="000044FF"/>
    <w:pPr>
      <w:autoSpaceDE w:val="0"/>
      <w:autoSpaceDN w:val="0"/>
      <w:spacing w:after="0" w:line="240" w:lineRule="auto"/>
    </w:pPr>
    <w:rPr>
      <w:rFonts w:ascii="Times New Roman" w:eastAsiaTheme="minorHAnsi" w:hAnsi="Times New Roman"/>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027401">
      <w:bodyDiv w:val="1"/>
      <w:marLeft w:val="0"/>
      <w:marRight w:val="0"/>
      <w:marTop w:val="0"/>
      <w:marBottom w:val="0"/>
      <w:divBdr>
        <w:top w:val="none" w:sz="0" w:space="0" w:color="auto"/>
        <w:left w:val="none" w:sz="0" w:space="0" w:color="auto"/>
        <w:bottom w:val="none" w:sz="0" w:space="0" w:color="auto"/>
        <w:right w:val="none" w:sz="0" w:space="0" w:color="auto"/>
      </w:divBdr>
    </w:div>
    <w:div w:id="581571186">
      <w:bodyDiv w:val="1"/>
      <w:marLeft w:val="0"/>
      <w:marRight w:val="0"/>
      <w:marTop w:val="0"/>
      <w:marBottom w:val="0"/>
      <w:divBdr>
        <w:top w:val="none" w:sz="0" w:space="0" w:color="auto"/>
        <w:left w:val="none" w:sz="0" w:space="0" w:color="auto"/>
        <w:bottom w:val="none" w:sz="0" w:space="0" w:color="auto"/>
        <w:right w:val="none" w:sz="0" w:space="0" w:color="auto"/>
      </w:divBdr>
    </w:div>
    <w:div w:id="636566427">
      <w:bodyDiv w:val="1"/>
      <w:marLeft w:val="0"/>
      <w:marRight w:val="0"/>
      <w:marTop w:val="0"/>
      <w:marBottom w:val="0"/>
      <w:divBdr>
        <w:top w:val="none" w:sz="0" w:space="0" w:color="auto"/>
        <w:left w:val="none" w:sz="0" w:space="0" w:color="auto"/>
        <w:bottom w:val="none" w:sz="0" w:space="0" w:color="auto"/>
        <w:right w:val="none" w:sz="0" w:space="0" w:color="auto"/>
      </w:divBdr>
    </w:div>
    <w:div w:id="768088913">
      <w:bodyDiv w:val="1"/>
      <w:marLeft w:val="0"/>
      <w:marRight w:val="0"/>
      <w:marTop w:val="0"/>
      <w:marBottom w:val="0"/>
      <w:divBdr>
        <w:top w:val="none" w:sz="0" w:space="0" w:color="auto"/>
        <w:left w:val="none" w:sz="0" w:space="0" w:color="auto"/>
        <w:bottom w:val="none" w:sz="0" w:space="0" w:color="auto"/>
        <w:right w:val="none" w:sz="0" w:space="0" w:color="auto"/>
      </w:divBdr>
    </w:div>
    <w:div w:id="933319083">
      <w:bodyDiv w:val="1"/>
      <w:marLeft w:val="0"/>
      <w:marRight w:val="0"/>
      <w:marTop w:val="0"/>
      <w:marBottom w:val="0"/>
      <w:divBdr>
        <w:top w:val="none" w:sz="0" w:space="0" w:color="auto"/>
        <w:left w:val="none" w:sz="0" w:space="0" w:color="auto"/>
        <w:bottom w:val="none" w:sz="0" w:space="0" w:color="auto"/>
        <w:right w:val="none" w:sz="0" w:space="0" w:color="auto"/>
      </w:divBdr>
    </w:div>
    <w:div w:id="1180506071">
      <w:bodyDiv w:val="1"/>
      <w:marLeft w:val="0"/>
      <w:marRight w:val="0"/>
      <w:marTop w:val="0"/>
      <w:marBottom w:val="0"/>
      <w:divBdr>
        <w:top w:val="none" w:sz="0" w:space="0" w:color="auto"/>
        <w:left w:val="none" w:sz="0" w:space="0" w:color="auto"/>
        <w:bottom w:val="none" w:sz="0" w:space="0" w:color="auto"/>
        <w:right w:val="none" w:sz="0" w:space="0" w:color="auto"/>
      </w:divBdr>
    </w:div>
    <w:div w:id="1503007136">
      <w:bodyDiv w:val="1"/>
      <w:marLeft w:val="0"/>
      <w:marRight w:val="0"/>
      <w:marTop w:val="0"/>
      <w:marBottom w:val="0"/>
      <w:divBdr>
        <w:top w:val="none" w:sz="0" w:space="0" w:color="auto"/>
        <w:left w:val="none" w:sz="0" w:space="0" w:color="auto"/>
        <w:bottom w:val="none" w:sz="0" w:space="0" w:color="auto"/>
        <w:right w:val="none" w:sz="0" w:space="0" w:color="auto"/>
      </w:divBdr>
    </w:div>
    <w:div w:id="1547180457">
      <w:bodyDiv w:val="1"/>
      <w:marLeft w:val="0"/>
      <w:marRight w:val="0"/>
      <w:marTop w:val="0"/>
      <w:marBottom w:val="0"/>
      <w:divBdr>
        <w:top w:val="none" w:sz="0" w:space="0" w:color="auto"/>
        <w:left w:val="none" w:sz="0" w:space="0" w:color="auto"/>
        <w:bottom w:val="none" w:sz="0" w:space="0" w:color="auto"/>
        <w:right w:val="none" w:sz="0" w:space="0" w:color="auto"/>
      </w:divBdr>
    </w:div>
    <w:div w:id="1576475194">
      <w:bodyDiv w:val="1"/>
      <w:marLeft w:val="0"/>
      <w:marRight w:val="0"/>
      <w:marTop w:val="0"/>
      <w:marBottom w:val="0"/>
      <w:divBdr>
        <w:top w:val="none" w:sz="0" w:space="0" w:color="auto"/>
        <w:left w:val="none" w:sz="0" w:space="0" w:color="auto"/>
        <w:bottom w:val="none" w:sz="0" w:space="0" w:color="auto"/>
        <w:right w:val="none" w:sz="0" w:space="0" w:color="auto"/>
      </w:divBdr>
    </w:div>
    <w:div w:id="1688364720">
      <w:bodyDiv w:val="1"/>
      <w:marLeft w:val="0"/>
      <w:marRight w:val="0"/>
      <w:marTop w:val="0"/>
      <w:marBottom w:val="0"/>
      <w:divBdr>
        <w:top w:val="none" w:sz="0" w:space="0" w:color="auto"/>
        <w:left w:val="none" w:sz="0" w:space="0" w:color="auto"/>
        <w:bottom w:val="none" w:sz="0" w:space="0" w:color="auto"/>
        <w:right w:val="none" w:sz="0" w:space="0" w:color="auto"/>
      </w:divBdr>
    </w:div>
    <w:div w:id="1816753298">
      <w:bodyDiv w:val="1"/>
      <w:marLeft w:val="0"/>
      <w:marRight w:val="0"/>
      <w:marTop w:val="0"/>
      <w:marBottom w:val="0"/>
      <w:divBdr>
        <w:top w:val="none" w:sz="0" w:space="0" w:color="auto"/>
        <w:left w:val="none" w:sz="0" w:space="0" w:color="auto"/>
        <w:bottom w:val="none" w:sz="0" w:space="0" w:color="auto"/>
        <w:right w:val="none" w:sz="0" w:space="0" w:color="auto"/>
      </w:divBdr>
    </w:div>
    <w:div w:id="1985354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s://standards.aasb.gov.au/accounting-standards" TargetMode="External"/><Relationship Id="rId3" Type="http://schemas.openxmlformats.org/officeDocument/2006/relationships/customXml" Target="../customXml/item3.xml"/><Relationship Id="rId21" Type="http://schemas.openxmlformats.org/officeDocument/2006/relationships/hyperlink" Target="https://standards.aasb.gov.au/accounting-standards" TargetMode="External"/><Relationship Id="rId34" Type="http://schemas.openxmlformats.org/officeDocument/2006/relationships/hyperlink" Target="https://www.olg.nsw.gov.au/councils/council-finances/financial-reporting/local-government-code-of-accounting-practice-and-financialreporting/"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standards.aasb.gov.au/accounting-standards" TargetMode="External"/><Relationship Id="rId33" Type="http://schemas.openxmlformats.org/officeDocument/2006/relationships/hyperlink" Target="https://www.localgovernment.vic.gov.au/search?query=accounting+for+landfill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standards.aasb.gov.au/concepts-documents" TargetMode="External"/><Relationship Id="rId29" Type="http://schemas.openxmlformats.org/officeDocument/2006/relationships/hyperlink" Target="https://standards.aasb.gov.au/accounting-standard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tandards.aasb.gov.au/accounting-standards" TargetMode="External"/><Relationship Id="rId32" Type="http://schemas.openxmlformats.org/officeDocument/2006/relationships/hyperlink" Target="https://www.joondalup.wa.gov.au/residents/roads,-streets-and-verges/verges-and-crossovers" TargetMode="External"/><Relationship Id="rId5" Type="http://schemas.openxmlformats.org/officeDocument/2006/relationships/customXml" Target="../customXml/item5.xml"/><Relationship Id="rId15" Type="http://schemas.openxmlformats.org/officeDocument/2006/relationships/hyperlink" Target="http://www.lgirs.wa.gov.au" TargetMode="External"/><Relationship Id="rId23" Type="http://schemas.openxmlformats.org/officeDocument/2006/relationships/hyperlink" Target="https://standards.aasb.gov.au/accounting-standards" TargetMode="External"/><Relationship Id="rId28" Type="http://schemas.openxmlformats.org/officeDocument/2006/relationships/hyperlink" Target="https://standards.aasb.gov.au/accounting-standards"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joondalup.wa.gov.au/residents/roads,-streets-and-verges/verges-and-crossov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munication@lgirs.wa.gov.au" TargetMode="External"/><Relationship Id="rId22" Type="http://schemas.openxmlformats.org/officeDocument/2006/relationships/hyperlink" Target="https://standards.aasb.gov.au/accounting-standards" TargetMode="External"/><Relationship Id="rId27" Type="http://schemas.openxmlformats.org/officeDocument/2006/relationships/hyperlink" Target="https://standards.aasb.gov.au/accounting-standards" TargetMode="External"/><Relationship Id="rId30" Type="http://schemas.openxmlformats.org/officeDocument/2006/relationships/hyperlink" Target="https://aasb.gov.au/news/five-new-amending-standards-to-end-the-year/"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MIRS 2025">
      <a:dk1>
        <a:sysClr val="windowText" lastClr="000000"/>
      </a:dk1>
      <a:lt1>
        <a:sysClr val="window" lastClr="FFFFFF"/>
      </a:lt1>
      <a:dk2>
        <a:srgbClr val="45415D"/>
      </a:dk2>
      <a:lt2>
        <a:srgbClr val="FFFFFF"/>
      </a:lt2>
      <a:accent1>
        <a:srgbClr val="007F84"/>
      </a:accent1>
      <a:accent2>
        <a:srgbClr val="B3AD7A"/>
      </a:accent2>
      <a:accent3>
        <a:srgbClr val="97D3B8"/>
      </a:accent3>
      <a:accent4>
        <a:srgbClr val="F15F45"/>
      </a:accent4>
      <a:accent5>
        <a:srgbClr val="F7E100"/>
      </a:accent5>
      <a:accent6>
        <a:srgbClr val="00C0E1"/>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A101789511</value>
    </field>
    <field name="Objective-Title">
      <value order="0">Attachment 1 - Non-financial Assets Valuation Guidelines - Final Version - D133322</value>
    </field>
    <field name="Objective-Description">
      <value order="0"/>
    </field>
    <field name="Objective-CreationStamp">
      <value order="0">2025-12-16T03:50:12Z</value>
    </field>
    <field name="Objective-IsApproved">
      <value order="0">false</value>
    </field>
    <field name="Objective-IsPublished">
      <value order="0">true</value>
    </field>
    <field name="Objective-DatePublished">
      <value order="0">2025-12-16T03:50:14Z</value>
    </field>
    <field name="Objective-ModificationStamp">
      <value order="0">2025-12-16T03:50:15Z</value>
    </field>
    <field name="Objective-Owner">
      <value order="0">KERSHAW, Jennifer</value>
    </field>
    <field name="Objective-Path">
      <value order="0">DEMIRS Global Folder:02 Corporate File Plan:LGIRS - Corporate Services and Labour Relations Group:Corporate Services:Ministerial Liaison Unit:Government Relations:Representations:Ministerial:# 2025:LGIRS - Local Government - 2025:84-  - BNMR - Approval to Publish the Non-financial Assets Valuation Guidelines - D133322</value>
    </field>
    <field name="Objective-Parent">
      <value order="0">84-  - BNMR - Approval to Publish the Non-financial Assets Valuation Guidelines - D133322</value>
    </field>
    <field name="Objective-State">
      <value order="0">Published</value>
    </field>
    <field name="Objective-VersionId">
      <value order="0">vA109657359</value>
    </field>
    <field name="Objective-Version">
      <value order="0">1.0</value>
    </field>
    <field name="Objective-VersionNumber">
      <value order="0">1</value>
    </field>
    <field name="Objective-VersionComment">
      <value order="0"/>
    </field>
    <field name="Objective-FileNumber">
      <value order="0">DMS09024/2025</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9B66CF50E6014F925F99D201BCAA4A" ma:contentTypeVersion="16" ma:contentTypeDescription="Create a new document." ma:contentTypeScope="" ma:versionID="de6e8110bbe187403082ac1c92524553">
  <xsd:schema xmlns:xsd="http://www.w3.org/2001/XMLSchema" xmlns:xs="http://www.w3.org/2001/XMLSchema" xmlns:p="http://schemas.microsoft.com/office/2006/metadata/properties" xmlns:ns3="bcf97996-9d08-45b9-b259-61bfd524f7f0" xmlns:ns4="dcbc2db9-b22f-4d76-972a-b4b44ebd187d" targetNamespace="http://schemas.microsoft.com/office/2006/metadata/properties" ma:root="true" ma:fieldsID="acf9f4e06eda7e685d6939585e0757f6" ns3:_="" ns4:_="">
    <xsd:import namespace="bcf97996-9d08-45b9-b259-61bfd524f7f0"/>
    <xsd:import namespace="dcbc2db9-b22f-4d76-972a-b4b44ebd187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97996-9d08-45b9-b259-61bfd524f7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bc2db9-b22f-4d76-972a-b4b44ebd18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activity xmlns="bcf97996-9d08-45b9-b259-61bfd524f7f0" xsi:nil="true"/>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63AAA0F8-A71B-4CAE-9647-EE109BD6852D}">
  <ds:schemaRefs>
    <ds:schemaRef ds:uri="http://schemas.microsoft.com/sharepoint/v3/contenttype/forms"/>
  </ds:schemaRefs>
</ds:datastoreItem>
</file>

<file path=customXml/itemProps3.xml><?xml version="1.0" encoding="utf-8"?>
<ds:datastoreItem xmlns:ds="http://schemas.openxmlformats.org/officeDocument/2006/customXml" ds:itemID="{8F4A095B-8685-409B-B48F-F37163C18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97996-9d08-45b9-b259-61bfd524f7f0"/>
    <ds:schemaRef ds:uri="dcbc2db9-b22f-4d76-972a-b4b44ebd1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741C69-DFCF-4EE5-8D6F-465EE782236E}">
  <ds:schemaRefs>
    <ds:schemaRef ds:uri="http://schemas.openxmlformats.org/officeDocument/2006/bibliography"/>
  </ds:schemaRefs>
</ds:datastoreItem>
</file>

<file path=customXml/itemProps5.xml><?xml version="1.0" encoding="utf-8"?>
<ds:datastoreItem xmlns:ds="http://schemas.openxmlformats.org/officeDocument/2006/customXml" ds:itemID="{42BA0F71-A063-4C8A-9072-313CAD8AA53C}">
  <ds:schemaRefs>
    <ds:schemaRef ds:uri="http://schemas.microsoft.com/office/2006/metadata/properties"/>
    <ds:schemaRef ds:uri="http://schemas.microsoft.com/office/infopath/2007/PartnerControls"/>
    <ds:schemaRef ds:uri="bcf97996-9d08-45b9-b259-61bfd524f7f0"/>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140</Pages>
  <Words>33854</Words>
  <Characters>192974</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Report - Blue</vt:lpstr>
    </vt:vector>
  </TitlesOfParts>
  <Manager/>
  <Company/>
  <LinksUpToDate>false</LinksUpToDate>
  <CharactersWithSpaces>226376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Blue</dc:title>
  <dc:subject/>
  <dc:creator>LARMER, Jason</dc:creator>
  <cp:keywords/>
  <cp:lastModifiedBy>Amy Walsh</cp:lastModifiedBy>
  <cp:revision>3</cp:revision>
  <cp:lastPrinted>2025-11-26T08:57:00Z</cp:lastPrinted>
  <dcterms:created xsi:type="dcterms:W3CDTF">2026-03-03T07:41:00Z</dcterms:created>
  <dcterms:modified xsi:type="dcterms:W3CDTF">2026-03-03T07:44:00Z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0x0101001C9B66CF50E6014F925F99D201BCAA4A</vt:lpwstr>
  </property>
  <property fmtid="{D5CDD505-2E9C-101B-9397-08002B2CF9AE}" pid="3" name="Objective-Id">
    <vt:lpwstr>A101789511</vt:lpwstr>
  </property>
  <property fmtid="{D5CDD505-2E9C-101B-9397-08002B2CF9AE}" pid="4" name="Objective-Title">
    <vt:lpwstr>Attachment 1 - Non-financial Assets Valuation Guidelines - Final Version - D133322</vt:lpwstr>
  </property>
  <property fmtid="{D5CDD505-2E9C-101B-9397-08002B2CF9AE}" pid="5" name="Objective-Description">
    <vt:lpwstr/>
  </property>
  <property fmtid="{D5CDD505-2E9C-101B-9397-08002B2CF9AE}" pid="6" name="Objective-CreationStamp">
    <vt:filetime>2025-12-16T03:50:12Z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2025-12-16T03:50:14Z</vt:filetime>
  </property>
  <property fmtid="{D5CDD505-2E9C-101B-9397-08002B2CF9AE}" pid="10" name="Objective-ModificationStamp">
    <vt:filetime>2025-12-16T03:50:15Z</vt:filetime>
  </property>
  <property fmtid="{D5CDD505-2E9C-101B-9397-08002B2CF9AE}" pid="11" name="Objective-Owner">
    <vt:lpwstr>KERSHAW, Jennifer</vt:lpwstr>
  </property>
  <property fmtid="{D5CDD505-2E9C-101B-9397-08002B2CF9AE}" pid="12" name="Objective-Path">
    <vt:lpwstr>DEMIRS Global Folder:02 Corporate File Plan:LGIRS - Corporate Services and Labour Relations Group:Corporate Services:Ministerial Liaison Unit:Government Relations:Representations:Ministerial:# 2025:LGIRS - Local Government - 2025:84-  - BNMR - Approval to Publish the Non-financial Assets Valuation Guidelines - D133322</vt:lpwstr>
  </property>
  <property fmtid="{D5CDD505-2E9C-101B-9397-08002B2CF9AE}" pid="13" name="Objective-Parent">
    <vt:lpwstr>84-  - BNMR - Approval to Publish the Non-financial Assets Valuation Guidelines - D133322</vt:lpwstr>
  </property>
  <property fmtid="{D5CDD505-2E9C-101B-9397-08002B2CF9AE}" pid="14" name="Objective-State">
    <vt:lpwstr>Published</vt:lpwstr>
  </property>
  <property fmtid="{D5CDD505-2E9C-101B-9397-08002B2CF9AE}" pid="15" name="Objective-VersionId">
    <vt:lpwstr>vA109657359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DMS09024/2025</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Warning">
    <vt:lpwstr/>
  </property>
  <property fmtid="{D5CDD505-2E9C-101B-9397-08002B2CF9AE}" pid="24" name="Objective-Author">
    <vt:lpwstr/>
  </property>
  <property fmtid="{D5CDD505-2E9C-101B-9397-08002B2CF9AE}" pid="25" name="Objective-Date of Document">
    <vt:lpwstr/>
  </property>
  <property fmtid="{D5CDD505-2E9C-101B-9397-08002B2CF9AE}" pid="26" name="Objective-External Reference">
    <vt:lpwstr/>
  </property>
  <property fmtid="{D5CDD505-2E9C-101B-9397-08002B2CF9AE}" pid="27" name="Objective-Internal Reference">
    <vt:lpwstr/>
  </property>
  <property fmtid="{D5CDD505-2E9C-101B-9397-08002B2CF9AE}" pid="28" name="Objective-Archive Box">
    <vt:lpwstr/>
  </property>
  <property fmtid="{D5CDD505-2E9C-101B-9397-08002B2CF9AE}" pid="29" name="Objective-Migrated Id">
    <vt:lpwstr/>
  </property>
  <property fmtid="{D5CDD505-2E9C-101B-9397-08002B2CF9AE}" pid="30" name="Objective-Foreign Barcode">
    <vt:lpwstr/>
  </property>
  <property fmtid="{D5CDD505-2E9C-101B-9397-08002B2CF9AE}" pid="31" name="Objective-PCI DSS Checked">
    <vt:lpwstr/>
  </property>
  <property fmtid="{D5CDD505-2E9C-101B-9397-08002B2CF9AE}" pid="32" name="Objective-End User">
    <vt:lpwstr/>
  </property>
  <property fmtid="{D5CDD505-2E9C-101B-9397-08002B2CF9AE}" pid="33" name="Objective-Additional File Numbers">
    <vt:lpwstr/>
  </property>
  <property fmtid="{D5CDD505-2E9C-101B-9397-08002B2CF9AE}" pid="34" name="Objective-Record Number">
    <vt:lpwstr/>
  </property>
  <property fmtid="{D5CDD505-2E9C-101B-9397-08002B2CF9AE}" pid="35" name="Objective-Graphic Content">
    <vt:lpwstr/>
  </property>
  <property fmtid="{D5CDD505-2E9C-101B-9397-08002B2CF9AE}" pid="36" name="MediaServiceImageTags">
    <vt:lpwstr/>
  </property>
  <property fmtid="{D5CDD505-2E9C-101B-9397-08002B2CF9AE}" pid="37" name="Document type">
    <vt:lpwstr>49;#Templates / Corporate Branding / Logos|f4ae072d-4e5a-43a1-bd92-82912d04a21a</vt:lpwstr>
  </property>
  <property fmtid="{D5CDD505-2E9C-101B-9397-08002B2CF9AE}" pid="38" name="Document_x0020_category">
    <vt:lpwstr>42;#Corporate Communications|a647f2aa-effd-4cc2-8a9e-41092fbf3c90</vt:lpwstr>
  </property>
  <property fmtid="{D5CDD505-2E9C-101B-9397-08002B2CF9AE}" pid="39" name="Document_x0020_type">
    <vt:lpwstr>49;#Templates / Corporate Branding / Logos|f4ae072d-4e5a-43a1-bd92-82912d04a21a</vt:lpwstr>
  </property>
  <property fmtid="{D5CDD505-2E9C-101B-9397-08002B2CF9AE}" pid="40" name="lcf76f155ced4ddcb4097134ff3c332f">
    <vt:lpwstr/>
  </property>
  <property fmtid="{D5CDD505-2E9C-101B-9397-08002B2CF9AE}" pid="41" name="Actioning_x0020_Area">
    <vt:lpwstr>43;#Corporate Communications|63a0957b-a86b-4be4-9c76-49fd2f5718b0</vt:lpwstr>
  </property>
  <property fmtid="{D5CDD505-2E9C-101B-9397-08002B2CF9AE}" pid="42" name="Actioning Area">
    <vt:lpwstr>43;#Corporate Communications|63a0957b-a86b-4be4-9c76-49fd2f5718b0</vt:lpwstr>
  </property>
  <property fmtid="{D5CDD505-2E9C-101B-9397-08002B2CF9AE}" pid="43" name="Document category">
    <vt:lpwstr>42;#Corporate Communications|a647f2aa-effd-4cc2-8a9e-41092fbf3c90</vt:lpwstr>
  </property>
  <property fmtid="{D5CDD505-2E9C-101B-9397-08002B2CF9AE}" pid="44" name="MSIP_Label_116cf7cf-4bad-475a-a557-f71d08d59046_Enabled">
    <vt:lpwstr>true</vt:lpwstr>
  </property>
  <property fmtid="{D5CDD505-2E9C-101B-9397-08002B2CF9AE}" pid="45" name="MSIP_Label_116cf7cf-4bad-475a-a557-f71d08d59046_SetDate">
    <vt:lpwstr>2026-02-27T06:47:10Z</vt:lpwstr>
  </property>
  <property fmtid="{D5CDD505-2E9C-101B-9397-08002B2CF9AE}" pid="46" name="MSIP_Label_116cf7cf-4bad-475a-a557-f71d08d59046_Method">
    <vt:lpwstr>Standard</vt:lpwstr>
  </property>
  <property fmtid="{D5CDD505-2E9C-101B-9397-08002B2CF9AE}" pid="47" name="MSIP_Label_116cf7cf-4bad-475a-a557-f71d08d59046_Name">
    <vt:lpwstr>OFFICIAL [ Office ]</vt:lpwstr>
  </property>
  <property fmtid="{D5CDD505-2E9C-101B-9397-08002B2CF9AE}" pid="48" name="MSIP_Label_116cf7cf-4bad-475a-a557-f71d08d59046_SiteId">
    <vt:lpwstr>d48144b5-571f-4b68-9721-e41bc0071e17</vt:lpwstr>
  </property>
  <property fmtid="{D5CDD505-2E9C-101B-9397-08002B2CF9AE}" pid="49" name="MSIP_Label_116cf7cf-4bad-475a-a557-f71d08d59046_ActionId">
    <vt:lpwstr>cef87b33-6d2d-48dc-a50e-adcb20fdf80e</vt:lpwstr>
  </property>
  <property fmtid="{D5CDD505-2E9C-101B-9397-08002B2CF9AE}" pid="50" name="MSIP_Label_116cf7cf-4bad-475a-a557-f71d08d59046_ContentBits">
    <vt:lpwstr>0</vt:lpwstr>
  </property>
  <property fmtid="{D5CDD505-2E9C-101B-9397-08002B2CF9AE}" pid="51" name="MSIP_Label_116cf7cf-4bad-475a-a557-f71d08d59046_Tag">
    <vt:lpwstr>10, 3, 0, 1</vt:lpwstr>
  </property>
  <property fmtid="{D5CDD505-2E9C-101B-9397-08002B2CF9AE}" pid="53" name="_NewReviewCycle">
    <vt:lpwstr/>
  </property>
</Properties>
</file>